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Title</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yperlink"/>
                </w:rPr>
                <w:t xml:space="preserve">N003e. Catálogo de Servicios FNA-1a</w:t>
              </w:r>
            </w:hyperlink>
            <w:r>
              <w:t xml:space="preserve">;</w:t>
            </w:r>
            <w:r>
              <w:t xml:space="preserve"> </w:t>
            </w:r>
            <w:hyperlink r:id="rId21">
              <w:r>
                <w:rPr>
                  <w:rStyle w:val="Hyperlink"/>
                </w:rPr>
                <w:t xml:space="preserve">N003e. Catálogo de Servicios FNA-4</w:t>
              </w:r>
            </w:hyperlink>
          </w:p>
        </w:tc>
      </w:tr>
    </w:tbl>
    <w:p>
      <w:pPr>
        <w:pStyle w:val="BodyText"/>
      </w:pPr>
    </w:p>
    <w:bookmarkStart w:id="27" w:name="catálogo-de-servicios-fna-blueprint"/>
    <w:p>
      <w:pPr>
        <w:pStyle w:val="Heading1"/>
      </w:pPr>
      <w:r>
        <w:t xml:space="preserve">Catálogo de Servicios FNA (blueprint)</w:t>
      </w:r>
    </w:p>
    <w:bookmarkStart w:id="22" w:name="capacidades-de-la-empresa-fna"/>
    <w:p>
      <w:pPr>
        <w:pStyle w:val="Heading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BodyText"/>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BodyText"/>
      </w:pPr>
    </w:p>
    <w:bookmarkEnd w:id="22"/>
    <w:bookmarkStart w:id="26" w:name="X54d81c036f39db46b7ff870b72deb51f2330687"/>
    <w:p>
      <w:pPr>
        <w:pStyle w:val="Heading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943600" cy="6925962"/>
            <wp:effectExtent b="0" l="0" r="0" t="0"/>
            <wp:docPr descr="" title="" id="24" name="Picture"/>
            <a:graphic>
              <a:graphicData uri="http://schemas.openxmlformats.org/drawingml/2006/picture">
                <pic:pic>
                  <pic:nvPicPr>
                    <pic:cNvPr descr="images/FNA_ArquitecturaVistaCapacidadesFNA.png" id="25" name="Picture"/>
                    <pic:cNvPicPr>
                      <a:picLocks noChangeArrowheads="1" noChangeAspect="1"/>
                    </pic:cNvPicPr>
                  </pic:nvPicPr>
                  <pic:blipFill>
                    <a:blip r:embed="rId23"/>
                    <a:stretch>
                      <a:fillRect/>
                    </a:stretch>
                  </pic:blipFill>
                  <pic:spPr bwMode="auto">
                    <a:xfrm>
                      <a:off x="0" y="0"/>
                      <a:ext cx="5943600" cy="6925962"/>
                    </a:xfrm>
                    <a:prstGeom prst="rect">
                      <a:avLst/>
                    </a:prstGeom>
                    <a:noFill/>
                    <a:ln w="9525">
                      <a:noFill/>
                      <a:headEnd/>
                      <a:tailEnd/>
                    </a:ln>
                  </pic:spPr>
                </pic:pic>
              </a:graphicData>
            </a:graphic>
          </wp:inline>
        </w:drawing>
      </w:r>
    </w:p>
    <w:p>
      <w:pPr>
        <w:pStyle w:val="FirstParagraph"/>
      </w:pPr>
    </w:p>
    <w:p>
      <w:pPr>
        <w:pStyle w:val="BodyText"/>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BodyText"/>
      </w:pPr>
      <w:r>
        <w:rPr>
          <w:iCs/>
          <w:i/>
        </w:rPr>
        <w:t xml:space="preserve">Fuente: arquitectura fna.archimate</w:t>
      </w:r>
    </w:p>
    <w:p>
      <w:pPr>
        <w:pStyle w:val="BodyText"/>
      </w:pPr>
    </w:p>
    <w:p>
      <w:pPr>
        <w:pStyle w:val="BodyText"/>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BodyText"/>
      </w:pPr>
      <w:r>
        <w:rPr>
          <w:iCs/>
          <w:i/>
        </w:rPr>
        <w:t xml:space="preserve">Fuente: arquitectura fna.archimate</w:t>
      </w:r>
    </w:p>
    <w:p>
      <w:pPr>
        <w:pStyle w:val="BodyText"/>
      </w:pPr>
    </w:p>
    <w:p>
      <w:r>
        <w:pict>
          <v:rect style="width:0;height:1.5pt" o:hralign="center" o:hrstd="t" o:hr="t"/>
        </w:pict>
      </w:r>
    </w:p>
    <w:bookmarkEnd w:id="26"/>
    <w:bookmarkEnd w:id="27"/>
    <w:bookmarkStart w:id="31" w:name="areas-de-negocio-fna"/>
    <w:p>
      <w:pPr>
        <w:pStyle w:val="Heading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8">
              <w:r>
                <w:rPr>
                  <w:rStyle w:val="Hyperlink"/>
                </w:rPr>
                <w:t xml:space="preserve">Vista de Contexto</w:t>
              </w:r>
            </w:hyperlink>
            <w:r>
              <w:t xml:space="preserve">;</w:t>
            </w:r>
            <w:r>
              <w:t xml:space="preserve"> </w:t>
            </w:r>
            <w:hyperlink r:id="rId28">
              <w:r>
                <w:rPr>
                  <w:rStyle w:val="Hyperlink"/>
                </w:rPr>
                <w:t xml:space="preserve">N003a. Procesos de Negocio FNA</w:t>
              </w:r>
            </w:hyperlink>
          </w:p>
        </w:tc>
      </w:tr>
      <w:tr>
        <w:tc>
          <w:tcPr/>
          <w:p>
            <w:pPr>
              <w:pStyle w:val="Compact"/>
            </w:pPr>
          </w:p>
        </w:tc>
        <w:tc>
          <w:tcPr/>
          <w:p>
            <w:pPr>
              <w:pStyle w:val="Compact"/>
            </w:pPr>
          </w:p>
        </w:tc>
      </w:tr>
    </w:tbl>
    <w:p>
      <w:pPr>
        <w:pStyle w:val="BodyText"/>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BodyText"/>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BodyText"/>
      </w:pPr>
      <w:r>
        <w:t xml:space="preserve">La única relación encontrada es la de algunas áreas de negocio del FNA con el proceso de Legalización.</w:t>
      </w:r>
    </w:p>
    <w:p>
      <w:pPr>
        <w:pStyle w:val="BodyText"/>
      </w:pPr>
      <w:r>
        <w:t xml:space="preserve">Vista</w:t>
      </w:r>
      <w:r>
        <w:t xml:space="preserve"> </w:t>
      </w:r>
      <w:r>
        <w:rPr>
          <w:iCs/>
          <w:i/>
        </w:rPr>
        <w:t xml:space="preserve">Fuente: ae_fna.archimate, ae_fna_as_is.archimate, ae_fna_tobe.archimate.</w:t>
      </w:r>
    </w:p>
    <w:p>
      <w:pPr>
        <w:pStyle w:val="BodyText"/>
      </w:pPr>
    </w:p>
    <w:p>
      <w:pPr>
        <w:pStyle w:val="BodyText"/>
      </w:pPr>
      <w:r>
        <w:t xml:space="preserve">Las áreas de negocio que sí están modeladas (Anexo 1) no son representativas. Razón por la cual no tienen relación con los elementos relevantes de la empresa ni de este diagnóstico.</w:t>
      </w:r>
    </w:p>
    <w:bookmarkStart w:id="29" w:name="anexo-1.-áreas-fna-modeladas"/>
    <w:p>
      <w:pPr>
        <w:pStyle w:val="Heading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BodyText"/>
      </w:pPr>
    </w:p>
    <w:bookmarkEnd w:id="29"/>
    <w:bookmarkStart w:id="30" w:name="anexo-2.-modelos-analizados"/>
    <w:p>
      <w:pPr>
        <w:pStyle w:val="Heading2"/>
      </w:pPr>
      <w:r>
        <w:t xml:space="preserve">Anexo 2. Modelos Analizados</w:t>
      </w:r>
    </w:p>
    <w:p>
      <w:pPr>
        <w:numPr>
          <w:ilvl w:val="0"/>
          <w:numId w:val="1002"/>
        </w:numPr>
        <w:pStyle w:val="Compact"/>
      </w:pPr>
      <w:r>
        <w:t xml:space="preserve">2015-06-01 modelo arquitectura togaf - fna banca digital v6.archimate</w:t>
      </w:r>
    </w:p>
    <w:p>
      <w:pPr>
        <w:numPr>
          <w:ilvl w:val="0"/>
          <w:numId w:val="1002"/>
        </w:numPr>
        <w:pStyle w:val="Compact"/>
      </w:pPr>
      <w:r>
        <w:t xml:space="preserve">aa002 - cobis ahorro voluntario.archimate</w:t>
      </w:r>
    </w:p>
    <w:p>
      <w:pPr>
        <w:numPr>
          <w:ilvl w:val="0"/>
          <w:numId w:val="1002"/>
        </w:numPr>
        <w:pStyle w:val="Compact"/>
      </w:pPr>
      <w:r>
        <w:t xml:space="preserve">aa003-cobis cesantias.archimate</w:t>
      </w:r>
    </w:p>
    <w:p>
      <w:pPr>
        <w:numPr>
          <w:ilvl w:val="0"/>
          <w:numId w:val="1002"/>
        </w:numPr>
        <w:pStyle w:val="Compact"/>
      </w:pPr>
      <w:r>
        <w:t xml:space="preserve">aa005-cobis cartera.archimate</w:t>
      </w:r>
    </w:p>
    <w:p>
      <w:pPr>
        <w:numPr>
          <w:ilvl w:val="0"/>
          <w:numId w:val="1002"/>
        </w:numPr>
        <w:pStyle w:val="Compact"/>
      </w:pPr>
      <w:r>
        <w:t xml:space="preserve">aa006-cobis tramites.archimate</w:t>
      </w:r>
    </w:p>
    <w:p>
      <w:pPr>
        <w:numPr>
          <w:ilvl w:val="0"/>
          <w:numId w:val="1002"/>
        </w:numPr>
        <w:pStyle w:val="Compact"/>
      </w:pPr>
      <w:r>
        <w:t xml:space="preserve">aa015-cobis clientes.archimate</w:t>
      </w:r>
    </w:p>
    <w:p>
      <w:pPr>
        <w:numPr>
          <w:ilvl w:val="0"/>
          <w:numId w:val="1002"/>
        </w:numPr>
        <w:pStyle w:val="Compact"/>
      </w:pPr>
      <w:r>
        <w:t xml:space="preserve">aa020-banca virtual.archimate</w:t>
      </w:r>
    </w:p>
    <w:p>
      <w:pPr>
        <w:numPr>
          <w:ilvl w:val="0"/>
          <w:numId w:val="1002"/>
        </w:numPr>
        <w:pStyle w:val="Compact"/>
      </w:pPr>
      <w:r>
        <w:t xml:space="preserve">aa021-fondo en linea.archimate</w:t>
      </w:r>
    </w:p>
    <w:p>
      <w:pPr>
        <w:numPr>
          <w:ilvl w:val="0"/>
          <w:numId w:val="1002"/>
        </w:numPr>
        <w:pStyle w:val="Compact"/>
      </w:pPr>
      <w:r>
        <w:t xml:space="preserve">aa074-fondo en linea personal.archimate</w:t>
      </w:r>
    </w:p>
    <w:p>
      <w:pPr>
        <w:numPr>
          <w:ilvl w:val="0"/>
          <w:numId w:val="1002"/>
        </w:numPr>
        <w:pStyle w:val="Compact"/>
      </w:pPr>
      <w:r>
        <w:rPr>
          <w:bCs/>
          <w:b/>
        </w:rPr>
        <w:t xml:space="preserve">aa091-cobis cx.archimate</w:t>
      </w:r>
    </w:p>
    <w:p>
      <w:pPr>
        <w:numPr>
          <w:ilvl w:val="0"/>
          <w:numId w:val="1002"/>
        </w:numPr>
        <w:pStyle w:val="Compact"/>
      </w:pPr>
      <w:r>
        <w:rPr>
          <w:bCs/>
          <w:b/>
        </w:rPr>
        <w:t xml:space="preserve">ae_fna.archimate</w:t>
      </w:r>
    </w:p>
    <w:p>
      <w:pPr>
        <w:numPr>
          <w:ilvl w:val="0"/>
          <w:numId w:val="1002"/>
        </w:numPr>
        <w:pStyle w:val="Compact"/>
      </w:pPr>
      <w:r>
        <w:rPr>
          <w:bCs/>
          <w:b/>
        </w:rPr>
        <w:t xml:space="preserve">ae_fna_as_is.archimate</w:t>
      </w:r>
    </w:p>
    <w:p>
      <w:pPr>
        <w:numPr>
          <w:ilvl w:val="0"/>
          <w:numId w:val="1002"/>
        </w:numPr>
        <w:pStyle w:val="Compact"/>
      </w:pPr>
      <w:r>
        <w:t xml:space="preserve">ae_fna_tobe.archimate</w:t>
      </w:r>
    </w:p>
    <w:p>
      <w:pPr>
        <w:numPr>
          <w:ilvl w:val="0"/>
          <w:numId w:val="1002"/>
        </w:numPr>
        <w:pStyle w:val="Compact"/>
      </w:pPr>
      <w:r>
        <w:t xml:space="preserve">arquitectura banca digital v4.archimate</w:t>
      </w:r>
    </w:p>
    <w:p>
      <w:pPr>
        <w:numPr>
          <w:ilvl w:val="0"/>
          <w:numId w:val="1002"/>
        </w:numPr>
        <w:pStyle w:val="Compact"/>
      </w:pPr>
      <w:r>
        <w:rPr>
          <w:bCs/>
          <w:b/>
        </w:rPr>
        <w:t xml:space="preserve">arquitectura fna.archimate</w:t>
      </w:r>
    </w:p>
    <w:p>
      <w:pPr>
        <w:numPr>
          <w:ilvl w:val="0"/>
          <w:numId w:val="1002"/>
        </w:numPr>
        <w:pStyle w:val="Compact"/>
      </w:pPr>
      <w:r>
        <w:t xml:space="preserve">arquitectura movil_v1.archimate</w:t>
      </w:r>
    </w:p>
    <w:p>
      <w:pPr>
        <w:numPr>
          <w:ilvl w:val="0"/>
          <w:numId w:val="1002"/>
        </w:numPr>
        <w:pStyle w:val="Compact"/>
      </w:pPr>
      <w:r>
        <w:t xml:space="preserve">arquitectura movil_v2.archimate</w:t>
      </w:r>
    </w:p>
    <w:p>
      <w:pPr>
        <w:numPr>
          <w:ilvl w:val="0"/>
          <w:numId w:val="1002"/>
        </w:numPr>
        <w:pStyle w:val="Compact"/>
      </w:pPr>
      <w:r>
        <w:t xml:space="preserve">fna_proyectos v2.0.archimate</w:t>
      </w:r>
    </w:p>
    <w:p>
      <w:pPr>
        <w:numPr>
          <w:ilvl w:val="0"/>
          <w:numId w:val="1002"/>
        </w:numPr>
        <w:pStyle w:val="Compact"/>
      </w:pPr>
      <w:r>
        <w:t xml:space="preserve">information_architecture_bi_ba_md_archixml.archimate</w:t>
      </w:r>
    </w:p>
    <w:p>
      <w:pPr>
        <w:numPr>
          <w:ilvl w:val="0"/>
          <w:numId w:val="1002"/>
        </w:numPr>
        <w:pStyle w:val="Compact"/>
      </w:pPr>
      <w:r>
        <w:t xml:space="preserve">ivr.archimate</w:t>
      </w:r>
    </w:p>
    <w:p>
      <w:pPr>
        <w:numPr>
          <w:ilvl w:val="0"/>
          <w:numId w:val="1002"/>
        </w:numPr>
        <w:pStyle w:val="Compact"/>
      </w:pPr>
      <w:r>
        <w:t xml:space="preserve">pa0003-pki.archimate</w:t>
      </w:r>
    </w:p>
    <w:p>
      <w:pPr>
        <w:numPr>
          <w:ilvl w:val="0"/>
          <w:numId w:val="1002"/>
        </w:numPr>
        <w:pStyle w:val="Compact"/>
      </w:pPr>
      <w:r>
        <w:t xml:space="preserve">workmanager.archimate</w:t>
      </w:r>
    </w:p>
    <w:p>
      <w:r>
        <w:pict>
          <v:rect style="width:0;height:1.5pt" o:hralign="center" o:hrstd="t" o:hr="t"/>
        </w:pict>
      </w:r>
    </w:p>
    <w:bookmarkEnd w:id="30"/>
    <w:bookmarkEnd w:id="31"/>
    <w:sectPr w:rsidR="00E9076B" w:rsidRPr="008C6903">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DA38" w14:textId="77777777" w:rsidR="004464B2" w:rsidRDefault="004464B2">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740442FC" w14:textId="77777777" w:rsidR="004464B2" w:rsidRDefault="004464B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footer" w:uiPriority="99"/>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uiPriority w:val="99"/>
    <w:rsid w:val="008C6903"/>
    <w:pPr>
      <w:tabs>
        <w:tab w:pos="4680" w:val="center"/>
        <w:tab w:pos="9360" w:val="right"/>
      </w:tabs>
      <w:spacing w:after="0" w:before="0" w:line="240" w:lineRule="auto"/>
    </w:pPr>
  </w:style>
  <w:style w:customStyle="1" w:styleId="FooterChar" w:type="character">
    <w:name w:val="Footer Char"/>
    <w:basedOn w:val="DefaultParagraphFont"/>
    <w:link w:val="Footer"/>
    <w:uiPriority w:val="99"/>
    <w:rsid w:val="008C6903"/>
    <w:rPr>
      <w:rFonts w:ascii="Arial" w:hAnsi="Arial"/>
    </w:rPr>
  </w:style>
  <w:style w:styleId="GridTable4-Accent1" w:type="table">
    <w:name w:val="Grid Table 4 Accent 1"/>
    <w:basedOn w:val="TableNormal"/>
    <w:uiPriority w:val="49"/>
    <w:rsid w:val="000F72E6"/>
    <w:pPr>
      <w:spacing w:after="0" w:line="240" w:lineRule="auto"/>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 Type="http://schemas.openxmlformats.org/officeDocument/2006/relationships/hyperlink" Id="rId28"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 Type="http://schemas.openxmlformats.org/officeDocument/2006/relationships/hyperlink" Id="rId28"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
  <dc:language>en-US</dc:language>
  <cp:keywords>markdown, publishing, manubot</cp:keywords>
  <dcterms:created xsi:type="dcterms:W3CDTF">2023-01-02T05:59:58Z</dcterms:created>
  <dcterms:modified xsi:type="dcterms:W3CDTF">2023-01-02T05:59:58Z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