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N003e. Catálogo de Servicios FNA-1a</w:t>
              </w:r>
            </w:hyperlink>
            <w:r>
              <w:t xml:space="preserve">;</w:t>
            </w:r>
            <w:r>
              <w:t xml:space="preserve"> </w:t>
            </w:r>
            <w:hyperlink r:id="rId21">
              <w:r>
                <w:rPr>
                  <w:rStyle w:val="Hyperlink"/>
                </w:rPr>
                <w:t xml:space="preserve">N003e. Catálogo de Servicios FNA-4</w:t>
              </w:r>
            </w:hyperlink>
          </w:p>
        </w:tc>
      </w:tr>
    </w:tbl>
    <w:p>
      <w:pPr>
        <w:pStyle w:val="BodyText"/>
      </w:pPr>
    </w:p>
    <w:bookmarkStart w:id="27" w:name="catálogo-de-servicios-fna-blueprint"/>
    <w:p>
      <w:pPr>
        <w:pStyle w:val="Heading1"/>
      </w:pPr>
      <w:r>
        <w:t xml:space="preserve">Catálogo de Servicios FNA (blueprint)</w:t>
      </w:r>
    </w:p>
    <w:bookmarkStart w:id="22"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BodyText"/>
      </w:pPr>
    </w:p>
    <w:bookmarkEnd w:id="22"/>
    <w:bookmarkStart w:id="26"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943600" cy="6925962"/>
            <wp:effectExtent b="0" l="0" r="0" t="0"/>
            <wp:docPr descr="" title="" id="24" name="Picture"/>
            <a:graphic>
              <a:graphicData uri="http://schemas.openxmlformats.org/drawingml/2006/picture">
                <pic:pic>
                  <pic:nvPicPr>
                    <pic:cNvPr descr="images/FNA_ArquitecturaVistaCapacidadesFNA.png" id="25" name="Picture"/>
                    <pic:cNvPicPr>
                      <a:picLocks noChangeArrowheads="1" noChangeAspect="1"/>
                    </pic:cNvPicPr>
                  </pic:nvPicPr>
                  <pic:blipFill>
                    <a:blip r:embed="rId23"/>
                    <a:stretch>
                      <a:fillRect/>
                    </a:stretch>
                  </pic:blipFill>
                  <pic:spPr bwMode="auto">
                    <a:xfrm>
                      <a:off x="0" y="0"/>
                      <a:ext cx="5943600" cy="6925962"/>
                    </a:xfrm>
                    <a:prstGeom prst="rect">
                      <a:avLst/>
                    </a:prstGeom>
                    <a:noFill/>
                    <a:ln w="9525">
                      <a:noFill/>
                      <a:headEnd/>
                      <a:tailEnd/>
                    </a:ln>
                  </pic:spPr>
                </pic:pic>
              </a:graphicData>
            </a:graphic>
          </wp:inline>
        </w:drawing>
      </w:r>
    </w:p>
    <w:p>
      <w:pPr>
        <w:pStyle w:val="FirstParagraph"/>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26"/>
    <w:bookmarkEnd w:id="27"/>
    <w:bookmarkStart w:id="31"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8">
              <w:r>
                <w:rPr>
                  <w:rStyle w:val="Hyperlink"/>
                </w:rPr>
                <w:t xml:space="preserve">Vista de Contexto</w:t>
              </w:r>
            </w:hyperlink>
            <w:r>
              <w:t xml:space="preserve">;</w:t>
            </w:r>
            <w:r>
              <w:t xml:space="preserve"> </w:t>
            </w:r>
            <w:hyperlink r:id="rId28">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29"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29"/>
    <w:bookmarkStart w:id="30" w:name="anexo-2.-modelos-analizados"/>
    <w:p>
      <w:pPr>
        <w:pStyle w:val="Heading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30"/>
    <w:bookmarkEnd w:id="3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styleId="GridTable4-Accent1" w:type="table">
    <w:name w:val="Grid Table 4 Accent 1"/>
    <w:basedOn w:val="TableNormal"/>
    <w:uiPriority w:val="49"/>
    <w:rsid w:val="000F72E6"/>
    <w:pPr>
      <w:spacing w:after="0" w:line="240" w:lineRule="auto"/>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2023-01-02T05:56:51Z</dcterms:created>
  <dcterms:modified xsi:type="dcterms:W3CDTF">2023-01-02T05:56:51Z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