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8f001a"/>
            <w:vAlign w:val="center"/>
          </w:tcPr>
          <w:p>
            <w:pPr>
              <w:spacing w:before="280" w:after="40"/>
            </w:pPr>
            <w:r>
              <w:rPr>
                <w:rFonts w:ascii="Calibri" w:hAnsi="Calibri"/>
                <w:b w:val="0"/>
                <w:color w:val="FFFFFF"/>
                <w:sz w:val="72"/>
              </w:rPr>
              <w:t>u</w:t>
            </w:r>
            <w:r>
              <w:rPr>
                <w:rFonts w:ascii="Calibri" w:hAnsi="Calibri"/>
                <w:b/>
                <w:color w:val="FFFFFF"/>
                <w:sz w:val="72"/>
              </w:rPr>
              <w:t>Ottawa</w:t>
            </w:r>
          </w:p>
          <w:p>
            <w:pPr>
              <w:spacing w:before="40" w:after="280"/>
            </w:pPr>
            <w:r>
              <w:rPr>
                <w:rFonts w:ascii="Calibri" w:hAnsi="Calibri"/>
                <w:b/>
                <w:color w:val="FFFFFF"/>
                <w:sz w:val="18"/>
              </w:rPr>
              <w:t>UNIVERSITÉ D'OTTAWA  ·  UNIVERSITY OF OTTAWA</w:t>
            </w:r>
          </w:p>
        </w:tc>
      </w:tr>
    </w:tbl>
    <w:p>
      <w:pPr>
        <w:spacing w:after="800"/>
      </w:pPr>
    </w:p>
    <w:p>
      <w:pPr>
        <w:pStyle w:val="Title"/>
      </w:pPr>
      <w:r>
        <w:t>Mission Requirements Document</w:t>
      </w:r>
    </w:p>
    <w:p>
      <w:pPr>
        <w:pStyle w:val="Subtitle"/>
        <w:spacing w:before="160" w:after="400"/>
      </w:pPr>
      <w:r>
        <w:t>ECSS-E-ST-10-06C</w:t>
      </w:r>
    </w:p>
    <w:p>
      <w:r>
        <w:rPr>
          <w:b/>
          <w:color w:val="2D2D2C"/>
          <w:sz w:val="22"/>
        </w:rPr>
        <w:t>SpaceCDF</w:t>
      </w:r>
    </w:p>
    <w:p>
      <w:r>
        <w:rPr>
          <w:color w:val="2D2D2C"/>
          <w:sz w:val="22"/>
        </w:rPr>
        <w:t>2026</w:t>
      </w:r>
    </w:p>
    <w:p/>
    <w:p/>
    <w:p/>
    <w:p/>
    <w:p/>
    <w:p/>
    <w:p>
      <w:pPr>
        <w:pBdr>
          <w:bottom w:val="single" w:sz="18" w:space="1" w:color="8f001a"/>
        </w:pBdr>
      </w:pPr>
    </w:p>
    <w:p>
      <w:pPr>
        <w:spacing w:after="40"/>
      </w:pPr>
      <w:r>
        <w:rPr>
          <w:b/>
          <w:color w:val="8F001A"/>
          <w:sz w:val="21"/>
        </w:rPr>
        <w:t>Faculty of Engineering · School of Engineering Design and Teaching Innovation (SEDTI)</w:t>
      </w:r>
    </w:p>
    <w:p>
      <w:pPr>
        <w:spacing w:after="40"/>
      </w:pPr>
      <w:r>
        <w:rPr>
          <w:color w:val="2D2D2C"/>
          <w:sz w:val="19"/>
        </w:rPr>
        <w:t>SCDF-MRD-6UEOCU · 6U EO CubeSat · Issue 1.0 · 2026-05-11</w:t>
      </w:r>
    </w:p>
    <w:p>
      <w:r>
        <w:rPr>
          <w:i/>
          <w:color w:val="80746C"/>
          <w:sz w:val="18"/>
        </w:rPr>
        <w:t>Classification: Internal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2835"/>
        <w:gridCol w:w="6803"/>
      </w:tblGrid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Document code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SCDF-MRD-6UEOCU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Title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Requirements Document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Study / Mission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6U EO CubeSat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Issue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Date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2026-05-11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Prepared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AI Concurrent Design Facility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Reviewed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Approved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Classification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Internal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Applies 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6U EO CubeSat</w:t>
            </w:r>
          </w:p>
        </w:tc>
      </w:tr>
    </w:tbl>
    <w:p>
      <w:pPr>
        <w:pStyle w:val="Heading1"/>
      </w:pPr>
      <w:r>
        <w:t>Change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By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550"/>
          </w:tcPr>
          <w:p>
            <w:r>
              <w:t>1.0</w:t>
            </w:r>
          </w:p>
        </w:tc>
        <w:tc>
          <w:tcPr>
            <w:tcW w:type="dxa" w:w="2550"/>
          </w:tcPr>
          <w:p>
            <w:r>
              <w:t>2026-05-11</w:t>
            </w:r>
          </w:p>
        </w:tc>
        <w:tc>
          <w:tcPr>
            <w:tcW w:type="dxa" w:w="2550"/>
          </w:tcPr>
          <w:p>
            <w:r>
              <w:t>SpaceCDF</w:t>
            </w:r>
          </w:p>
        </w:tc>
        <w:tc>
          <w:tcPr>
            <w:tcW w:type="dxa" w:w="2550"/>
          </w:tcPr>
          <w:p>
            <w:r>
              <w:t>Initial issue of Mission Requirements Document.</w:t>
            </w:r>
          </w:p>
        </w:tc>
      </w:tr>
    </w:tbl>
    <w:p>
      <w:pPr>
        <w:pStyle w:val="Heading1"/>
      </w:pPr>
      <w:r>
        <w:t>Acknowledgement — Generative AI (AIG)</w:t>
      </w:r>
    </w:p>
    <w:p>
      <w:pPr>
        <w:spacing w:after="120"/>
      </w:pPr>
      <w:r>
        <w:t>This document was produced with the assistance of generative AI as part of the SpaceCDF Concurrent Design Facility workflow.  The design-loop convergence, agent rationales, embedded figures and document rendering are generated by the SpaceCDF backend (Python · matplotlib · python-docx) guided by ECSS, NASA SEH and SMAD-4 references.  Editorial framing, worked examples and pedagogical commentary remain owned by the SpaceCDF teaching team.</w:t>
      </w:r>
    </w:p>
    <w:p>
      <w:pPr>
        <w:spacing w:after="120"/>
      </w:pPr>
      <w:r>
        <w:rPr>
          <w:i/>
        </w:rPr>
        <w:t>Attribution follows the AIG (Assisted by Generative AI) framework — Peters (2023), Logos IA-EN, CC BY-NC-SA 4.0 — https://mpeters.uqo.ca/en/logos-ia-en-peters-2023/</w:t>
      </w:r>
    </w:p>
    <w:p>
      <w:r>
        <w:t>Any course deliverable that incorporates content from this document, or from any document exported by SpaceCDF, must in turn carry the AIG badge and a short note describing how generative AI was used.</w:t>
      </w:r>
    </w:p>
    <w:p>
      <w:pPr>
        <w:pStyle w:val="Heading1"/>
      </w:pPr>
      <w:r>
        <w:t>Acronyms &amp; Abbreviations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7937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Acronym</w:t>
            </w:r>
          </w:p>
        </w:tc>
        <w:tc>
          <w:tcPr>
            <w:tcW w:type="dxa" w:w="793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01"/>
          </w:tcPr>
          <w:p>
            <w:r>
              <w:t>MRD</w:t>
            </w:r>
          </w:p>
        </w:tc>
        <w:tc>
          <w:tcPr>
            <w:tcW w:type="dxa" w:w="7937"/>
          </w:tcPr>
          <w:p>
            <w:r>
              <w:t>Mission Requirements Document</w:t>
            </w:r>
          </w:p>
        </w:tc>
      </w:tr>
    </w:tbl>
    <w:p>
      <w:pPr>
        <w:pStyle w:val="Heading1"/>
      </w:pPr>
      <w:r>
        <w:t>Applicable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AD-01</w:t>
            </w:r>
          </w:p>
        </w:tc>
        <w:tc>
          <w:tcPr>
            <w:tcW w:type="dxa" w:w="2268"/>
          </w:tcPr>
          <w:p>
            <w:r>
              <w:t>ECSS-M-ST-10C Rev.1</w:t>
            </w:r>
          </w:p>
        </w:tc>
        <w:tc>
          <w:tcPr>
            <w:tcW w:type="dxa" w:w="6350"/>
          </w:tcPr>
          <w:p>
            <w:r>
              <w:t>Space project management</w:t>
            </w:r>
          </w:p>
        </w:tc>
      </w:tr>
    </w:tbl>
    <w:p>
      <w:pPr>
        <w:pStyle w:val="Heading1"/>
      </w:pPr>
      <w:r>
        <w:t>Reference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RD-01</w:t>
            </w:r>
          </w:p>
        </w:tc>
        <w:tc>
          <w:tcPr>
            <w:tcW w:type="dxa" w:w="2268"/>
          </w:tcPr>
          <w:p>
            <w:r>
              <w:t>SMAD-4</w:t>
            </w:r>
          </w:p>
        </w:tc>
        <w:tc>
          <w:tcPr>
            <w:tcW w:type="dxa" w:w="6350"/>
          </w:tcPr>
          <w:p>
            <w:r>
              <w:t>Space Mission Analysis and Design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populate.</w:t>
        <w:fldChar w:fldCharType="end"/>
      </w:r>
    </w:p>
    <w:p>
      <w:r>
        <w:br w:type="page"/>
      </w:r>
    </w:p>
    <w:p>
      <w:pPr>
        <w:pStyle w:val="Heading1"/>
      </w:pPr>
      <w:r>
        <w:t>1 Mission Need</w:t>
      </w:r>
    </w:p>
    <w:p>
      <w:r>
        <w:rPr>
          <w:rFonts w:ascii="Calibri" w:hAnsi="Calibri"/>
          <w:sz w:val="20"/>
        </w:rPr>
        <w:t xml:space="preserve">EOSAT-1 addresses </w:t>
      </w:r>
      <w:r>
        <w:rPr>
          <w:rFonts w:ascii="Calibri" w:hAnsi="Calibri"/>
          <w:b/>
          <w:sz w:val="20"/>
        </w:rPr>
        <w:t>persistent demand</w:t>
      </w:r>
      <w:r>
        <w:rPr>
          <w:rFonts w:ascii="Calibri" w:hAnsi="Calibri"/>
          <w:sz w:val="20"/>
        </w:rPr>
        <w:t xml:space="preserve"> for high-frequency ocean colour observation.</w:t>
      </w:r>
    </w:p>
    <w:p>
      <w:pPr>
        <w:pStyle w:val="Heading1"/>
      </w:pPr>
      <w:r>
        <w:t>2 Mission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8F001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400"/>
            <w:shd w:fill="8F001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00"/>
            <w:shd w:fill="8F001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sz w:val="20"/>
              </w:rPr>
              <w:t>4-band ocean colour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sz w:val="20"/>
              </w:rPr>
              <w:t>MoP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sz w:val="20"/>
              </w:rPr>
              <w:t>&lt;2 day revisit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020" w:bottom="124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071" w:val="right"/>
      </w:tabs>
    </w:pPr>
    <w:r>
      <w:rPr>
        <w:color w:val="2D2D2C"/>
        <w:sz w:val="16"/>
      </w:rPr>
      <w:t>SCDF-MRD-6UEOCU · 6U EO CubeSat</w:t>
    </w:r>
    <w:r>
      <w:tab/>
    </w:r>
    <w:r>
      <w:rPr>
        <w:color w:val="80746C"/>
        <w:sz w:val="16"/>
      </w:rPr>
      <w:t xml:space="preserve">Page </w:t>
    </w:r>
    <w:r>
      <w:rPr>
        <w:color w:val="80746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746C"/>
        <w:sz w:val="16"/>
      </w:rPr>
      <w:t xml:space="preserve"> of / de </w:t>
    </w:r>
    <w:r>
      <w:rPr>
        <w:color w:val="80746C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tab/>
    </w:r>
    <w:r>
      <w:rPr>
        <w:b/>
        <w:color w:val="8F001A"/>
        <w:sz w:val="16"/>
      </w:rPr>
      <w:t>uOttawa SEDTI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12" w:space="1" w:color="8f001a"/>
      </w:pBdr>
    </w:pPr>
    <w:r>
      <w:rPr>
        <w:b/>
        <w:color w:val="2D2D2C"/>
        <w:sz w:val="18"/>
      </w:rPr>
      <w:t>SpaceCDF — Mission Requirements Document</w:t>
    </w:r>
    <w:r>
      <w:tab/>
    </w:r>
    <w:r>
      <w:rPr>
        <w:color w:val="80746C"/>
        <w:sz w:val="18"/>
      </w:rPr>
      <w:t>SCDF-MRD-6UEOCU</w:t>
    </w: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color w:val="2D2D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F00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F00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D2D2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3A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F00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2D2D2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  <w:jc w:val="center"/>
    </w:pPr>
    <w:rPr>
      <w:rFonts w:ascii="Calibri" w:hAnsi="Calibri"/>
      <w:b/>
      <w:bCs/>
      <w:i/>
      <w:color w:val="8074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rPr>
      <w:rFonts w:ascii="Calibri" w:hAnsi="Calibri"/>
      <w:b/>
      <w:color w:val="80746C"/>
      <w:sz w:val="18"/>
    </w:rPr>
  </w:style>
  <w:style w:type="paragraph" w:customStyle="1" w:styleId="Callout">
    <w:name w:val="Callout"/>
    <w:pPr>
      <w:spacing w:before="120" w:after="120"/>
      <w:ind w:left="454"/>
    </w:pPr>
    <w:rPr>
      <w:rFonts w:ascii="Calibri" w:hAnsi="Calibri"/>
      <w:i/>
      <w:color w:val="3A3A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