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8f001a"/>
            <w:vAlign w:val="center"/>
          </w:tcPr>
          <w:p>
            <w:pPr>
              <w:spacing w:before="280" w:after="40"/>
            </w:pPr>
            <w:r>
              <w:rPr>
                <w:rFonts w:ascii="Calibri" w:hAnsi="Calibri"/>
                <w:b w:val="0"/>
                <w:color w:val="FFFFFF"/>
                <w:sz w:val="72"/>
              </w:rPr>
              <w:t>u</w:t>
            </w:r>
            <w:r>
              <w:rPr>
                <w:rFonts w:ascii="Calibri" w:hAnsi="Calibri"/>
                <w:b/>
                <w:color w:val="FFFFFF"/>
                <w:sz w:val="72"/>
              </w:rPr>
              <w:t>Ottawa</w:t>
            </w:r>
          </w:p>
          <w:p>
            <w:pPr>
              <w:spacing w:before="40" w:after="280"/>
            </w:pPr>
            <w:r>
              <w:rPr>
                <w:rFonts w:ascii="Calibri" w:hAnsi="Calibri"/>
                <w:b/>
                <w:color w:val="FFFFFF"/>
                <w:sz w:val="18"/>
              </w:rPr>
              <w:t>UNIVERSITÉ D'OTTAWA  ·  UNIVERSITY OF OTTAWA</w:t>
            </w:r>
          </w:p>
        </w:tc>
      </w:tr>
    </w:tbl>
    <w:p>
      <w:pPr>
        <w:spacing w:after="800"/>
      </w:pPr>
    </w:p>
    <w:p>
      <w:pPr>
        <w:pStyle w:val="Title"/>
      </w:pPr>
      <w:r>
        <w:t>PDR — EOSAT-1 Multispectral Imager</w:t>
      </w:r>
    </w:p>
    <w:p>
      <w:pPr>
        <w:pStyle w:val="Subtitle"/>
        <w:spacing w:before="160" w:after="400"/>
      </w:pPr>
      <w:r>
        <w:t>Preliminary Design Review</w:t>
      </w:r>
    </w:p>
    <w:p>
      <w:r>
        <w:rPr>
          <w:b/>
          <w:color w:val="2D2D2C"/>
          <w:sz w:val="22"/>
        </w:rPr>
        <w:t>SpaceCDF</w:t>
      </w:r>
    </w:p>
    <w:p>
      <w:r>
        <w:rPr>
          <w:color w:val="2D2D2C"/>
          <w:sz w:val="22"/>
        </w:rPr>
        <w:t>2026</w:t>
      </w:r>
    </w:p>
    <w:p/>
    <w:p/>
    <w:p/>
    <w:p/>
    <w:p/>
    <w:p/>
    <w:p>
      <w:pPr>
        <w:pBdr>
          <w:bottom w:val="single" w:sz="18" w:space="1" w:color="8f001a"/>
        </w:pBdr>
      </w:pPr>
    </w:p>
    <w:p>
      <w:pPr>
        <w:spacing w:after="40"/>
      </w:pPr>
      <w:r>
        <w:rPr>
          <w:b/>
          <w:color w:val="8F001A"/>
          <w:sz w:val="21"/>
        </w:rPr>
        <w:t>Faculty of Engineering · School of Engineering Design and Teaching Innovation (SEDTI)</w:t>
      </w:r>
    </w:p>
    <w:p>
      <w:pPr>
        <w:spacing w:after="40"/>
      </w:pPr>
      <w:r>
        <w:rPr>
          <w:color w:val="2D2D2C"/>
          <w:sz w:val="19"/>
        </w:rPr>
        <w:t>SCDF-PDR-001 · 6U EO CubeSat · Issue 1.0 · 2026-05-12</w:t>
      </w:r>
    </w:p>
    <w:p>
      <w:r>
        <w:rPr>
          <w:i/>
          <w:color w:val="80746C"/>
          <w:sz w:val="18"/>
        </w:rPr>
        <w:t>Classification: Internal · Demo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2835"/>
        <w:gridCol w:w="6803"/>
      </w:tblGrid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Document code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SCDF-PDR-001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Title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Preliminary Design Review — EOSAT-1 Multispectral Imager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Study / Mission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6U EO CubeSat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Issue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Date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2026-05-12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Prepared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SpaceCDF AI Concurrent Design Facility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Reviewed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Approved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Classification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Internal · Demo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Applies 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EOSAT-1 Multispectral Imager</w:t>
            </w:r>
          </w:p>
        </w:tc>
      </w:tr>
    </w:tbl>
    <w:p>
      <w:pPr>
        <w:pStyle w:val="Heading1"/>
      </w:pPr>
      <w:r>
        <w:t>Change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By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550"/>
          </w:tcPr>
          <w:p>
            <w:r>
              <w:t>1.0</w:t>
            </w:r>
          </w:p>
        </w:tc>
        <w:tc>
          <w:tcPr>
            <w:tcW w:type="dxa" w:w="2550"/>
          </w:tcPr>
          <w:p>
            <w:r>
              <w:t>2026-05-12</w:t>
            </w:r>
          </w:p>
        </w:tc>
        <w:tc>
          <w:tcPr>
            <w:tcW w:type="dxa" w:w="2550"/>
          </w:tcPr>
          <w:p>
            <w:r>
              <w:t>SpaceCDF</w:t>
            </w:r>
          </w:p>
        </w:tc>
        <w:tc>
          <w:tcPr>
            <w:tcW w:type="dxa" w:w="2550"/>
          </w:tcPr>
          <w:p>
            <w:r>
              <w:t>Initial PDR issue generated from converged design loop.</w:t>
            </w:r>
          </w:p>
        </w:tc>
      </w:tr>
    </w:tbl>
    <w:p>
      <w:pPr>
        <w:pStyle w:val="Heading1"/>
      </w:pPr>
      <w:r>
        <w:t>Acknowledgement — Generative AI (AIG)</w:t>
      </w:r>
    </w:p>
    <w:p>
      <w:pPr>
        <w:spacing w:after="120"/>
      </w:pPr>
      <w:r>
        <w:t>This document was produced with the assistance of generative AI as part of the SpaceCDF Concurrent Design Facility workflow.  The design-loop convergence, agent rationales, embedded figures and document rendering are generated by the SpaceCDF backend (Python · matplotlib · python-docx) guided by ECSS, NASA SEH and SMAD-4 references.  Editorial framing, worked examples and pedagogical commentary remain owned by the SpaceCDF teaching team.</w:t>
      </w:r>
    </w:p>
    <w:p>
      <w:pPr>
        <w:spacing w:after="120"/>
      </w:pPr>
      <w:r>
        <w:rPr>
          <w:i/>
        </w:rPr>
        <w:t>Attribution follows the AIG (Assisted by Generative AI) framework — Peters (2023), Logos IA-EN, CC BY-NC-SA 4.0 — https://mpeters.uqo.ca/en/logos-ia-en-peters-2023/</w:t>
      </w:r>
    </w:p>
    <w:p>
      <w:r>
        <w:t>Any course deliverable that incorporates content from this document, or from any document exported by SpaceCDF, must in turn carry the AIG badge and a short note describing how generative AI was used.</w:t>
      </w:r>
    </w:p>
    <w:p>
      <w:pPr>
        <w:pStyle w:val="Heading1"/>
      </w:pPr>
      <w:r>
        <w:t>Acronyms &amp; Abbreviations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701"/>
        <w:gridCol w:w="7937"/>
      </w:tblGrid>
      <w:tr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Acronym</w:t>
            </w:r>
          </w:p>
        </w:tc>
        <w:tc>
          <w:tcPr>
            <w:tcW w:type="dxa" w:w="793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1701"/>
          </w:tcPr>
          <w:p>
            <w:r>
              <w:t>AIT</w:t>
            </w:r>
          </w:p>
        </w:tc>
        <w:tc>
          <w:tcPr>
            <w:tcW w:type="dxa" w:w="7937"/>
          </w:tcPr>
          <w:p>
            <w:r>
              <w:t>Assembly, Integration and Test</w:t>
            </w:r>
          </w:p>
        </w:tc>
      </w:tr>
      <w:tr>
        <w:tc>
          <w:tcPr>
            <w:tcW w:type="dxa" w:w="1701"/>
          </w:tcPr>
          <w:p>
            <w:r>
              <w:t>AOCS</w:t>
            </w:r>
          </w:p>
        </w:tc>
        <w:tc>
          <w:tcPr>
            <w:tcW w:type="dxa" w:w="7937"/>
          </w:tcPr>
          <w:p>
            <w:r>
              <w:t>Attitude and Orbit Control Subsystem</w:t>
            </w:r>
          </w:p>
        </w:tc>
      </w:tr>
      <w:tr>
        <w:tc>
          <w:tcPr>
            <w:tcW w:type="dxa" w:w="1701"/>
          </w:tcPr>
          <w:p>
            <w:r>
              <w:t>BoL</w:t>
            </w:r>
          </w:p>
        </w:tc>
        <w:tc>
          <w:tcPr>
            <w:tcW w:type="dxa" w:w="7937"/>
          </w:tcPr>
          <w:p>
            <w:r>
              <w:t>Beginning of Life</w:t>
            </w:r>
          </w:p>
        </w:tc>
      </w:tr>
      <w:tr>
        <w:tc>
          <w:tcPr>
            <w:tcW w:type="dxa" w:w="1701"/>
          </w:tcPr>
          <w:p>
            <w:r>
              <w:t>CDF</w:t>
            </w:r>
          </w:p>
        </w:tc>
        <w:tc>
          <w:tcPr>
            <w:tcW w:type="dxa" w:w="7937"/>
          </w:tcPr>
          <w:p>
            <w:r>
              <w:t>Concurrent Design Facility</w:t>
            </w:r>
          </w:p>
        </w:tc>
      </w:tr>
      <w:tr>
        <w:tc>
          <w:tcPr>
            <w:tcW w:type="dxa" w:w="1701"/>
          </w:tcPr>
          <w:p>
            <w:r>
              <w:t>CDR</w:t>
            </w:r>
          </w:p>
        </w:tc>
        <w:tc>
          <w:tcPr>
            <w:tcW w:type="dxa" w:w="7937"/>
          </w:tcPr>
          <w:p>
            <w:r>
              <w:t>Critical Design Review</w:t>
            </w:r>
          </w:p>
        </w:tc>
      </w:tr>
      <w:tr>
        <w:tc>
          <w:tcPr>
            <w:tcW w:type="dxa" w:w="1701"/>
          </w:tcPr>
          <w:p>
            <w:r>
              <w:t>ConOps</w:t>
            </w:r>
          </w:p>
        </w:tc>
        <w:tc>
          <w:tcPr>
            <w:tcW w:type="dxa" w:w="7937"/>
          </w:tcPr>
          <w:p>
            <w:r>
              <w:t>Concept of Operations</w:t>
            </w:r>
          </w:p>
        </w:tc>
      </w:tr>
      <w:tr>
        <w:tc>
          <w:tcPr>
            <w:tcW w:type="dxa" w:w="1701"/>
          </w:tcPr>
          <w:p>
            <w:r>
              <w:t>DDT&amp;E</w:t>
            </w:r>
          </w:p>
        </w:tc>
        <w:tc>
          <w:tcPr>
            <w:tcW w:type="dxa" w:w="7937"/>
          </w:tcPr>
          <w:p>
            <w:r>
              <w:t>Design, Development, Test and Evaluation</w:t>
            </w:r>
          </w:p>
        </w:tc>
      </w:tr>
      <w:tr>
        <w:tc>
          <w:tcPr>
            <w:tcW w:type="dxa" w:w="1701"/>
          </w:tcPr>
          <w:p>
            <w:r>
              <w:t>EPS</w:t>
            </w:r>
          </w:p>
        </w:tc>
        <w:tc>
          <w:tcPr>
            <w:tcW w:type="dxa" w:w="7937"/>
          </w:tcPr>
          <w:p>
            <w:r>
              <w:t>Electrical Power Subsystem</w:t>
            </w:r>
          </w:p>
        </w:tc>
      </w:tr>
      <w:tr>
        <w:tc>
          <w:tcPr>
            <w:tcW w:type="dxa" w:w="1701"/>
          </w:tcPr>
          <w:p>
            <w:r>
              <w:t>EoL</w:t>
            </w:r>
          </w:p>
        </w:tc>
        <w:tc>
          <w:tcPr>
            <w:tcW w:type="dxa" w:w="7937"/>
          </w:tcPr>
          <w:p>
            <w:r>
              <w:t>End of Life</w:t>
            </w:r>
          </w:p>
        </w:tc>
      </w:tr>
      <w:tr>
        <w:tc>
          <w:tcPr>
            <w:tcW w:type="dxa" w:w="1701"/>
          </w:tcPr>
          <w:p>
            <w:r>
              <w:t>FMECA</w:t>
            </w:r>
          </w:p>
        </w:tc>
        <w:tc>
          <w:tcPr>
            <w:tcW w:type="dxa" w:w="7937"/>
          </w:tcPr>
          <w:p>
            <w:r>
              <w:t>Failure Mode, Effects and Criticality Analysis</w:t>
            </w:r>
          </w:p>
        </w:tc>
      </w:tr>
      <w:tr>
        <w:tc>
          <w:tcPr>
            <w:tcW w:type="dxa" w:w="1701"/>
          </w:tcPr>
          <w:p>
            <w:r>
              <w:t>GS</w:t>
            </w:r>
          </w:p>
        </w:tc>
        <w:tc>
          <w:tcPr>
            <w:tcW w:type="dxa" w:w="7937"/>
          </w:tcPr>
          <w:p>
            <w:r>
              <w:t>Ground Station</w:t>
            </w:r>
          </w:p>
        </w:tc>
      </w:tr>
      <w:tr>
        <w:tc>
          <w:tcPr>
            <w:tcW w:type="dxa" w:w="1701"/>
          </w:tcPr>
          <w:p>
            <w:r>
              <w:t>IADC</w:t>
            </w:r>
          </w:p>
        </w:tc>
        <w:tc>
          <w:tcPr>
            <w:tcW w:type="dxa" w:w="7937"/>
          </w:tcPr>
          <w:p>
            <w:r>
              <w:t>Inter-Agency Space Debris Coordination Committee</w:t>
            </w:r>
          </w:p>
        </w:tc>
      </w:tr>
      <w:tr>
        <w:tc>
          <w:tcPr>
            <w:tcW w:type="dxa" w:w="1701"/>
          </w:tcPr>
          <w:p>
            <w:r>
              <w:t>ITU</w:t>
            </w:r>
          </w:p>
        </w:tc>
        <w:tc>
          <w:tcPr>
            <w:tcW w:type="dxa" w:w="7937"/>
          </w:tcPr>
          <w:p>
            <w:r>
              <w:t>International Telecommunication Union</w:t>
            </w:r>
          </w:p>
        </w:tc>
      </w:tr>
      <w:tr>
        <w:tc>
          <w:tcPr>
            <w:tcW w:type="dxa" w:w="1701"/>
          </w:tcPr>
          <w:p>
            <w:r>
              <w:t>MLI</w:t>
            </w:r>
          </w:p>
        </w:tc>
        <w:tc>
          <w:tcPr>
            <w:tcW w:type="dxa" w:w="7937"/>
          </w:tcPr>
          <w:p>
            <w:r>
              <w:t>Multi-Layer Insulation</w:t>
            </w:r>
          </w:p>
        </w:tc>
      </w:tr>
      <w:tr>
        <w:tc>
          <w:tcPr>
            <w:tcW w:type="dxa" w:w="1701"/>
          </w:tcPr>
          <w:p>
            <w:r>
              <w:t>MRD</w:t>
            </w:r>
          </w:p>
        </w:tc>
        <w:tc>
          <w:tcPr>
            <w:tcW w:type="dxa" w:w="7937"/>
          </w:tcPr>
          <w:p>
            <w:r>
              <w:t>Mission Requirements Document</w:t>
            </w:r>
          </w:p>
        </w:tc>
      </w:tr>
      <w:tr>
        <w:tc>
          <w:tcPr>
            <w:tcW w:type="dxa" w:w="1701"/>
          </w:tcPr>
          <w:p>
            <w:r>
              <w:t>MTBF</w:t>
            </w:r>
          </w:p>
        </w:tc>
        <w:tc>
          <w:tcPr>
            <w:tcW w:type="dxa" w:w="7937"/>
          </w:tcPr>
          <w:p>
            <w:r>
              <w:t>Mean Time Between Failures</w:t>
            </w:r>
          </w:p>
        </w:tc>
      </w:tr>
      <w:tr>
        <w:tc>
          <w:tcPr>
            <w:tcW w:type="dxa" w:w="1701"/>
          </w:tcPr>
          <w:p>
            <w:r>
              <w:t>OBDH</w:t>
            </w:r>
          </w:p>
        </w:tc>
        <w:tc>
          <w:tcPr>
            <w:tcW w:type="dxa" w:w="7937"/>
          </w:tcPr>
          <w:p>
            <w:r>
              <w:t>On-Board Data Handling</w:t>
            </w:r>
          </w:p>
        </w:tc>
      </w:tr>
      <w:tr>
        <w:tc>
          <w:tcPr>
            <w:tcW w:type="dxa" w:w="1701"/>
          </w:tcPr>
          <w:p>
            <w:r>
              <w:t>PDR</w:t>
            </w:r>
          </w:p>
        </w:tc>
        <w:tc>
          <w:tcPr>
            <w:tcW w:type="dxa" w:w="7937"/>
          </w:tcPr>
          <w:p>
            <w:r>
              <w:t>Preliminary Design Review</w:t>
            </w:r>
          </w:p>
        </w:tc>
      </w:tr>
      <w:tr>
        <w:tc>
          <w:tcPr>
            <w:tcW w:type="dxa" w:w="1701"/>
          </w:tcPr>
          <w:p>
            <w:r>
              <w:t>RPN</w:t>
            </w:r>
          </w:p>
        </w:tc>
        <w:tc>
          <w:tcPr>
            <w:tcW w:type="dxa" w:w="7937"/>
          </w:tcPr>
          <w:p>
            <w:r>
              <w:t>Risk Priority Number</w:t>
            </w:r>
          </w:p>
        </w:tc>
      </w:tr>
      <w:tr>
        <w:tc>
          <w:tcPr>
            <w:tcW w:type="dxa" w:w="1701"/>
          </w:tcPr>
          <w:p>
            <w:r>
              <w:t>RW</w:t>
            </w:r>
          </w:p>
        </w:tc>
        <w:tc>
          <w:tcPr>
            <w:tcW w:type="dxa" w:w="7937"/>
          </w:tcPr>
          <w:p>
            <w:r>
              <w:t>Reaction Wheel</w:t>
            </w:r>
          </w:p>
        </w:tc>
      </w:tr>
      <w:tr>
        <w:tc>
          <w:tcPr>
            <w:tcW w:type="dxa" w:w="1701"/>
          </w:tcPr>
          <w:p>
            <w:r>
              <w:t>SA</w:t>
            </w:r>
          </w:p>
        </w:tc>
        <w:tc>
          <w:tcPr>
            <w:tcW w:type="dxa" w:w="7937"/>
          </w:tcPr>
          <w:p>
            <w:r>
              <w:t>Solar Array</w:t>
            </w:r>
          </w:p>
        </w:tc>
      </w:tr>
      <w:tr>
        <w:tc>
          <w:tcPr>
            <w:tcW w:type="dxa" w:w="1701"/>
          </w:tcPr>
          <w:p>
            <w:r>
              <w:t>SCDF</w:t>
            </w:r>
          </w:p>
        </w:tc>
        <w:tc>
          <w:tcPr>
            <w:tcW w:type="dxa" w:w="7937"/>
          </w:tcPr>
          <w:p>
            <w:r>
              <w:t>SpaceCDF Concurrent Design Facility</w:t>
            </w:r>
          </w:p>
        </w:tc>
      </w:tr>
      <w:tr>
        <w:tc>
          <w:tcPr>
            <w:tcW w:type="dxa" w:w="1701"/>
          </w:tcPr>
          <w:p>
            <w:r>
              <w:t>SRR</w:t>
            </w:r>
          </w:p>
        </w:tc>
        <w:tc>
          <w:tcPr>
            <w:tcW w:type="dxa" w:w="7937"/>
          </w:tcPr>
          <w:p>
            <w:r>
              <w:t>System Requirements Review</w:t>
            </w:r>
          </w:p>
        </w:tc>
      </w:tr>
      <w:tr>
        <w:tc>
          <w:tcPr>
            <w:tcW w:type="dxa" w:w="1701"/>
          </w:tcPr>
          <w:p>
            <w:r>
              <w:t>SSO</w:t>
            </w:r>
          </w:p>
        </w:tc>
        <w:tc>
          <w:tcPr>
            <w:tcW w:type="dxa" w:w="7937"/>
          </w:tcPr>
          <w:p>
            <w:r>
              <w:t>Sun-Synchronous Orbit</w:t>
            </w:r>
          </w:p>
        </w:tc>
      </w:tr>
      <w:tr>
        <w:tc>
          <w:tcPr>
            <w:tcW w:type="dxa" w:w="1701"/>
          </w:tcPr>
          <w:p>
            <w:r>
              <w:t>TCS</w:t>
            </w:r>
          </w:p>
        </w:tc>
        <w:tc>
          <w:tcPr>
            <w:tcW w:type="dxa" w:w="7937"/>
          </w:tcPr>
          <w:p>
            <w:r>
              <w:t>Thermal Control Subsystem</w:t>
            </w:r>
          </w:p>
        </w:tc>
      </w:tr>
      <w:tr>
        <w:tc>
          <w:tcPr>
            <w:tcW w:type="dxa" w:w="1701"/>
          </w:tcPr>
          <w:p>
            <w:r>
              <w:t>TRL</w:t>
            </w:r>
          </w:p>
        </w:tc>
        <w:tc>
          <w:tcPr>
            <w:tcW w:type="dxa" w:w="7937"/>
          </w:tcPr>
          <w:p>
            <w:r>
              <w:t>Technology Readiness Level</w:t>
            </w:r>
          </w:p>
        </w:tc>
      </w:tr>
      <w:tr>
        <w:tc>
          <w:tcPr>
            <w:tcW w:type="dxa" w:w="1701"/>
          </w:tcPr>
          <w:p>
            <w:r>
              <w:t>TT&amp;C</w:t>
            </w:r>
          </w:p>
        </w:tc>
        <w:tc>
          <w:tcPr>
            <w:tcW w:type="dxa" w:w="7937"/>
          </w:tcPr>
          <w:p>
            <w:r>
              <w:t>Telemetry, Tracking and Command</w:t>
            </w:r>
          </w:p>
        </w:tc>
      </w:tr>
      <w:tr>
        <w:tc>
          <w:tcPr>
            <w:tcW w:type="dxa" w:w="1701"/>
          </w:tcPr>
          <w:p>
            <w:r>
              <w:t>VP</w:t>
            </w:r>
          </w:p>
        </w:tc>
        <w:tc>
          <w:tcPr>
            <w:tcW w:type="dxa" w:w="7937"/>
          </w:tcPr>
          <w:p>
            <w:r>
              <w:t>Verification Plan</w:t>
            </w:r>
          </w:p>
        </w:tc>
      </w:tr>
      <w:tr>
        <w:tc>
          <w:tcPr>
            <w:tcW w:type="dxa" w:w="1701"/>
          </w:tcPr>
          <w:p>
            <w:r>
              <w:t>WBS</w:t>
            </w:r>
          </w:p>
        </w:tc>
        <w:tc>
          <w:tcPr>
            <w:tcW w:type="dxa" w:w="7937"/>
          </w:tcPr>
          <w:p>
            <w:r>
              <w:t>Work Breakdown Structure</w:t>
            </w:r>
          </w:p>
        </w:tc>
      </w:tr>
    </w:tbl>
    <w:p>
      <w:pPr>
        <w:pStyle w:val="Heading1"/>
      </w:pPr>
      <w:r>
        <w:t>Applicable Documents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268"/>
        <w:gridCol w:w="6350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63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020"/>
          </w:tcPr>
          <w:p>
            <w:r>
              <w:t>AD-01</w:t>
            </w:r>
          </w:p>
        </w:tc>
        <w:tc>
          <w:tcPr>
            <w:tcW w:type="dxa" w:w="2268"/>
          </w:tcPr>
          <w:p>
            <w:r>
              <w:t>ECSS-M-ST-10C Rev.1</w:t>
            </w:r>
          </w:p>
        </w:tc>
        <w:tc>
          <w:tcPr>
            <w:tcW w:type="dxa" w:w="6350"/>
          </w:tcPr>
          <w:p>
            <w:r>
              <w:t>Space project management</w:t>
            </w:r>
          </w:p>
        </w:tc>
      </w:tr>
      <w:tr>
        <w:tc>
          <w:tcPr>
            <w:tcW w:type="dxa" w:w="1020"/>
          </w:tcPr>
          <w:p>
            <w:r>
              <w:t>AD-02</w:t>
            </w:r>
          </w:p>
        </w:tc>
        <w:tc>
          <w:tcPr>
            <w:tcW w:type="dxa" w:w="2268"/>
          </w:tcPr>
          <w:p>
            <w:r>
              <w:t>ECSS-E-ST-10C Rev.1</w:t>
            </w:r>
          </w:p>
        </w:tc>
        <w:tc>
          <w:tcPr>
            <w:tcW w:type="dxa" w:w="6350"/>
          </w:tcPr>
          <w:p>
            <w:r>
              <w:t>System engineering general requirements</w:t>
            </w:r>
          </w:p>
        </w:tc>
      </w:tr>
      <w:tr>
        <w:tc>
          <w:tcPr>
            <w:tcW w:type="dxa" w:w="1020"/>
          </w:tcPr>
          <w:p>
            <w:r>
              <w:t>AD-03</w:t>
            </w:r>
          </w:p>
        </w:tc>
        <w:tc>
          <w:tcPr>
            <w:tcW w:type="dxa" w:w="2268"/>
          </w:tcPr>
          <w:p>
            <w:r>
              <w:t>ECSS-E-ST-10-02C</w:t>
            </w:r>
          </w:p>
        </w:tc>
        <w:tc>
          <w:tcPr>
            <w:tcW w:type="dxa" w:w="6350"/>
          </w:tcPr>
          <w:p>
            <w:r>
              <w:t>Verification requirements</w:t>
            </w:r>
          </w:p>
        </w:tc>
      </w:tr>
      <w:tr>
        <w:tc>
          <w:tcPr>
            <w:tcW w:type="dxa" w:w="1020"/>
          </w:tcPr>
          <w:p>
            <w:r>
              <w:t>AD-04</w:t>
            </w:r>
          </w:p>
        </w:tc>
        <w:tc>
          <w:tcPr>
            <w:tcW w:type="dxa" w:w="2268"/>
          </w:tcPr>
          <w:p>
            <w:r>
              <w:t>ECSS-E-ST-10-06C</w:t>
            </w:r>
          </w:p>
        </w:tc>
        <w:tc>
          <w:tcPr>
            <w:tcW w:type="dxa" w:w="6350"/>
          </w:tcPr>
          <w:p>
            <w:r>
              <w:t>Technical requirements specification</w:t>
            </w:r>
          </w:p>
        </w:tc>
      </w:tr>
      <w:tr>
        <w:tc>
          <w:tcPr>
            <w:tcW w:type="dxa" w:w="1020"/>
          </w:tcPr>
          <w:p>
            <w:r>
              <w:t>AD-05</w:t>
            </w:r>
          </w:p>
        </w:tc>
        <w:tc>
          <w:tcPr>
            <w:tcW w:type="dxa" w:w="2268"/>
          </w:tcPr>
          <w:p>
            <w:r>
              <w:t>ECSS-Q-ST-30C</w:t>
            </w:r>
          </w:p>
        </w:tc>
        <w:tc>
          <w:tcPr>
            <w:tcW w:type="dxa" w:w="6350"/>
          </w:tcPr>
          <w:p>
            <w:r>
              <w:t>Dependability</w:t>
            </w:r>
          </w:p>
        </w:tc>
      </w:tr>
      <w:tr>
        <w:tc>
          <w:tcPr>
            <w:tcW w:type="dxa" w:w="1020"/>
          </w:tcPr>
          <w:p>
            <w:r>
              <w:t>AD-06</w:t>
            </w:r>
          </w:p>
        </w:tc>
        <w:tc>
          <w:tcPr>
            <w:tcW w:type="dxa" w:w="2268"/>
          </w:tcPr>
          <w:p>
            <w:r>
              <w:t>ECSS-Q-ST-40C Rev.1</w:t>
            </w:r>
          </w:p>
        </w:tc>
        <w:tc>
          <w:tcPr>
            <w:tcW w:type="dxa" w:w="6350"/>
          </w:tcPr>
          <w:p>
            <w:r>
              <w:t>Safety</w:t>
            </w:r>
          </w:p>
        </w:tc>
      </w:tr>
    </w:tbl>
    <w:p>
      <w:pPr>
        <w:pStyle w:val="Heading1"/>
      </w:pPr>
      <w:r>
        <w:t>Reference Documents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268"/>
        <w:gridCol w:w="6350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63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020"/>
          </w:tcPr>
          <w:p>
            <w:r>
              <w:t>RD-01</w:t>
            </w:r>
          </w:p>
        </w:tc>
        <w:tc>
          <w:tcPr>
            <w:tcW w:type="dxa" w:w="2268"/>
          </w:tcPr>
          <w:p>
            <w:r>
              <w:t>NASA SP-2016-6105</w:t>
            </w:r>
          </w:p>
        </w:tc>
        <w:tc>
          <w:tcPr>
            <w:tcW w:type="dxa" w:w="6350"/>
          </w:tcPr>
          <w:p>
            <w:r>
              <w:t>NASA Systems Engineering Handbook Rev. 2</w:t>
            </w:r>
          </w:p>
        </w:tc>
      </w:tr>
      <w:tr>
        <w:tc>
          <w:tcPr>
            <w:tcW w:type="dxa" w:w="1020"/>
          </w:tcPr>
          <w:p>
            <w:r>
              <w:t>RD-02</w:t>
            </w:r>
          </w:p>
        </w:tc>
        <w:tc>
          <w:tcPr>
            <w:tcW w:type="dxa" w:w="2268"/>
          </w:tcPr>
          <w:p>
            <w:r>
              <w:t>NPR 7123.1D</w:t>
            </w:r>
          </w:p>
        </w:tc>
        <w:tc>
          <w:tcPr>
            <w:tcW w:type="dxa" w:w="6350"/>
          </w:tcPr>
          <w:p>
            <w:r>
              <w:t>NASA Systems Engineering Processes and Requirements</w:t>
            </w:r>
          </w:p>
        </w:tc>
      </w:tr>
      <w:tr>
        <w:tc>
          <w:tcPr>
            <w:tcW w:type="dxa" w:w="1020"/>
          </w:tcPr>
          <w:p>
            <w:r>
              <w:t>RD-03</w:t>
            </w:r>
          </w:p>
        </w:tc>
        <w:tc>
          <w:tcPr>
            <w:tcW w:type="dxa" w:w="2268"/>
          </w:tcPr>
          <w:p>
            <w:r>
              <w:t>SMAD-4</w:t>
            </w:r>
          </w:p>
        </w:tc>
        <w:tc>
          <w:tcPr>
            <w:tcW w:type="dxa" w:w="6350"/>
          </w:tcPr>
          <w:p>
            <w:r>
              <w:t>Space Mission Analysis and Design (4th ed.)</w:t>
            </w:r>
          </w:p>
        </w:tc>
      </w:tr>
      <w:tr>
        <w:tc>
          <w:tcPr>
            <w:tcW w:type="dxa" w:w="1020"/>
          </w:tcPr>
          <w:p>
            <w:r>
              <w:t>RD-04</w:t>
            </w:r>
          </w:p>
        </w:tc>
        <w:tc>
          <w:tcPr>
            <w:tcW w:type="dxa" w:w="2268"/>
          </w:tcPr>
          <w:p>
            <w:r>
              <w:t>ECSS-U-AS-10C Rev.2</w:t>
            </w:r>
          </w:p>
        </w:tc>
        <w:tc>
          <w:tcPr>
            <w:tcW w:type="dxa" w:w="6350"/>
          </w:tcPr>
          <w:p>
            <w:r>
              <w:t>Space debris mitigation requirements</w:t>
            </w:r>
          </w:p>
        </w:tc>
      </w:tr>
      <w:tr>
        <w:tc>
          <w:tcPr>
            <w:tcW w:type="dxa" w:w="1020"/>
          </w:tcPr>
          <w:p>
            <w:r>
              <w:t>RD-05</w:t>
            </w:r>
          </w:p>
        </w:tc>
        <w:tc>
          <w:tcPr>
            <w:tcW w:type="dxa" w:w="2268"/>
          </w:tcPr>
          <w:p>
            <w:r>
              <w:t>ISO 24113:2023</w:t>
            </w:r>
          </w:p>
        </w:tc>
        <w:tc>
          <w:tcPr>
            <w:tcW w:type="dxa" w:w="6350"/>
          </w:tcPr>
          <w:p>
            <w:r>
              <w:t>Space debris mitigation requirements</w:t>
            </w:r>
          </w:p>
        </w:tc>
      </w:tr>
      <w:tr>
        <w:tc>
          <w:tcPr>
            <w:tcW w:type="dxa" w:w="1020"/>
          </w:tcPr>
          <w:p>
            <w:r>
              <w:t>RD-06</w:t>
            </w:r>
          </w:p>
        </w:tc>
        <w:tc>
          <w:tcPr>
            <w:tcW w:type="dxa" w:w="2268"/>
          </w:tcPr>
          <w:p>
            <w:r>
              <w:t>ITU-R P.618-13</w:t>
            </w:r>
          </w:p>
        </w:tc>
        <w:tc>
          <w:tcPr>
            <w:tcW w:type="dxa" w:w="6350"/>
          </w:tcPr>
          <w:p>
            <w:r>
              <w:t>Propagation data for Earth-space links</w:t>
            </w:r>
          </w:p>
        </w:tc>
      </w:tr>
      <w:tr>
        <w:tc>
          <w:tcPr>
            <w:tcW w:type="dxa" w:w="1020"/>
          </w:tcPr>
          <w:p>
            <w:r>
              <w:t>RD-07</w:t>
            </w:r>
          </w:p>
        </w:tc>
        <w:tc>
          <w:tcPr>
            <w:tcW w:type="dxa" w:w="2268"/>
          </w:tcPr>
          <w:p>
            <w:r>
              <w:t>ITU-R P.676-13</w:t>
            </w:r>
          </w:p>
        </w:tc>
        <w:tc>
          <w:tcPr>
            <w:tcW w:type="dxa" w:w="6350"/>
          </w:tcPr>
          <w:p>
            <w:r>
              <w:t>Attenuation by atmospheric gases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to populate.</w:t>
        <w:fldChar w:fldCharType="end"/>
      </w:r>
    </w:p>
    <w:p>
      <w:r>
        <w:br w:type="page"/>
      </w:r>
    </w:p>
    <w:p>
      <w:bookmarkStart w:id="1023" w:name="sec_scope"/>
      <w:pPr>
        <w:pStyle w:val="Heading1"/>
      </w:pPr>
      <w:r>
        <w:t>1. Scope</w:t>
      </w:r>
      <w:bookmarkEnd w:id="1023"/>
    </w:p>
    <w:p>
      <w:pPr>
        <w:pStyle w:val="Heading2"/>
      </w:pPr>
      <w:r>
        <w:t>1.1 Purpose</w:t>
      </w:r>
    </w:p>
    <w:p>
      <w:r>
        <w:t>This document is the Preliminary Design Review for the EOSAT-1 Multispectral Imager.  It captures the converged engineering baseline produced by the SpaceCDF AI Concurrent Design Facility and provides the evidence required for the PDR review gate per ECSS-M-ST-10C Rev.1.</w:t>
      </w:r>
    </w:p>
    <w:p>
      <w:pPr>
        <w:pStyle w:val="Heading2"/>
      </w:pPr>
      <w:r>
        <w:t>1.2 Applicability</w:t>
      </w:r>
    </w:p>
    <w:p>
      <w:r>
        <w:t>The contents are applicable to all engineering disciplines, project management, product assurance and operations.  Subsystem-level data items inherit applicability from the parent applicable documents listed above.</w:t>
      </w:r>
    </w:p>
    <w:p>
      <w:pPr>
        <w:pStyle w:val="Heading2"/>
      </w:pPr>
      <w:r>
        <w:t>1.3 Conventions</w:t>
      </w:r>
    </w:p>
    <w:p>
      <w:r>
        <w:t>All units are SI unless otherwise stated.  Margins are quoted relative to the nominal value (i.e. with-margin = nominal × (1 + margin%)).  Status colours follow the SpaceCDF / ECSS convention: green = compliant, amber = marginal, red = non-compliant or exceeded.</w:t>
      </w:r>
    </w:p>
    <w:p>
      <w:bookmarkStart w:id="1024" w:name="sec_mission"/>
      <w:pPr>
        <w:pStyle w:val="Heading1"/>
      </w:pPr>
      <w:r>
        <w:t>2. Mission Overview</w:t>
      </w:r>
      <w:bookmarkEnd w:id="1024"/>
    </w:p>
    <w:p>
      <w:r>
        <w:t>Mission 'EOSAT-1 Multispectral Imager' is a Earth Observation mission carried out by 1 nano-class spacecraft over a design life of 3.0 years.  Top-level mission targets are 12.0 kg launch mass and 5.0 MEUR total programme cost.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Mission attribute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name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EOSAT-1 Multispectral Imager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type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Earth Observation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Spacecraft class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nano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Number of spacecraft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Design lifetime (yr)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Reliability target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Cost target (MEUR)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Mass target (kg)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Ground stations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KSAT Svalbard, KSAT Troll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1 — </w:t>
      </w:r>
      <w:r>
        <w:rPr>
          <w:i/>
          <w:color w:val="80746C"/>
        </w:rPr>
        <w:t>Top-level mission descriptor.</w:t>
      </w:r>
    </w:p>
    <w:p>
      <w:pPr>
        <w:pStyle w:val="Heading2"/>
      </w:pPr>
      <w:r>
        <w:t>2.1 Payload complement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525" w:type="dxa"/>
      </w:tblPr>
      <w:tblGrid>
        <w:gridCol w:w="1814"/>
        <w:gridCol w:w="1701"/>
        <w:gridCol w:w="1134"/>
        <w:gridCol w:w="1134"/>
        <w:gridCol w:w="1361"/>
        <w:gridCol w:w="1361"/>
        <w:gridCol w:w="1020"/>
      </w:tblGrid>
      <w:tr>
        <w:tc>
          <w:tcPr>
            <w:tcW w:type="dxa" w:w="181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Mass (kg)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Power (W)</w:t>
            </w:r>
          </w:p>
        </w:tc>
        <w:tc>
          <w:tcPr>
            <w:tcW w:type="dxa" w:w="136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Rate (Mbps)</w:t>
            </w:r>
          </w:p>
        </w:tc>
        <w:tc>
          <w:tcPr>
            <w:tcW w:type="dxa" w:w="136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Pointing (°)</w:t>
            </w:r>
          </w:p>
        </w:tc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Duty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Multispectral Imager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optical_imager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20.0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25%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2 — </w:t>
      </w:r>
      <w:r>
        <w:rPr>
          <w:i/>
          <w:color w:val="80746C"/>
        </w:rPr>
        <w:t>Payload complement.</w:t>
      </w:r>
    </w:p>
    <w:p>
      <w:bookmarkStart w:id="1025" w:name="sec_conops"/>
      <w:pPr>
        <w:pStyle w:val="Heading1"/>
      </w:pPr>
      <w:r>
        <w:t>3. Concept of Operations &amp; Orbit</w:t>
      </w:r>
      <w:bookmarkEnd w:id="1025"/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Orbit type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SSO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Altitude (km)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450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Inclination (deg)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97.40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Period (min)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93.4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Orbits per day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15.41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Velocity (m/s)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7644.4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Eclipse fraction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0.384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Footprint radius (km)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2327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Contact time / day (s)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2055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duration (yr)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3 — </w:t>
      </w:r>
      <w:r>
        <w:rPr>
          <w:i/>
          <w:color w:val="80746C"/>
        </w:rPr>
        <w:t>Orbital parameters.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96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 — </w:t>
      </w:r>
      <w:r>
        <w:rPr>
          <w:i/>
          <w:color w:val="80746C"/>
        </w:rPr>
        <w:t>SSO orbit geometry with shaded eclipse arc.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93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3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2 — </w:t>
      </w:r>
      <w:r>
        <w:rPr>
          <w:i/>
          <w:color w:val="80746C"/>
        </w:rPr>
        <w:t>Indicative ground track over three consecutive orbits.</w:t>
      </w:r>
    </w:p>
    <w:p>
      <w:pPr>
        <w:pStyle w:val="Heading3"/>
      </w:pPr>
      <w:r>
        <w:t>Rationale</w:t>
      </w:r>
    </w:p>
    <w:p>
      <w:r>
        <w:t>Orbit chosen as SSO at 450 km altitude and inclination 97.40°.  The Keplerian period is 93.4 min (15.4 orbits / day) with an eclipse fraction of 0.38 (cylindrical shadow).  A high-latitude ground station near 78° provides ≈34.2 min of contact / day.</w:t>
      </w:r>
    </w:p>
    <w:p>
      <w:pPr>
        <w:pStyle w:val="Heading3"/>
      </w:pPr>
      <w:r>
        <w:t>Assumptions</w:t>
      </w:r>
    </w:p>
    <w:p>
      <w:pPr>
        <w:pStyle w:val="ListBullet"/>
      </w:pPr>
      <w:r>
        <w:t>Cylindrical Earth-shadow eclipse model (no penumbra).</w:t>
      </w:r>
    </w:p>
    <w:p>
      <w:pPr>
        <w:pStyle w:val="ListBullet"/>
      </w:pPr>
      <w:r>
        <w:t>Ground-station latitude assumed 78° (Svalbard-class).</w:t>
      </w:r>
    </w:p>
    <w:p>
      <w:pPr>
        <w:pStyle w:val="ListBullet"/>
      </w:pPr>
      <w:r>
        <w:t>Station-keeping ΔV from JR-1971 drag model over 3-yr life.</w:t>
      </w:r>
    </w:p>
    <w:p>
      <w:pPr>
        <w:pStyle w:val="Heading2"/>
      </w:pPr>
      <w:r>
        <w:t>3.1 ΔV breakdown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2268"/>
        <w:gridCol w:w="1417"/>
        <w:gridCol w:w="5953"/>
      </w:tblGrid>
      <w:tr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ΔV (m/s)</w:t>
            </w:r>
          </w:p>
        </w:tc>
        <w:tc>
          <w:tcPr>
            <w:tcW w:type="dxa" w:w="5953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Station-keeping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4.6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Drag makeup over 3 yr design life.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Collision avoidance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</w:t>
            </w:r>
          </w:p>
        </w:tc>
        <w:tc>
          <w:tcPr>
            <w:tcW w:type="dxa" w:w="5953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Allowance of ~1 m/s per year for collision-avoidance burns.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Deorbit / EOL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Lower perigee for ≤25-yr re-entry (IADC compliance).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4 — </w:t>
      </w:r>
      <w:r>
        <w:rPr>
          <w:i/>
          <w:color w:val="80746C"/>
        </w:rPr>
        <w:t>ΔV budget breakdown.</w:t>
      </w:r>
    </w:p>
    <w:p>
      <w:bookmarkStart w:id="1026" w:name="sec_arch"/>
      <w:pPr>
        <w:pStyle w:val="Heading1"/>
      </w:pPr>
      <w:r>
        <w:t>4. System Architecture</w:t>
      </w:r>
      <w:bookmarkEnd w:id="1026"/>
    </w:p>
    <w:p>
      <w:r>
        <w:t>The spacecraft system architecture follows the canonical CubeSat-class topology with a payload routing data through the OBDH to the TT&amp;C subsystem, while the EPS distributes regulated power to all platform subsystems.  AOCS drives propulsion (when fitted) and the thermal subsystem couples conductively to the structure.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956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5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3 — </w:t>
      </w:r>
      <w:r>
        <w:rPr>
          <w:i/>
          <w:color w:val="80746C"/>
        </w:rPr>
        <w:t>Spacecraft system architecture — block diagram.</w:t>
      </w:r>
    </w:p>
    <w:p>
      <w:bookmarkStart w:id="1027" w:name="sec_payload"/>
      <w:pPr>
        <w:pStyle w:val="Heading1"/>
      </w:pPr>
      <w:r>
        <w:t>5. Payload</w:t>
      </w:r>
      <w:bookmarkEnd w:id="1027"/>
    </w:p>
    <w:p>
      <w:pPr>
        <w:pStyle w:val="Heading2"/>
      </w:pPr>
      <w:r>
        <w:t>5.1 Multispectral Imager</w:t>
      </w:r>
    </w:p>
    <w:p>
      <w:r>
        <w:t>4-band ocean colour imager (443, 560, 665, 865 nm)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Attribute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Type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optical_imager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Mass (kg)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Power, mean (W)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20.0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Power, peak (W)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45.0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rate (Mbps)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volume / day (GB)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Pointing accuracy (°)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Duty cycle (%)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25</w:t>
            </w:r>
          </w:p>
        </w:tc>
      </w:tr>
    </w:tbl>
    <w:p>
      <w:bookmarkStart w:id="1028" w:name="sec_eps"/>
      <w:pPr>
        <w:pStyle w:val="Heading1"/>
      </w:pPr>
      <w:r>
        <w:t>6. Electrical Power Subsystem</w:t>
      </w:r>
      <w:bookmarkEnd w:id="1028"/>
    </w:p>
    <w:p>
      <w:pPr>
        <w:pStyle w:val="Heading3"/>
      </w:pPr>
      <w:r>
        <w:t>Rationale</w:t>
      </w:r>
    </w:p>
    <w:p>
      <w:r>
        <w:t>Electrical power system sized for a worst-case sunlight load of 31.0 W and worst-case eclipse load of 36.0 W.  Solar array delivers 76.5 W BoL / 70.9 W EoL after 3.0 yr of degradation, covering 0.216 m² of 29.5%-efficient cells.  Battery capacity 71.7 Wh chosen for 30.0% depth-of-discharge over the eclipse duration.</w:t>
      </w:r>
    </w:p>
    <w:p>
      <w:pPr>
        <w:pStyle w:val="Heading3"/>
      </w:pPr>
      <w:r>
        <w:t>Assumptions</w:t>
      </w:r>
    </w:p>
    <w:p>
      <w:pPr>
        <w:pStyle w:val="ListBullet"/>
      </w:pPr>
      <w:r>
        <w:t>Solar cell efficiency 29.5% (class-appropriate triple-junction GaAs / KB-resolved cell).</w:t>
      </w:r>
    </w:p>
    <w:p>
      <w:pPr>
        <w:pStyle w:val="ListBullet"/>
      </w:pPr>
      <w:r>
        <w:t>Specific power 80 W/kg.</w:t>
      </w:r>
    </w:p>
    <w:p>
      <w:pPr>
        <w:pStyle w:val="ListBullet"/>
      </w:pPr>
      <w:r>
        <w:t>Mode profile estimated from payload duty cycles.</w:t>
      </w:r>
    </w:p>
    <w:p>
      <w:pPr>
        <w:pStyle w:val="ListBullet"/>
      </w:pPr>
      <w:r>
        <w:t>Heater allocation 10.0 W during eclipse.</w:t>
      </w:r>
    </w:p>
    <w:p>
      <w:pPr>
        <w:pStyle w:val="ListBullet"/>
      </w:pPr>
      <w:r>
        <w:t>Battery DoD limit 30% (ECSS Li-ion practice).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Capacity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DOD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0.48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 Cost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 Total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Array Area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0.216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m²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Array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0.89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SA Power BOL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76.5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SA Power EOL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70.9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Power (Eclipse)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36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Power (Sunlight)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93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3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4 — </w:t>
      </w:r>
      <w:r>
        <w:rPr>
          <w:i/>
          <w:color w:val="80746C"/>
        </w:rPr>
        <w:t>Orbit-averaged power profile (sunlit / eclipse, SA EoL line).</w:t>
      </w:r>
    </w:p>
    <w:p>
      <w:pPr>
        <w:pStyle w:val="Heading2"/>
      </w:pPr>
      <w:r>
        <w:t>6.2 Battery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Capacity (Wh)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71.7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Depth of discharge (%)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30.0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Mass (kg)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0.48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Chemistry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Li-ion (assumed)</w:t>
            </w:r>
          </w:p>
        </w:tc>
      </w:tr>
    </w:tbl>
    <w:p>
      <w:bookmarkStart w:id="1029" w:name="sec_tcs"/>
      <w:pPr>
        <w:pStyle w:val="Heading1"/>
      </w:pPr>
      <w:r>
        <w:t>7. Thermal Control Subsystem</w:t>
      </w:r>
      <w:bookmarkEnd w:id="1029"/>
    </w:p>
    <w:p>
      <w:pPr>
        <w:pStyle w:val="Heading3"/>
      </w:pPr>
      <w:r>
        <w:t>Rationale</w:t>
      </w:r>
    </w:p>
    <w:p>
      <w:r>
        <w:t>Thermal control sized for a hot-case internal dissipation of 31.0 W on a 0.22 m² external surface (cubesat).  The radiator area is 0.113 m² (ε=0.85, α=0.15) and rejects to space at T_max=50 °C.  In the cold case (eclipse, 30 % standby load) heaters supply 0.0 W to hold the platform above T_min=-20 °C.</w:t>
      </w:r>
    </w:p>
    <w:p>
      <w:pPr>
        <w:pStyle w:val="Heading3"/>
      </w:pPr>
      <w:r>
        <w:t>Assumptions</w:t>
      </w:r>
    </w:p>
    <w:p>
      <w:pPr>
        <w:pStyle w:val="ListBullet"/>
      </w:pPr>
      <w:r>
        <w:t>Stefan–Boltzmann steady-state energy balance, no transient analysis.</w:t>
      </w:r>
    </w:p>
    <w:p>
      <w:pPr>
        <w:pStyle w:val="ListBullet"/>
      </w:pPr>
      <w:r>
        <w:t>Solar flux 1361 W/m², Earth IR 237 W/m², albedo 0.30.</w:t>
      </w:r>
    </w:p>
    <w:p>
      <w:pPr>
        <w:pStyle w:val="ListBullet"/>
      </w:pPr>
      <w:r>
        <w:t>Radiator: ε=0.85, α=0.15 (white paint / OSR).</w:t>
      </w:r>
    </w:p>
    <w:p>
      <w:pPr>
        <w:pStyle w:val="ListBullet"/>
      </w:pPr>
      <w:r>
        <w:t>MLI effective emissivity 0.01 (15-layer blanket).</w:t>
      </w:r>
    </w:p>
    <w:p>
      <w:pPr>
        <w:pStyle w:val="ListBullet"/>
      </w:pPr>
      <w:r>
        <w:t>Platform allowable range −20 °C to +50 °C; payload limits set separately.</w:t>
      </w:r>
    </w:p>
    <w:p>
      <w:pPr>
        <w:pStyle w:val="Heading3"/>
      </w:pPr>
      <w:r>
        <w:t>Warnings &amp; open issues</w:t>
      </w:r>
    </w:p>
    <w:p>
      <w:pPr>
        <w:pStyle w:val="ListBullet"/>
      </w:pPr>
      <w:r>
        <w:t>Radiator area 0.11m² exceeds 50% of S/C area — consider active cooling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Eclipse Heater Power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Radiator Area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0.113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m²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Radiator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 Cost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 Total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98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5 — </w:t>
      </w:r>
      <w:r>
        <w:rPr>
          <w:i/>
          <w:color w:val="80746C"/>
        </w:rPr>
        <w:t>Hot and cold case temperatures across the principal thermal nodes.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8505" w:type="dxa"/>
      </w:tblPr>
      <w:tblGrid>
        <w:gridCol w:w="2835"/>
        <w:gridCol w:w="1417"/>
        <w:gridCol w:w="1417"/>
        <w:gridCol w:w="1417"/>
        <w:gridCol w:w="1417"/>
      </w:tblGrid>
      <w:tr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Node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Cold (°C)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Hot (°C)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Min limit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Max limit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Spacecraft bus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50.0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45.0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35.0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optics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-30.0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40.0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OBDH/avionics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-15.0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47.0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-40.0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70.0</w:t>
            </w:r>
          </w:p>
        </w:tc>
      </w:tr>
    </w:tbl>
    <w:p>
      <w:pPr>
        <w:pStyle w:val="Heading2"/>
      </w:pPr>
      <w:r>
        <w:t>7.1 Surface treatments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8505" w:type="dxa"/>
      </w:tblPr>
      <w:tblGrid>
        <w:gridCol w:w="3402"/>
        <w:gridCol w:w="1417"/>
        <w:gridCol w:w="1417"/>
        <w:gridCol w:w="2268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Surface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α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ε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Area (m²)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Radiator (OSR)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0.85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0.113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MLI (15-layer)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0.01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0.107</w:t>
            </w:r>
          </w:p>
        </w:tc>
      </w:tr>
    </w:tbl>
    <w:p>
      <w:bookmarkStart w:id="1030" w:name="sec_aocs"/>
      <w:pPr>
        <w:pStyle w:val="Heading1"/>
      </w:pPr>
      <w:r>
        <w:t>8. AOCS</w:t>
      </w:r>
      <w:bookmarkEnd w:id="1030"/>
    </w:p>
    <w:p>
      <w:pPr>
        <w:pStyle w:val="Heading3"/>
      </w:pPr>
      <w:r>
        <w:t>Rationale</w:t>
      </w:r>
    </w:p>
    <w:p>
      <w:r>
        <w:t>AOCS sized for a pointing requirement of 0.100° around a earth central body.  Disturbance torque budget is dominated by gravity gradient (9.94e-09 Nm), with solar pressure (6.13e-09), aerodynamic (2.20e-08) and magnetic (2.44e-06) contributions over one orbit summing to 2.48e-06 Nm.  Reaction wheel momentum capacity 0.003 Nms provides one-orbit absorption before desaturation.</w:t>
      </w:r>
    </w:p>
    <w:p>
      <w:pPr>
        <w:pStyle w:val="Heading3"/>
      </w:pPr>
      <w:r>
        <w:t>Assumptions</w:t>
      </w:r>
    </w:p>
    <w:p>
      <w:pPr>
        <w:pStyle w:val="ListBullet"/>
      </w:pPr>
      <w:r>
        <w:t>Spacecraft maximum dimension 0.30 m (class-typical).</w:t>
      </w:r>
    </w:p>
    <w:p>
      <w:pPr>
        <w:pStyle w:val="ListBullet"/>
      </w:pPr>
      <w:r>
        <w:t>Wet area assumed 0.09 m² (cubical bus).</w:t>
      </w:r>
    </w:p>
    <w:p>
      <w:pPr>
        <w:pStyle w:val="ListBullet"/>
      </w:pPr>
      <w:r>
        <w:t>Worst-case attitude offsets: 5° from nadir for gravity gradient; 0.05 m solar CoP offset; 0.05 m aero CoP offset.</w:t>
      </w:r>
    </w:p>
    <w:p>
      <w:pPr>
        <w:pStyle w:val="ListBullet"/>
      </w:pPr>
      <w:r>
        <w:t>Magnetorquer dipole desaturation effective at mid-latitudes (Earth orbits only).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2.04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Pointing Accuracy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Power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Aerodynamic Torque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Gravity Gradient Torque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Magnetic Torque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2e-06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Pressure Torque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Disturbance Torque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2e-06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Wheel Momentum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0.003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pStyle w:val="Heading2"/>
      </w:pPr>
      <w:r>
        <w:t>8.1 Disturbance torque budget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4819"/>
        <w:gridCol w:w="4819"/>
      </w:tblGrid>
      <w:tr>
        <w:tc>
          <w:tcPr>
            <w:tcW w:type="dxa" w:w="481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481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Torque (Nm)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Gravity gradient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9.94e-09</w:t>
            </w:r>
          </w:p>
        </w:tc>
      </w:tr>
      <w:tr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pressure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6.13e-09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Aerodynamic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2.20e-08</w:t>
            </w:r>
          </w:p>
        </w:tc>
      </w:tr>
      <w:tr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Magnetic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2.44e-06</w:t>
            </w:r>
          </w:p>
        </w:tc>
      </w:tr>
    </w:tbl>
    <w:p>
      <w:pPr>
        <w:pStyle w:val="Heading2"/>
      </w:pPr>
      <w:r>
        <w:t>8.2 Pointing error budget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5669"/>
        <w:gridCol w:w="3969"/>
      </w:tblGrid>
      <w:tr>
        <w:tc>
          <w:tcPr>
            <w:tcW w:type="dxa" w:w="56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Contributor</w:t>
            </w:r>
          </w:p>
        </w:tc>
        <w:tc>
          <w:tcPr>
            <w:tcW w:type="dxa" w:w="39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1σ (arcsec)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Sensor noise (star tracker)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10.0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Actuator quantisation (RW)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30.0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Disturbance reject. residual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60.0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Alignment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36.0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Achieved (RSS)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76.8</w:t>
            </w:r>
          </w:p>
        </w:tc>
      </w:tr>
    </w:tbl>
    <w:p>
      <w:bookmarkStart w:id="1031" w:name="sec_prop"/>
      <w:pPr>
        <w:pStyle w:val="Heading1"/>
      </w:pPr>
      <w:r>
        <w:t>9. Propulsion</w:t>
      </w:r>
      <w:bookmarkEnd w:id="1031"/>
    </w:p>
    <w:p>
      <w:pPr>
        <w:pStyle w:val="Heading3"/>
      </w:pPr>
      <w:r>
        <w:t>Rationale</w:t>
      </w:r>
    </w:p>
    <w:p>
      <w:r>
        <w:t>No propulsion required — the spacecraft is a nano class at 450 km altitude, where natural atmospheric drag completes deorbit within the IADC 25-year window without active manoeuvres.</w:t>
      </w:r>
    </w:p>
    <w:p>
      <w:pPr>
        <w:pStyle w:val="Heading3"/>
      </w:pPr>
      <w:r>
        <w:t>Assumptions</w:t>
      </w:r>
    </w:p>
    <w:p>
      <w:pPr>
        <w:pStyle w:val="ListBullet"/>
      </w:pPr>
      <w:r>
        <w:t>Natural-decay regime (low-LEO nano/micro-class).</w:t>
      </w:r>
    </w:p>
    <w:p>
      <w:pPr>
        <w:pStyle w:val="ListBullet"/>
      </w:pPr>
      <w:r>
        <w:t>No collision-avoidance budget; mission-dependent JCA on-orbit.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Delta-V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m/s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Specific Impulse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Propellant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Impulse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System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none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bookmarkStart w:id="1032" w:name="sec_ttc"/>
      <w:pPr>
        <w:pStyle w:val="Heading1"/>
      </w:pPr>
      <w:r>
        <w:t>10. Telemetry, Tracking &amp; Command</w:t>
      </w:r>
      <w:bookmarkEnd w:id="1032"/>
    </w:p>
    <w:p>
      <w:pPr>
        <w:pStyle w:val="Heading3"/>
      </w:pPr>
      <w:r>
        <w:t>Rationale</w:t>
      </w:r>
    </w:p>
    <w:p>
      <w:r>
        <w:t>Communications architecture is a dual link: an always-on UHF TT&amp;C channel for command and housekeeping (margin 29.4 dB) and a higher-rate X payload downlink at 8.2 GHz (margin 7.7 dB).  EIRP is 8.0 dBW; free-space loss is 176.5 dB at the worst-case slant range of 1944 km.</w:t>
      </w:r>
    </w:p>
    <w:p>
      <w:pPr>
        <w:pStyle w:val="Heading3"/>
      </w:pPr>
      <w:r>
        <w:t>Assumptions</w:t>
      </w:r>
    </w:p>
    <w:p>
      <w:pPr>
        <w:pStyle w:val="ListBullet"/>
      </w:pPr>
      <w:r>
        <w:t>5° minimum elevation; ITU-R P.676/P.618 atmospheric model.</w:t>
      </w:r>
    </w:p>
    <w:p>
      <w:pPr>
        <w:pStyle w:val="ListBullet"/>
      </w:pPr>
      <w:r>
        <w:t>GS antenna 13.0 m, efficiency 0.55, system noise temperature 200 K.</w:t>
      </w:r>
    </w:p>
    <w:p>
      <w:pPr>
        <w:pStyle w:val="ListBullet"/>
      </w:pPr>
      <w:r>
        <w:t>Modulation coding rate 0.5, protocol overhead 10%, implementation loss 2 dB.</w:t>
      </w:r>
    </w:p>
    <w:p>
      <w:pPr>
        <w:pStyle w:val="ListBullet"/>
      </w:pPr>
      <w:r>
        <w:t>Required Eb/N0 10 dB for BER 10⁻⁶ at the assumed modulation.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Downlinked/Day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Downlink Margin (worst)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Downlink Data Rate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9.34e+06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bps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DL Margin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Margin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29.4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0.42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Power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11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Uplink Margin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39.4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51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6 — </w:t>
      </w:r>
      <w:r>
        <w:rPr>
          <w:i/>
          <w:color w:val="80746C"/>
        </w:rPr>
        <w:t>Payload downlink link budget waterfall (positive = gain, negative = loss).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5669"/>
        <w:gridCol w:w="3969"/>
      </w:tblGrid>
      <w:tr>
        <w:tc>
          <w:tcPr>
            <w:tcW w:type="dxa" w:w="56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9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Δ (dB)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Tx power (dBW)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+3.01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Tx antenna gain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+6.00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Tx line loss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-1.00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Free-space loss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-176.50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Atmospheric gas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-1.14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Rain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-0.00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Polarisation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-0.50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Pointing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GS antenna gain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+58.37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Boltzmann (k)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+228.60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System noise 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-23.01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rate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-69.71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Required Eb/N0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-10.00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Implementation loss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-2.00</w:t>
            </w:r>
          </w:p>
        </w:tc>
      </w:tr>
    </w:tbl>
    <w:p>
      <w:pPr>
        <w:pStyle w:val="Heading2"/>
      </w:pPr>
      <w:r>
        <w:t>10.1 Link summary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X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Frequency (GHz)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8.200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S/C Tx power (W)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S/C antenna gain (dBi)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6.0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GS antenna Ø (m)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13.00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GS antenna gain (dBi)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58.4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Slant range (km)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1944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User data rate (bps)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9,344,907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downlinked / day (GB)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Downlink margin (dB)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TT&amp;C margin (dB)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29.4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Uplink margin (dB)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39.4</w:t>
            </w:r>
          </w:p>
        </w:tc>
      </w:tr>
    </w:tbl>
    <w:p>
      <w:bookmarkStart w:id="1033" w:name="sec_data"/>
      <w:pPr>
        <w:pStyle w:val="Heading1"/>
      </w:pPr>
      <w:r>
        <w:t>11. Data Handling</w:t>
      </w:r>
      <w:bookmarkEnd w:id="1033"/>
    </w:p>
    <w:p>
      <w:pPr>
        <w:pStyle w:val="Heading3"/>
      </w:pPr>
      <w:r>
        <w:t>Rationale</w:t>
      </w:r>
    </w:p>
    <w:p>
      <w:r>
        <w:t>Data architecture sized for 2.0 GB/day generated (2.4 GB/day downlinked).  Onboard storage 4.0 GB provides 2-orbit redundancy.  OBDH mass 0.16 kg from class factor × storage demand.</w:t>
      </w:r>
    </w:p>
    <w:p>
      <w:pPr>
        <w:pStyle w:val="Heading3"/>
      </w:pPr>
      <w:r>
        <w:t>Assumptions</w:t>
      </w:r>
    </w:p>
    <w:p>
      <w:pPr>
        <w:pStyle w:val="ListBullet"/>
      </w:pPr>
      <w:r>
        <w:t>2:1 lossless compression when payload data rate is used as input (explicit per-day volume overrides this).</w:t>
      </w:r>
    </w:p>
    <w:p>
      <w:pPr>
        <w:pStyle w:val="ListBullet"/>
      </w:pPr>
      <w:r>
        <w:t>Storage = 2 × daily generation (operational buffer).</w:t>
      </w:r>
    </w:p>
    <w:p>
      <w:pPr>
        <w:pStyle w:val="ListBullet"/>
      </w:pPr>
      <w:r>
        <w:t>OBDH mass scales with class baseline × (1 + storage/100 GB).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Downlinked/Day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Generated/Day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0.16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Storage Required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bookmarkStart w:id="1034" w:name="sec_struct"/>
      <w:pPr>
        <w:pStyle w:val="Heading1"/>
      </w:pPr>
      <w:r>
        <w:t>12. Structure &amp; Mechanisms</w:t>
      </w:r>
      <w:bookmarkEnd w:id="1034"/>
    </w:p>
    <w:p>
      <w:pPr>
        <w:pStyle w:val="Heading3"/>
      </w:pPr>
      <w:r>
        <w:t>Rationale</w:t>
      </w:r>
    </w:p>
    <w:p>
      <w:r>
        <w:t>Structure mass is taken from the heritage class-fraction database with Phase-A margin of 20%.  Detailed FEM, modal analysis, and mechanism qualification are deferred to PDR/CDR.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Fraction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0.141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bookmarkStart w:id="1035" w:name="sec_budgets"/>
      <w:pPr>
        <w:pStyle w:val="Heading1"/>
      </w:pPr>
      <w:r>
        <w:t>13. System Budgets</w:t>
      </w:r>
      <w:bookmarkEnd w:id="1035"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655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7 — </w:t>
      </w:r>
      <w:r>
        <w:rPr>
          <w:i/>
          <w:color w:val="80746C"/>
        </w:rPr>
        <w:t>Normalised share of each system budget by subsystem.</w:t>
      </w:r>
    </w:p>
    <w:p>
      <w:pPr>
        <w:pStyle w:val="Heading2"/>
      </w:pPr>
      <w:r>
        <w:t>13.1 Mass budget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681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6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8 — </w:t>
      </w:r>
      <w:r>
        <w:rPr>
          <w:i/>
          <w:color w:val="80746C"/>
        </w:rPr>
        <w:t>Mass budget contributions and total (kg).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2835"/>
        <w:gridCol w:w="1701"/>
        <w:gridCol w:w="1134"/>
        <w:gridCol w:w="1984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Equipment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Nominal (kg)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(%)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With margin (kg)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Multispectral Imager Mass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1.65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Mass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2.04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2.45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Mass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1.19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4.53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5.29</w:t>
            </w:r>
          </w:p>
        </w:tc>
      </w:tr>
    </w:tbl>
    <w:p>
      <w:r>
        <w:rPr>
          <w:b/>
        </w:rPr>
        <w:t>Allocation: 12.00 kg — margin 55.9% — status GREEN</w:t>
      </w:r>
    </w:p>
    <w:p>
      <w:pPr>
        <w:pStyle w:val="Heading2"/>
      </w:pPr>
      <w:r>
        <w:t>13.2 Power budget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790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79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9 — </w:t>
      </w:r>
      <w:r>
        <w:rPr>
          <w:i/>
          <w:color w:val="80746C"/>
        </w:rPr>
        <w:t>Power budget contributions and total (W).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2835"/>
        <w:gridCol w:w="1701"/>
        <w:gridCol w:w="1134"/>
        <w:gridCol w:w="1984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Equipment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Nominal (W)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(%)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With margin (W)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Multispectral Imager Power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22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Power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18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44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40</w:t>
            </w:r>
          </w:p>
        </w:tc>
      </w:tr>
    </w:tbl>
    <w:p>
      <w:r>
        <w:rPr>
          <w:b/>
        </w:rPr>
        <w:t>Allocation: 70.90 W — margin 43.6% — status GREEN</w:t>
      </w:r>
    </w:p>
    <w:p>
      <w:pPr>
        <w:pStyle w:val="Heading2"/>
      </w:pPr>
      <w:r>
        <w:t>13.4 Cost budget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525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10 — </w:t>
      </w:r>
      <w:r>
        <w:rPr>
          <w:i/>
          <w:color w:val="80746C"/>
        </w:rPr>
        <w:t>Cost budget contributions and total (kEUR).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2835"/>
        <w:gridCol w:w="1701"/>
        <w:gridCol w:w="1134"/>
        <w:gridCol w:w="1984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Equipment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Nominal (kEUR)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(%)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With margin (kEUR)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Cost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224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Cost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Cost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8.8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212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95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233</w:t>
            </w:r>
          </w:p>
        </w:tc>
      </w:tr>
    </w:tbl>
    <w:p>
      <w:r>
        <w:rPr>
          <w:b/>
        </w:rPr>
        <w:t>Allocation: 5.00 MEUR — margin 95.3% — status GREEN</w:t>
      </w:r>
    </w:p>
    <w:p>
      <w:bookmarkStart w:id="1036" w:name="sec_eq"/>
      <w:pPr>
        <w:pStyle w:val="Heading1"/>
      </w:pPr>
      <w:r>
        <w:t>14. Equipment List</w:t>
      </w:r>
      <w:bookmarkEnd w:id="1036"/>
    </w:p>
    <w:p>
      <w:r>
        <w:t>No KB-selected equipment recorded in the design state.</w:t>
      </w:r>
    </w:p>
    <w:p>
      <w:bookmarkStart w:id="1037" w:name="sec_comp"/>
      <w:pPr>
        <w:pStyle w:val="Heading1"/>
      </w:pPr>
      <w:r>
        <w:t>15. Compliance &amp; Verification</w:t>
      </w:r>
      <w:bookmarkEnd w:id="1037"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023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11 — </w:t>
      </w:r>
      <w:r>
        <w:rPr>
          <w:i/>
          <w:color w:val="80746C"/>
        </w:rPr>
        <w:t>Compliance status across all requirements.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134"/>
        <w:gridCol w:w="4535"/>
        <w:gridCol w:w="1417"/>
        <w:gridCol w:w="1134"/>
        <w:gridCol w:w="1417"/>
      </w:tblGrid>
      <w:tr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Req ID</w:t>
            </w:r>
          </w:p>
        </w:tc>
        <w:tc>
          <w:tcPr>
            <w:tcW w:type="dxa" w:w="45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Achieved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%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spacecraft shall have a design lifetime of at least 3.0 years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</w:t>
            </w:r>
          </w:p>
        </w:tc>
        <w:tc>
          <w:tcPr>
            <w:tcW w:type="dxa" w:w="1417"/>
            <w:vAlign w:val="center"/>
            <w:shd w:val="clear" w:color="auto" w:fill="FFEB9C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marginal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REQ-SYS-002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spacecraft wet mass shall not exceed 12.0 kg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7.03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41.4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total mission cost shall not exceed 5.0 MEUR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86.0</w:t>
            </w:r>
          </w:p>
        </w:tc>
        <w:tc>
          <w:tcPr>
            <w:tcW w:type="dxa" w:w="1417"/>
            <w:vAlign w:val="center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REQ-AOCS-001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spacecraft shall provide pointing accuracy of 0.1° or better for Multispectral Imager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FFEB9C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marginal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REQ-DATA-001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communication system shall support downlink of Multispectral Imager data at 100.0 Mbps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20.0</w:t>
            </w:r>
          </w:p>
        </w:tc>
        <w:tc>
          <w:tcPr>
            <w:tcW w:type="dxa" w:w="1417"/>
            <w:vAlign w:val="center"/>
            <w:shd w:val="clear" w:color="auto" w:fill="FFEB9C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marginal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REQ-PWR-001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EPS shall provide positive power margin in all operating modes including eclipse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70.90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REQ-TTC-001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communication link shall close with at least 3 dB margin at minimum elevation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156.7</w:t>
            </w:r>
          </w:p>
        </w:tc>
        <w:tc>
          <w:tcPr>
            <w:tcW w:type="dxa" w:w="1417"/>
            <w:vAlign w:val="center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REQ-SYS-004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 xml:space="preserve">The spacecraft shall be capable of deorbiting within 25 years of end-of-mission per space 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71.69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</w:tbl>
    <w:p>
      <w:r>
        <w:rPr>
          <w:b/>
        </w:rPr>
        <w:t>Total 8 requirements: 5 compliant · 3 marginal · 0 non-compliant (62.5%).</w:t>
      </w:r>
    </w:p>
    <w:p>
      <w:bookmarkStart w:id="1038" w:name="sec_trl"/>
      <w:pPr>
        <w:pStyle w:val="Heading1"/>
      </w:pPr>
      <w:r>
        <w:t>16. Technology Readiness</w:t>
      </w:r>
      <w:bookmarkEnd w:id="1038"/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701"/>
        <w:gridCol w:w="2551"/>
        <w:gridCol w:w="2551"/>
        <w:gridCol w:w="2835"/>
      </w:tblGrid>
      <w:tr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55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Baseline (TRL)</w:t>
            </w:r>
          </w:p>
        </w:tc>
        <w:tc>
          <w:tcPr>
            <w:tcW w:type="dxa" w:w="255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Innovation (TRL)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Triple-junction GaAs (Azur Space 3G30C)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Perovskite-silicon tandem solar cells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Li-ion battery (SAFT VES16) (9)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Solid-state lithium battery (4)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Reaction wheels + star tracker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MEMS gyroscope + AI-based attitude determination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X-band transponder (conventional) (9)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Optical inter-satellite link (OISL) terminal (6)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Monoprop hydrazine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Water electrolysis green propulsion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Hall-effect thruster (8)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Electrospray (ionic liquid) thruster (6)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Aluminium honeycomb panels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3D-printed titanium lattice structure (6)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thermal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MLI + radiator panels (9)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Phase-change material thermal buffer (5)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RAD750 / GR740 radiation-hardened processor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COTS RISC-V with radiation-tolerant design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</w:tbl>
    <w:p>
      <w:bookmarkStart w:id="1039" w:name="sec_rel"/>
      <w:pPr>
        <w:pStyle w:val="Heading1"/>
      </w:pPr>
      <w:r>
        <w:t>17. Reliability &amp; FMECA</w:t>
      </w:r>
      <w:bookmarkEnd w:id="1039"/>
    </w:p>
    <w:p>
      <w:pPr>
        <w:pStyle w:val="Heading3"/>
      </w:pPr>
      <w:r>
        <w:t>Rationale</w:t>
      </w:r>
    </w:p>
    <w:p>
      <w:r>
        <w:t>Series reliability model R_sys=∏R_i.  Over 3.0 yr (26298 h) the mission reliability is 0.718 against a target of 0.90.  Weakest contributor: aocs (R=0.924).  System MTBF is 60241 h.</w:t>
      </w:r>
    </w:p>
    <w:p>
      <w:pPr>
        <w:pStyle w:val="Heading3"/>
      </w:pPr>
      <w:r>
        <w:t>Assumptions</w:t>
      </w:r>
    </w:p>
    <w:p>
      <w:pPr>
        <w:pStyle w:val="ListBullet"/>
      </w:pPr>
      <w:r>
        <w:t>Constant failure-rate (exponential) model R(t) = e^{-λt}.</w:t>
      </w:r>
    </w:p>
    <w:p>
      <w:pPr>
        <w:pStyle w:val="ListBullet"/>
      </w:pPr>
      <w:r>
        <w:t>Series model: all subsystems must function; no parallel redundancy modelled here.</w:t>
      </w:r>
    </w:p>
    <w:p>
      <w:pPr>
        <w:pStyle w:val="ListBullet"/>
      </w:pPr>
      <w:r>
        <w:t>Failure rates from heritage (SMAD4 Table 19-5, MIL-HDBK-217F).</w:t>
      </w:r>
    </w:p>
    <w:p>
      <w:pPr>
        <w:pStyle w:val="Heading3"/>
      </w:pPr>
      <w:r>
        <w:t>Warnings &amp; open issues</w:t>
      </w:r>
    </w:p>
    <w:p>
      <w:pPr>
        <w:pStyle w:val="ListBullet"/>
      </w:pPr>
      <w:r>
        <w:t>Mission reliability 0.718 &lt; target 0.90; weakest: aocs (R=0.924). Consider redundancy.</w:t>
      </w:r>
    </w:p>
    <w:p>
      <w:pPr>
        <w:pStyle w:val="ListBullet"/>
      </w:pPr>
      <w:r>
        <w:t>Single-point failures: eps (R=0.936), aocs (R=0.924), obdh (R=0.949), payload (R=0.924)</w:t>
      </w:r>
    </w:p>
    <w:p>
      <w:pPr>
        <w:pStyle w:val="Heading2"/>
      </w:pPr>
      <w:r>
        <w:t>17.1 Per-subsystem failure rates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1984"/>
        <w:gridCol w:w="1984"/>
        <w:gridCol w:w="3685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λ (1/h)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R(mission)</w:t>
            </w:r>
          </w:p>
        </w:tc>
        <w:tc>
          <w:tcPr>
            <w:tcW w:type="dxa" w:w="368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Redundancy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2.50e-06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0.9364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0.9241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1.50e-06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0.9613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0.9488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5.00e-07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0.9869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1.0000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1.00e-07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0.9974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0.9241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</w:tbl>
    <w:p>
      <w:pPr>
        <w:pStyle w:val="Heading2"/>
      </w:pPr>
      <w:r>
        <w:t>17.2 FMECA (top items)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1814"/>
        <w:gridCol w:w="1701"/>
        <w:gridCol w:w="567"/>
        <w:gridCol w:w="567"/>
        <w:gridCol w:w="567"/>
        <w:gridCol w:w="567"/>
        <w:gridCol w:w="2835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181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Failure mode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Effect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O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RPN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cell short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bus voltage; depleted battery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Reaction-wheel bearing seizure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fine pointing; switch to coarse mode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OBC SEU latch-up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Reset cycle; loss of telemetry window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Detector dark current rise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Image SNR degradation; calibration drift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Transmitter PA failure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downlink; use backup transmitter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Heater string open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Component temperature excursion below limit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Bolt back-out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deployable, latched structure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</w:tbl>
    <w:p>
      <w:bookmarkStart w:id="1040" w:name="sec_risk"/>
      <w:pPr>
        <w:pStyle w:val="Heading1"/>
      </w:pPr>
      <w:r>
        <w:t>18. Risk Register</w:t>
      </w:r>
      <w:bookmarkEnd w:id="1040"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374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12 — </w:t>
      </w:r>
      <w:r>
        <w:rPr>
          <w:i/>
          <w:color w:val="80746C"/>
        </w:rPr>
        <w:t>5×5 risk index map (ECSS-M-ST-80C).</w:t>
      </w:r>
    </w:p>
    <w:p>
      <w:r>
        <w:t>Risk register pending — no risks identified at this stage.</w:t>
      </w:r>
    </w:p>
    <w:p>
      <w:bookmarkStart w:id="1041" w:name="sec_debris"/>
      <w:pPr>
        <w:pStyle w:val="Heading1"/>
      </w:pPr>
      <w:r>
        <w:t>19. Space Debris Compliance</w:t>
      </w:r>
      <w:bookmarkEnd w:id="1041"/>
    </w:p>
    <w:p>
      <w:pPr>
        <w:pStyle w:val="Heading3"/>
      </w:pPr>
      <w:r>
        <w:t>Rationale</w:t>
      </w:r>
    </w:p>
    <w:p>
      <w:r>
        <w:t>Post-mission disposal: orbital lifetime 2.7 yr with deorbit method 'natural'.  Casualty risk Ec=1.10e-08 (compliant against 1e-4 threshold).  Passivation score 1.00 covers stored-energy depletion of battery and propellant tanks per ISO 24113.  25-yr rule satisfied; 5-yr rule satisfied.</w:t>
      </w:r>
    </w:p>
    <w:p>
      <w:pPr>
        <w:pStyle w:val="Heading3"/>
      </w:pPr>
      <w:r>
        <w:t>Assumptions</w:t>
      </w:r>
    </w:p>
    <w:p>
      <w:pPr>
        <w:pStyle w:val="ListBullet"/>
      </w:pPr>
      <w:r>
        <w:t>Atmospheric drag lifetime per NRLMSISE-00 / JR-1971 (mean solar flux).</w:t>
      </w:r>
    </w:p>
    <w:p>
      <w:pPr>
        <w:pStyle w:val="ListBullet"/>
      </w:pPr>
      <w:r>
        <w:t>Casualty risk per NASA-STD-8719.14 demise model.</w:t>
      </w:r>
    </w:p>
    <w:p>
      <w:pPr>
        <w:pStyle w:val="ListBullet"/>
      </w:pPr>
      <w:r>
        <w:t>Passivation score weighted by battery + propellant tank stored energy.</w:t>
      </w:r>
    </w:p>
    <w:p>
      <w:pPr>
        <w:pStyle w:val="ListBullet"/>
      </w:pPr>
      <w:r>
        <w:t>Collision-avoidance ΔV budget assumed ~1 m/s per year in LEO.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Orbital lifetime (yr)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2.7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25-yr rule (IADC)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5-yr rule (FCC)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Casualty risk Ec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1.10e-08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Casualty risk compliance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Passivation score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Compliance score (0–100)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92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Deorbit method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natural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 ΔV per year (m/s)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2.5</w:t>
            </w:r>
          </w:p>
        </w:tc>
      </w:tr>
    </w:tbl>
    <w:p>
      <w:bookmarkStart w:id="1042" w:name="sec_cost"/>
      <w:pPr>
        <w:pStyle w:val="Heading1"/>
      </w:pPr>
      <w:r>
        <w:t>20. Cost &amp; Schedule</w:t>
      </w:r>
      <w:bookmarkEnd w:id="1042"/>
    </w:p>
    <w:p>
      <w:pPr>
        <w:pStyle w:val="Heading3"/>
      </w:pPr>
      <w:r>
        <w:t>Rationale</w:t>
      </w:r>
    </w:p>
    <w:p>
      <w:r>
        <w:t>Parametric life-cycle cost estimate using the CubeSat COTS model. Hardware 151 kEUR + AIT 18 kEUR + NRE 45 kEUR (30% of HW) + launch 200 kEUR + operations 300 kEUR over 3.0 yr.  Total 0.7 MEUR with ±40% confidence interval at Phase A.</w:t>
      </w:r>
    </w:p>
    <w:p>
      <w:pPr>
        <w:pStyle w:val="Heading3"/>
      </w:pPr>
      <w:r>
        <w:t>Assumptions</w:t>
      </w:r>
    </w:p>
    <w:p>
      <w:pPr>
        <w:pStyle w:val="ListBullet"/>
      </w:pPr>
      <w:r>
        <w:t>Spacecraft class 'nano' → COTS pricing table.</w:t>
      </w:r>
    </w:p>
    <w:p>
      <w:pPr>
        <w:pStyle w:val="ListBullet"/>
      </w:pPr>
      <w:r>
        <w:t>AIT 12% of HW; NRE 30% of HW; ops €100k/yr.</w:t>
      </w:r>
    </w:p>
    <w:p>
      <w:pPr>
        <w:pStyle w:val="ListBullet"/>
      </w:pPr>
      <w:r>
        <w:t>Launch cost from rideshare/dedicated-launcher market reference.</w:t>
      </w:r>
    </w:p>
    <w:p>
      <w:pPr>
        <w:pStyle w:val="ListBullet"/>
      </w:pPr>
      <w:r>
        <w:t>All costs in 2025-EUR; no inflation escalation applied.</w:t>
      </w:r>
    </w:p>
    <w:p>
      <w:pPr>
        <w:pStyle w:val="ListBullet"/>
      </w:pPr>
      <w:r>
        <w:t>Phase-A P-curve: P50≈total, P70≈+15%, P80≈+25%, P90≈+50% per ECSS-M-ST-60C cost-uncertainty practice.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134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1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13 — </w:t>
      </w:r>
      <w:r>
        <w:rPr>
          <w:i/>
          <w:color w:val="80746C"/>
        </w:rPr>
        <w:t>Cost estimate at P50/P70/P80/P90 confidence levels.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343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14 — </w:t>
      </w:r>
      <w:r>
        <w:rPr>
          <w:i/>
          <w:color w:val="80746C"/>
        </w:rPr>
        <w:t>Cost breakdown by WBS element (DDT&amp;E + recurring).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835"/>
        <w:gridCol w:w="1928"/>
        <w:gridCol w:w="1928"/>
        <w:gridCol w:w="1928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WBS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192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DDT&amp;E (MEUR)</w:t>
            </w:r>
          </w:p>
        </w:tc>
        <w:tc>
          <w:tcPr>
            <w:tcW w:type="dxa" w:w="192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Recurring (MEUR)</w:t>
            </w:r>
          </w:p>
        </w:tc>
        <w:tc>
          <w:tcPr>
            <w:tcW w:type="dxa" w:w="192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Total (MEUR)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Spacecraft hardware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0.18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1.2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AIT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0.01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0.02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0.03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Ground segment &amp; ops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0.30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1.4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Launch service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0.00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0.20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0.20</w:t>
            </w:r>
          </w:p>
        </w:tc>
      </w:tr>
    </w:tbl>
    <w:p>
      <w:bookmarkStart w:id="1043" w:name="sec_conv"/>
      <w:pPr>
        <w:pStyle w:val="Heading1"/>
      </w:pPr>
      <w:r>
        <w:t>21. Design Loop Convergence</w:t>
      </w:r>
      <w:bookmarkEnd w:id="1043"/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Converged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Yes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Iterations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16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Wall-clock time (s)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0.02</w:t>
            </w:r>
          </w:p>
        </w:tc>
      </w:tr>
    </w:tbl>
    <w:p>
      <w:bookmarkStart w:id="1044" w:name="sec_concl"/>
      <w:pPr>
        <w:pStyle w:val="Heading1"/>
      </w:pPr>
      <w:r>
        <w:t>22. Conclusions &amp; Recommendations</w:t>
      </w:r>
      <w:bookmarkEnd w:id="1044"/>
    </w:p>
    <w:p>
      <w:r>
        <w:t>The PDR baseline is now established.  Key engineering observations follow.</w:t>
      </w:r>
    </w:p>
    <w:p>
      <w:pPr>
        <w:pStyle w:val="Heading2"/>
      </w:pPr>
      <w:r>
        <w:t>22.1 Open warnings</w:t>
      </w:r>
    </w:p>
    <w:p>
      <w:pPr>
        <w:pStyle w:val="ListBullet"/>
      </w:pPr>
      <w:r>
        <w:t>Link margin -2.6 dB &lt; 3 dB minimum (required rate 100.0 Mbps vs max 54.4 Mbps)</w:t>
      </w:r>
    </w:p>
    <w:p>
      <w:pPr>
        <w:pStyle w:val="ListBullet"/>
      </w:pPr>
      <w:r>
        <w:t>Radiator area 0.11m² exceeds 50% of S/C area — consider active cooling</w:t>
      </w:r>
    </w:p>
    <w:p>
      <w:pPr>
        <w:pStyle w:val="ListBullet"/>
      </w:pPr>
      <w:r>
        <w:t>Mission reliability 0.718 &lt; target 0.90; weakest: aocs (R=0.924). Consider redundancy.</w:t>
      </w:r>
    </w:p>
    <w:p>
      <w:pPr>
        <w:pStyle w:val="ListBullet"/>
      </w:pPr>
      <w:r>
        <w:t>Single-point failures: eps (R=0.936), aocs (R=0.924), obdh (R=0.949), payload (R=0.924)</w:t>
      </w:r>
    </w:p>
    <w:p>
      <w:pPr>
        <w:pStyle w:val="Heading2"/>
      </w:pPr>
      <w:r>
        <w:t>22.2 Recommendations</w:t>
      </w:r>
    </w:p>
    <w:p>
      <w:pPr>
        <w:pStyle w:val="ListBullet"/>
      </w:pPr>
      <w:r>
        <w:t>[INNOVATION] STRUCTURE: Consider 3D-printed titanium lattice structure (TRL 6) as tech demo alongside baseline Aluminium honeycomb panels. Benefit: 30% mass reduction, integrated thermal paths. Risk: Qualification for flight loads ongoing</w:t>
      </w:r>
    </w:p>
    <w:p>
      <w:pPr>
        <w:pStyle w:val="ListBullet"/>
      </w:pPr>
      <w:r>
        <w:t>[INNOVATION] PROPULSION: Consider Electrospray (ionic liquid) thruster (TRL 6) as tech demo alongside baseline Hall-effect thruster. Benefit: Ultra-precise thrust, no moving parts. Risk: Limited total impulse for large dV</w:t>
      </w:r>
    </w:p>
    <w:p>
      <w:pPr>
        <w:pStyle w:val="Heading2"/>
      </w:pPr>
      <w:r>
        <w:t>22.3 Next steps</w:t>
      </w:r>
    </w:p>
    <w:p>
      <w:pPr>
        <w:pStyle w:val="ListBullet"/>
      </w:pPr>
      <w:r>
        <w:t>Freeze the preliminary design and equipment selection.</w:t>
      </w:r>
    </w:p>
    <w:p>
      <w:pPr>
        <w:pStyle w:val="ListBullet"/>
      </w:pPr>
      <w:r>
        <w:t>Initiate engineering model build and breadboard activities.</w:t>
      </w:r>
    </w:p>
    <w:p>
      <w:pPr>
        <w:pStyle w:val="ListBullet"/>
      </w:pPr>
      <w:r>
        <w:t>Finalise the Verification Plan and Test Programme.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020" w:bottom="124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071" w:val="right"/>
      </w:tabs>
    </w:pPr>
    <w:r>
      <w:rPr>
        <w:color w:val="2D2D2C"/>
        <w:sz w:val="16"/>
      </w:rPr>
      <w:t>SCDF-PDR-001 · 6U EO CubeSat</w:t>
    </w:r>
    <w:r>
      <w:tab/>
    </w:r>
    <w:r>
      <w:rPr>
        <w:color w:val="80746C"/>
        <w:sz w:val="16"/>
      </w:rPr>
      <w:t xml:space="preserve">Page </w:t>
    </w:r>
    <w:r>
      <w:rPr>
        <w:color w:val="80746C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80746C"/>
        <w:sz w:val="16"/>
      </w:rPr>
      <w:t xml:space="preserve"> of / de </w:t>
    </w:r>
    <w:r>
      <w:rPr>
        <w:color w:val="80746C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tab/>
    </w:r>
    <w:r>
      <w:rPr>
        <w:b/>
        <w:color w:val="8F001A"/>
        <w:sz w:val="16"/>
      </w:rPr>
      <w:t>uOttawa SEDTI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12" w:space="1" w:color="8f001a"/>
      </w:pBdr>
    </w:pPr>
    <w:r>
      <w:rPr>
        <w:b/>
        <w:color w:val="2D2D2C"/>
        <w:sz w:val="18"/>
      </w:rPr>
      <w:t>SpaceCDF — PDR — EOSAT-1 Multispectral Imager</w:t>
    </w:r>
    <w:r>
      <w:tab/>
    </w:r>
    <w:r>
      <w:rPr>
        <w:color w:val="80746C"/>
        <w:sz w:val="18"/>
      </w:rPr>
      <w:t>SCDF-PDR-001</w:t>
    </w:r>
  </w:p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76"/>
    </w:pPr>
    <w:rPr>
      <w:rFonts w:ascii="Calibri" w:hAnsi="Calibri"/>
      <w:color w:val="2D2D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8F00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8F00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D2D2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A3A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8F001A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2D2D2C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200"/>
      <w:jc w:val="center"/>
    </w:pPr>
    <w:rPr>
      <w:rFonts w:ascii="Calibri" w:hAnsi="Calibri"/>
      <w:b/>
      <w:bCs/>
      <w:i/>
      <w:color w:val="80746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rPr>
      <w:rFonts w:ascii="Calibri" w:hAnsi="Calibri"/>
      <w:b/>
      <w:color w:val="80746C"/>
      <w:sz w:val="18"/>
    </w:rPr>
  </w:style>
  <w:style w:type="paragraph" w:customStyle="1" w:styleId="Callout">
    <w:name w:val="Callout"/>
    <w:pPr>
      <w:spacing w:before="120" w:after="120"/>
      <w:ind w:left="454"/>
    </w:pPr>
    <w:rPr>
      <w:rFonts w:ascii="Calibri" w:hAnsi="Calibri"/>
      <w:i/>
      <w:color w:val="3A3A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