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Debris-Impact Training Scenario — Critique &amp; Design Review</w:t>
      </w:r>
    </w:p>
    <w:p>
      <w:pPr>
        <w:spacing w:after="80"/>
        <w:jc w:val="center"/>
      </w:pPr>
      <w:r>
        <w:rPr>
          <w:i/>
          <w:iCs/>
        </w:rPr>
        <w:t xml:space="preserve">Subject: eps_debris_impact.yaml (HERMES-3 / SA-2B, 22-min cascade)</w:t>
      </w:r>
    </w:p>
    <w:p>
      <w:pPr>
        <w:spacing w:after="320"/>
        <w:jc w:val="center"/>
      </w:pPr>
      <w:r>
        <w:rPr>
          <w:color w:val="666666"/>
          <w:sz w:val="20"/>
          <w:szCs w:val="20"/>
        </w:rPr>
        <w:t xml:space="preserve">Prepared 2026-06-04</w:t>
      </w:r>
    </w:p>
    <w:p>
      <w:pPr>
        <w:pStyle w:val="Heading1"/>
        <w:spacing w:after="160" w:before="320"/>
      </w:pPr>
      <w:r>
        <w:t xml:space="preserve">Executive summary</w:t>
      </w:r>
    </w:p>
    <w:p>
      <w:pPr>
        <w:spacing w:after="120"/>
      </w:pPr>
      <w:r>
        <w:t xml:space="preserve">The scenario is a </w:t>
      </w:r>
      <w:r>
        <w:rPr>
          <w:i/>
          <w:iCs/>
        </w:rPr>
        <w:t xml:space="preserve">well-written training narrative</w:t>
      </w:r>
      <w:r>
        <w:t xml:space="preserve"> — narrative voice, command sequencing, FD-authorisation discipline, and the explicit scoring rubric are all professional. As an artefact that should actually drive the SMO simulator, however, it has two distinct categories of issue: </w:t>
      </w:r>
      <w:r>
        <w:rPr>
          <w:b/>
          <w:bCs/>
        </w:rPr>
        <w:t xml:space="preserve">mechanical compatibility</w:t>
      </w:r>
      <w:r>
        <w:t xml:space="preserve"> (subsystem names, failure types, parameter identifiers and the scoring/contact-window schema are not what the engine reads, so most of the YAML is silently ignored), and </w:t>
      </w:r>
      <w:r>
        <w:rPr>
          <w:b/>
          <w:bCs/>
        </w:rPr>
        <w:t xml:space="preserve">operational realism</w:t>
      </w:r>
      <w:r>
        <w:t xml:space="preserve"> (the documented behaviour of real LEO debris strikes — most directly Sentinel-1A in 2016</w:t>
      </w:r>
      <w:r>
        <w:rPr>
          <w:rStyle w:val="FootnoteReference"/>
        </w:rPr>
        <w:footnoteReference w:id="2"/>
      </w:r>
      <w:r>
        <w:t xml:space="preserve"> — is much milder and faster-recovering than the 22-minute multi-subsystem cascade depicted, and real onboard FDIR safes the spacecraft in seconds-to-minutes for the bus conditions described, removing the operator from the loop). The corrected YAML </w:t>
      </w:r>
      <w:r>
        <w:rPr>
          <w:rFonts w:ascii="Courier New" w:cs="Courier New" w:eastAsia="Courier New" w:hAnsi="Courier New"/>
          <w:sz w:val="20"/>
          <w:szCs w:val="20"/>
        </w:rPr>
        <w:t xml:space="preserve">configs/eosat1/scenarios/debris_impact_hermes3.yaml</w:t>
      </w:r>
      <w:r>
        <w:t xml:space="preserve"> addresses the mechanical issues. The design issues are largely intentional dramatisation for training, but should be flagged in the briefing so trainees don't draw incorrect lessons about how a real strike presents.</w:t>
      </w:r>
    </w:p>
    <w:p>
      <w:pPr>
        <w:pStyle w:val="Heading1"/>
        <w:spacing w:after="160" w:before="320"/>
      </w:pPr>
      <w:r>
        <w:t xml:space="preserve">1. Line-by-line content critique</w:t>
      </w:r>
    </w:p>
    <w:p>
      <w:pPr>
        <w:spacing w:after="120"/>
      </w:pPr>
      <w:r>
        <w:t xml:space="preserve">Walking through the YAML against the SMO ScenarioEngine schema and subsystem models. </w:t>
      </w:r>
      <w:r>
        <w:t xml:space="preserve">Severity tags: </w:t>
      </w:r>
      <w:r>
        <w:rPr>
          <w:b/>
          <w:bCs/>
        </w:rPr>
        <w:t xml:space="preserve">[Breaking] </w:t>
      </w:r>
      <w:r>
        <w:t xml:space="preserve">= the event will silently no-op when the scenario runs; </w:t>
      </w:r>
      <w:r>
        <w:rPr>
          <w:b/>
          <w:bCs/>
        </w:rPr>
        <w:t xml:space="preserve">[Schema] </w:t>
      </w:r>
      <w:r>
        <w:t xml:space="preserve">= the field is parsed but not read by the engine; </w:t>
      </w:r>
      <w:r>
        <w:rPr>
          <w:b/>
          <w:bCs/>
        </w:rPr>
        <w:t xml:space="preserve">[Realism] </w:t>
      </w:r>
      <w:r>
        <w:t xml:space="preserve">= mechanically OK but contradicts real-world reference behaviour; </w:t>
      </w:r>
      <w:r>
        <w:rPr>
          <w:b/>
          <w:bCs/>
        </w:rPr>
        <w:t xml:space="preserve">[Style] </w:t>
      </w:r>
      <w:r>
        <w:t xml:space="preserve">= nit.</w:t>
      </w:r>
    </w:p>
    <w:p>
      <w:pPr>
        <w:pStyle w:val="Heading2"/>
        <w:spacing w:after="120" w:before="240"/>
      </w:pPr>
      <w:r>
        <w:t xml:space="preserve">Top-level fields</w:t>
      </w:r>
    </w:p>
    <w:p>
      <w:pPr>
        <w:pStyle w:val="ListParagraph"/>
        <w:numPr>
          <w:ilvl w:val="0"/>
          <w:numId w:val="2"/>
        </w:numPr>
      </w:pPr>
      <w:r>
        <w:rPr>
          <w:b/>
          <w:bCs/>
        </w:rPr>
        <w:t xml:space="preserve">Line 1 </w:t>
      </w:r>
      <w:r>
        <w:rPr>
          <w:rFonts w:ascii="Courier New" w:cs="Courier New" w:eastAsia="Courier New" w:hAnsi="Courier New"/>
          <w:sz w:val="20"/>
          <w:szCs w:val="20"/>
        </w:rPr>
        <w:t xml:space="preserve">name: "HERMES-3 Debris Impact — Alpha-7"</w:t>
      </w:r>
      <w:r>
        <w:t xml:space="preserve"> — fine; the ScenarioDefinition reads this. </w:t>
      </w:r>
      <w:r>
        <w:rPr>
          <w:b/>
          <w:bCs/>
        </w:rPr>
        <w:t xml:space="preserve">[OK]</w:t>
      </w:r>
    </w:p>
    <w:p>
      <w:pPr>
        <w:pStyle w:val="ListParagraph"/>
        <w:numPr>
          <w:ilvl w:val="0"/>
          <w:numId w:val="2"/>
        </w:numPr>
      </w:pPr>
      <w:r>
        <w:rPr>
          <w:b/>
          <w:bCs/>
        </w:rPr>
        <w:t xml:space="preserve">Line 4 </w:t>
      </w:r>
      <w:r>
        <w:rPr>
          <w:rFonts w:ascii="Courier New" w:cs="Courier New" w:eastAsia="Courier New" w:hAnsi="Courier New"/>
          <w:sz w:val="20"/>
          <w:szCs w:val="20"/>
        </w:rPr>
        <w:t xml:space="preserve">contact_window_s: 660</w:t>
      </w:r>
      <w:r>
        <w:t xml:space="preserve"> — </w:t>
      </w:r>
      <w:r>
        <w:rPr>
          <w:b/>
          <w:bCs/>
        </w:rPr>
        <w:t xml:space="preserve">[Schema] </w:t>
      </w:r>
      <w:r>
        <w:t xml:space="preserve">ScenarioDefinition has no </w:t>
      </w:r>
      <w:r>
        <w:rPr>
          <w:rFonts w:ascii="Courier New" w:cs="Courier New" w:eastAsia="Courier New" w:hAnsi="Courier New"/>
          <w:sz w:val="20"/>
          <w:szCs w:val="20"/>
        </w:rPr>
        <w:t xml:space="preserve">contact_window_s</w:t>
      </w:r>
      <w:r>
        <w:t xml:space="preserve"> field; this is read and discarded. If you want contact-window-based scoring, the scenario engine needs the field added.</w:t>
      </w:r>
    </w:p>
    <w:p>
      <w:pPr>
        <w:pStyle w:val="ListParagraph"/>
        <w:numPr>
          <w:ilvl w:val="0"/>
          <w:numId w:val="2"/>
        </w:numPr>
      </w:pPr>
      <w:r>
        <w:rPr>
          <w:b/>
          <w:bCs/>
        </w:rPr>
        <w:t xml:space="preserve">Lines 6–13 </w:t>
      </w:r>
      <w:r>
        <w:t xml:space="preserve">briefing — </w:t>
      </w:r>
      <w:r>
        <w:rPr>
          <w:b/>
          <w:bCs/>
        </w:rPr>
        <w:t xml:space="preserve">[OK] </w:t>
      </w:r>
      <w:r>
        <w:t xml:space="preserve">solid context-setting; classification banner is good practice for training material.</w:t>
      </w:r>
    </w:p>
    <w:p>
      <w:pPr>
        <w:pStyle w:val="Heading2"/>
        <w:spacing w:after="120" w:before="240"/>
      </w:pPr>
      <w:r>
        <w:t xml:space="preserve">F-1 — EPS solar-array cell loss (T+00:00)</w:t>
      </w:r>
    </w:p>
    <w:p>
      <w:pPr>
        <w:pStyle w:val="ListParagraph"/>
        <w:numPr>
          <w:ilvl w:val="0"/>
          <w:numId w:val="2"/>
        </w:numPr>
      </w:pPr>
      <w:r>
        <w:rPr>
          <w:b/>
          <w:bCs/>
        </w:rPr>
        <w:t xml:space="preserve">Line 22 </w:t>
      </w:r>
      <w:r>
        <w:rPr>
          <w:rFonts w:ascii="Courier New" w:cs="Courier New" w:eastAsia="Courier New" w:hAnsi="Courier New"/>
          <w:sz w:val="20"/>
          <w:szCs w:val="20"/>
        </w:rPr>
        <w:t xml:space="preserve">subsystem: eps</w:t>
      </w:r>
      <w:r>
        <w:t xml:space="preserve"> — </w:t>
      </w:r>
      <w:r>
        <w:rPr>
          <w:b/>
          <w:bCs/>
        </w:rPr>
        <w:t xml:space="preserve">[OK]</w:t>
      </w:r>
      <w:r>
        <w:t xml:space="preserve"> the SMO EPS model is named </w:t>
      </w:r>
      <w:r>
        <w:rPr>
          <w:rFonts w:ascii="Courier New" w:cs="Courier New" w:eastAsia="Courier New" w:hAnsi="Courier New"/>
          <w:sz w:val="20"/>
          <w:szCs w:val="20"/>
        </w:rPr>
        <w:t xml:space="preserve">eps</w:t>
      </w:r>
      <w:r>
        <w:t xml:space="preserve">.</w:t>
      </w:r>
    </w:p>
    <w:p>
      <w:pPr>
        <w:pStyle w:val="ListParagraph"/>
        <w:numPr>
          <w:ilvl w:val="0"/>
          <w:numId w:val="2"/>
        </w:numPr>
      </w:pPr>
      <w:r>
        <w:rPr>
          <w:b/>
          <w:bCs/>
        </w:rPr>
        <w:t xml:space="preserve">Line 23 </w:t>
      </w:r>
      <w:r>
        <w:rPr>
          <w:rFonts w:ascii="Courier New" w:cs="Courier New" w:eastAsia="Courier New" w:hAnsi="Courier New"/>
          <w:sz w:val="20"/>
          <w:szCs w:val="20"/>
        </w:rPr>
        <w:t xml:space="preserve">failure: solar_array_cell_loss</w:t>
      </w:r>
      <w:r>
        <w:t xml:space="preserve"> — </w:t>
      </w:r>
      <w:r>
        <w:rPr>
          <w:b/>
          <w:bCs/>
        </w:rPr>
        <w:t xml:space="preserve">[Breaking] </w:t>
      </w:r>
      <w:r>
        <w:t xml:space="preserve">the EPS model's </w:t>
      </w:r>
      <w:r>
        <w:rPr>
          <w:rFonts w:ascii="Courier New" w:cs="Courier New" w:eastAsia="Courier New" w:hAnsi="Courier New"/>
          <w:sz w:val="20"/>
          <w:szCs w:val="20"/>
        </w:rPr>
        <w:t xml:space="preserve">inject_failure</w:t>
      </w:r>
      <w:r>
        <w:t xml:space="preserve"> has no </w:t>
      </w:r>
      <w:r>
        <w:rPr>
          <w:rFonts w:ascii="Courier New" w:cs="Courier New" w:eastAsia="Courier New" w:hAnsi="Courier New"/>
          <w:sz w:val="20"/>
          <w:szCs w:val="20"/>
        </w:rPr>
        <w:t xml:space="preserve">solar_array_cell_loss</w:t>
      </w:r>
      <w:r>
        <w:t xml:space="preserve"> branch. Remap to </w:t>
      </w:r>
      <w:r>
        <w:rPr>
          <w:rFonts w:ascii="Courier New" w:cs="Courier New" w:eastAsia="Courier New" w:hAnsi="Courier New"/>
          <w:sz w:val="20"/>
          <w:szCs w:val="20"/>
        </w:rPr>
        <w:t xml:space="preserve">sa_b_fail</w:t>
      </w:r>
      <w:r>
        <w:t xml:space="preserve"> (the SMO has independent </w:t>
      </w:r>
      <w:r>
        <w:rPr>
          <w:rFonts w:ascii="Courier New" w:cs="Courier New" w:eastAsia="Courier New" w:hAnsi="Courier New"/>
          <w:sz w:val="20"/>
          <w:szCs w:val="20"/>
        </w:rPr>
        <w:t xml:space="preserve">sa_a_fail</w:t>
      </w:r>
      <w:r>
        <w:t xml:space="preserve">/</w:t>
      </w:r>
      <w:r>
        <w:rPr>
          <w:rFonts w:ascii="Courier New" w:cs="Courier New" w:eastAsia="Courier New" w:hAnsi="Courier New"/>
          <w:sz w:val="20"/>
          <w:szCs w:val="20"/>
        </w:rPr>
        <w:t xml:space="preserve">sa_b_fail</w:t>
      </w:r>
      <w:r>
        <w:t xml:space="preserve"> failures) or extend the model. Currently this silently does nothing.</w:t>
      </w:r>
    </w:p>
    <w:p>
      <w:pPr>
        <w:pStyle w:val="ListParagraph"/>
        <w:numPr>
          <w:ilvl w:val="0"/>
          <w:numId w:val="2"/>
        </w:numPr>
      </w:pPr>
      <w:r>
        <w:rPr>
          <w:b/>
          <w:bCs/>
        </w:rPr>
        <w:t xml:space="preserve">Line 26 </w:t>
      </w:r>
      <w:r>
        <w:rPr>
          <w:rFonts w:ascii="Courier New" w:cs="Courier New" w:eastAsia="Courier New" w:hAnsi="Courier New"/>
          <w:sz w:val="20"/>
          <w:szCs w:val="20"/>
        </w:rPr>
        <w:t xml:space="preserve">target: SA-2B</w:t>
      </w:r>
      <w:r>
        <w:t xml:space="preserve"> — </w:t>
      </w:r>
      <w:r>
        <w:rPr>
          <w:b/>
          <w:bCs/>
        </w:rPr>
        <w:t xml:space="preserve">[Schema] </w:t>
      </w:r>
      <w:r>
        <w:t xml:space="preserve">passed as a kwarg to </w:t>
      </w:r>
      <w:r>
        <w:rPr>
          <w:rFonts w:ascii="Courier New" w:cs="Courier New" w:eastAsia="Courier New" w:hAnsi="Courier New"/>
          <w:sz w:val="20"/>
          <w:szCs w:val="20"/>
        </w:rPr>
        <w:t xml:space="preserve">inject_failure</w:t>
      </w:r>
      <w:r>
        <w:t xml:space="preserve">; ignored unless the model defines a panel-level handler. The SMO models the EPS arrays as A/B only, so the per-panel level isn't there to be commanded.</w:t>
      </w:r>
    </w:p>
    <w:p>
      <w:pPr>
        <w:pStyle w:val="ListParagraph"/>
        <w:numPr>
          <w:ilvl w:val="0"/>
          <w:numId w:val="2"/>
        </w:numPr>
      </w:pPr>
      <w:r>
        <w:rPr>
          <w:b/>
          <w:bCs/>
        </w:rPr>
        <w:t xml:space="preserve">Lines 29–55 </w:t>
      </w:r>
      <w:r>
        <w:t xml:space="preserve">four </w:t>
      </w:r>
      <w:r>
        <w:rPr>
          <w:rFonts w:ascii="Courier New" w:cs="Courier New" w:eastAsia="Courier New" w:hAnsi="Courier New"/>
          <w:sz w:val="20"/>
          <w:szCs w:val="20"/>
        </w:rPr>
        <w:t xml:space="preserve">action: set_parameter</w:t>
      </w:r>
      <w:r>
        <w:t xml:space="preserve"> events — </w:t>
      </w:r>
      <w:r>
        <w:rPr>
          <w:b/>
          <w:bCs/>
        </w:rPr>
        <w:t xml:space="preserve">[Breaking] </w:t>
      </w:r>
      <w:r>
        <w:t xml:space="preserve">the scenario engine did not handle </w:t>
      </w:r>
      <w:r>
        <w:rPr>
          <w:rFonts w:ascii="Courier New" w:cs="Courier New" w:eastAsia="Courier New" w:hAnsi="Courier New"/>
          <w:sz w:val="20"/>
          <w:szCs w:val="20"/>
        </w:rPr>
        <w:t xml:space="preserve">set_parameter</w:t>
      </w:r>
      <w:r>
        <w:t xml:space="preserve"> at all (it silently fired with no effect). This is now fixed: it accepts a numeric </w:t>
      </w:r>
      <w:r>
        <w:rPr>
          <w:rFonts w:ascii="Courier New" w:cs="Courier New" w:eastAsia="Courier New" w:hAnsi="Courier New"/>
          <w:sz w:val="20"/>
          <w:szCs w:val="20"/>
        </w:rPr>
        <w:t xml:space="preserve">param_id</w:t>
      </w:r>
      <w:r>
        <w:t xml:space="preserve">. Your symbolic names (</w:t>
      </w:r>
      <w:r>
        <w:rPr>
          <w:rFonts w:ascii="Courier New" w:cs="Courier New" w:eastAsia="Courier New" w:hAnsi="Courier New"/>
          <w:sz w:val="20"/>
          <w:szCs w:val="20"/>
        </w:rPr>
        <w:t xml:space="preserve">sa_total_output_w</w:t>
      </w:r>
      <w:r>
        <w:t xml:space="preserve">, </w:t>
      </w:r>
      <w:r>
        <w:rPr>
          <w:rFonts w:ascii="Courier New" w:cs="Courier New" w:eastAsia="Courier New" w:hAnsi="Courier New"/>
          <w:sz w:val="20"/>
          <w:szCs w:val="20"/>
        </w:rPr>
        <w:t xml:space="preserve">bus_voltage_v</w:t>
      </w:r>
      <w:r>
        <w:t xml:space="preserve">, </w:t>
      </w:r>
      <w:r>
        <w:rPr>
          <w:rFonts w:ascii="Courier New" w:cs="Courier New" w:eastAsia="Courier New" w:hAnsi="Courier New"/>
          <w:sz w:val="20"/>
          <w:szCs w:val="20"/>
        </w:rPr>
        <w:t xml:space="preserve">battery_discharge_current_a</w:t>
      </w:r>
      <w:r>
        <w:t xml:space="preserve">, </w:t>
      </w:r>
      <w:r>
        <w:rPr>
          <w:rFonts w:ascii="Courier New" w:cs="Courier New" w:eastAsia="Courier New" w:hAnsi="Courier New"/>
          <w:sz w:val="20"/>
          <w:szCs w:val="20"/>
        </w:rPr>
        <w:t xml:space="preserve">power_margin_w</w:t>
      </w:r>
      <w:r>
        <w:t xml:space="preserve">) do not resolve, because the scenario engine has no name→id registry. Use the hex IDs from </w:t>
      </w:r>
      <w:r>
        <w:rPr>
          <w:rFonts w:ascii="Courier New" w:cs="Courier New" w:eastAsia="Courier New" w:hAnsi="Courier New"/>
          <w:sz w:val="20"/>
          <w:szCs w:val="20"/>
        </w:rPr>
        <w:t xml:space="preserve">configs/eosat1/parameters.yaml</w:t>
      </w:r>
      <w:r>
        <w:t xml:space="preserve"> (bus voltage is </w:t>
      </w:r>
      <w:r>
        <w:rPr>
          <w:rFonts w:ascii="Courier New" w:cs="Courier New" w:eastAsia="Courier New" w:hAnsi="Courier New"/>
          <w:sz w:val="20"/>
          <w:szCs w:val="20"/>
        </w:rPr>
        <w:t xml:space="preserve">0x0107</w:t>
      </w:r>
      <w:r>
        <w:t xml:space="preserve">, battery SoC </w:t>
      </w:r>
      <w:r>
        <w:rPr>
          <w:rFonts w:ascii="Courier New" w:cs="Courier New" w:eastAsia="Courier New" w:hAnsi="Courier New"/>
          <w:sz w:val="20"/>
          <w:szCs w:val="20"/>
        </w:rPr>
        <w:t xml:space="preserve">0x0101</w:t>
      </w:r>
      <w:r>
        <w:t xml:space="preserve">). </w:t>
      </w:r>
      <w:r>
        <w:rPr>
          <w:i/>
          <w:iCs/>
        </w:rPr>
        <w:t xml:space="preserve">Note: </w:t>
      </w:r>
      <w:r>
        <w:rPr>
          <w:rFonts w:ascii="Courier New" w:cs="Courier New" w:eastAsia="Courier New" w:hAnsi="Courier New"/>
          <w:sz w:val="20"/>
          <w:szCs w:val="20"/>
        </w:rPr>
        <w:t xml:space="preserve">sa_total_output_w</w:t>
      </w:r>
      <w:r>
        <w:t xml:space="preserve"> and </w:t>
      </w:r>
      <w:r>
        <w:rPr>
          <w:rFonts w:ascii="Courier New" w:cs="Courier New" w:eastAsia="Courier New" w:hAnsi="Courier New"/>
          <w:sz w:val="20"/>
          <w:szCs w:val="20"/>
        </w:rPr>
        <w:t xml:space="preserve">power_margin_w</w:t>
      </w:r>
      <w:r>
        <w:t xml:space="preserve"> do not exist as SMO parameters at all — they would need to be defined and emitted by the EPS model first.</w:t>
      </w:r>
    </w:p>
    <w:p>
      <w:pPr>
        <w:pStyle w:val="Heading2"/>
        <w:spacing w:after="120" w:before="240"/>
      </w:pPr>
      <w:r>
        <w:t xml:space="preserve">F-2 — ADCS (T+02:15)</w:t>
      </w:r>
    </w:p>
    <w:p>
      <w:pPr>
        <w:pStyle w:val="ListParagraph"/>
        <w:numPr>
          <w:ilvl w:val="0"/>
          <w:numId w:val="2"/>
        </w:numPr>
      </w:pPr>
      <w:r>
        <w:rPr>
          <w:b/>
          <w:bCs/>
        </w:rPr>
        <w:t xml:space="preserve">Line 61 </w:t>
      </w:r>
      <w:r>
        <w:rPr>
          <w:rFonts w:ascii="Courier New" w:cs="Courier New" w:eastAsia="Courier New" w:hAnsi="Courier New"/>
          <w:sz w:val="20"/>
          <w:szCs w:val="20"/>
        </w:rPr>
        <w:t xml:space="preserve">subsystem: adcs</w:t>
      </w:r>
      <w:r>
        <w:t xml:space="preserve"> — </w:t>
      </w:r>
      <w:r>
        <w:rPr>
          <w:b/>
          <w:bCs/>
        </w:rPr>
        <w:t xml:space="preserve">[Breaking] </w:t>
      </w:r>
      <w:r>
        <w:t xml:space="preserve">the SMO uses </w:t>
      </w:r>
      <w:r>
        <w:rPr>
          <w:rFonts w:ascii="Courier New" w:cs="Courier New" w:eastAsia="Courier New" w:hAnsi="Courier New"/>
          <w:sz w:val="20"/>
          <w:szCs w:val="20"/>
        </w:rPr>
        <w:t xml:space="preserve">aocs</w:t>
      </w:r>
      <w:r>
        <w:t xml:space="preserve"> not </w:t>
      </w:r>
      <w:r>
        <w:rPr>
          <w:rFonts w:ascii="Courier New" w:cs="Courier New" w:eastAsia="Courier New" w:hAnsi="Courier New"/>
          <w:sz w:val="20"/>
          <w:szCs w:val="20"/>
        </w:rPr>
        <w:t xml:space="preserve">adcs</w:t>
      </w:r>
      <w:r>
        <w:t xml:space="preserve">. The instructor-UI dropdown does this translation client-side, but scenarios do not — so the engine never finds a model and silently no-ops. Rename throughout.</w:t>
      </w:r>
    </w:p>
    <w:p>
      <w:pPr>
        <w:pStyle w:val="ListParagraph"/>
        <w:numPr>
          <w:ilvl w:val="0"/>
          <w:numId w:val="2"/>
        </w:numPr>
      </w:pPr>
      <w:r>
        <w:rPr>
          <w:b/>
          <w:bCs/>
        </w:rPr>
        <w:t xml:space="preserve">Line 62 </w:t>
      </w:r>
      <w:r>
        <w:rPr>
          <w:rFonts w:ascii="Courier New" w:cs="Courier New" w:eastAsia="Courier New" w:hAnsi="Courier New"/>
          <w:sz w:val="20"/>
          <w:szCs w:val="20"/>
        </w:rPr>
        <w:t xml:space="preserve">failure: gimbal_drive_fault</w:t>
      </w:r>
      <w:r>
        <w:t xml:space="preserve"> — </w:t>
      </w:r>
      <w:r>
        <w:rPr>
          <w:b/>
          <w:bCs/>
        </w:rPr>
        <w:t xml:space="preserve">[Breaking] </w:t>
      </w:r>
      <w:r>
        <w:t xml:space="preserve">not a handled AOCS failure. Closest analogue is </w:t>
      </w:r>
      <w:r>
        <w:rPr>
          <w:rFonts w:ascii="Courier New" w:cs="Courier New" w:eastAsia="Courier New" w:hAnsi="Courier New"/>
          <w:sz w:val="20"/>
          <w:szCs w:val="20"/>
        </w:rPr>
        <w:t xml:space="preserve">rw_bearing</w:t>
      </w:r>
      <w:r>
        <w:t xml:space="preserve"> / </w:t>
      </w:r>
      <w:r>
        <w:rPr>
          <w:rFonts w:ascii="Courier New" w:cs="Courier New" w:eastAsia="Courier New" w:hAnsi="Courier New"/>
          <w:sz w:val="20"/>
          <w:szCs w:val="20"/>
        </w:rPr>
        <w:t xml:space="preserve">rw_seizure</w:t>
      </w:r>
      <w:r>
        <w:t xml:space="preserve"> (and AOCS now logs a WARNING for unknown failure names, so this would at least show in the log). The HERMES-3 design appears to have steerable arrays with a SADA, which the SMO doesn't model.</w:t>
      </w:r>
    </w:p>
    <w:p>
      <w:pPr>
        <w:pStyle w:val="ListParagraph"/>
        <w:numPr>
          <w:ilvl w:val="0"/>
          <w:numId w:val="2"/>
        </w:numPr>
      </w:pPr>
      <w:r>
        <w:rPr>
          <w:b/>
          <w:bCs/>
        </w:rPr>
        <w:t xml:space="preserve">Lines 68–101 </w:t>
      </w:r>
      <w:r>
        <w:t xml:space="preserve">five </w:t>
      </w:r>
      <w:r>
        <w:rPr>
          <w:rFonts w:ascii="Courier New" w:cs="Courier New" w:eastAsia="Courier New" w:hAnsi="Courier New"/>
          <w:sz w:val="20"/>
          <w:szCs w:val="20"/>
        </w:rPr>
        <w:t xml:space="preserve">set_parameter</w:t>
      </w:r>
      <w:r>
        <w:t xml:space="preserve"> events using symbolic names (</w:t>
      </w:r>
      <w:r>
        <w:rPr>
          <w:rFonts w:ascii="Courier New" w:cs="Courier New" w:eastAsia="Courier New" w:hAnsi="Courier New"/>
          <w:sz w:val="20"/>
          <w:szCs w:val="20"/>
        </w:rPr>
        <w:t xml:space="preserve">rw_b_speed_rpm</w:t>
      </w:r>
      <w:r>
        <w:t xml:space="preserve">, </w:t>
      </w:r>
      <w:r>
        <w:rPr>
          <w:rFonts w:ascii="Courier New" w:cs="Courier New" w:eastAsia="Courier New" w:hAnsi="Courier New"/>
          <w:sz w:val="20"/>
          <w:szCs w:val="20"/>
        </w:rPr>
        <w:t xml:space="preserve">pointing_error_deg</w:t>
      </w:r>
      <w:r>
        <w:t xml:space="preserve">, </w:t>
      </w:r>
      <w:r>
        <w:rPr>
          <w:rFonts w:ascii="Courier New" w:cs="Courier New" w:eastAsia="Courier New" w:hAnsi="Courier New"/>
          <w:sz w:val="20"/>
          <w:szCs w:val="20"/>
        </w:rPr>
        <w:t xml:space="preserve">disturbance_torque_nm</w:t>
      </w:r>
      <w:r>
        <w:t xml:space="preserve">, etc.) — </w:t>
      </w:r>
      <w:r>
        <w:rPr>
          <w:b/>
          <w:bCs/>
        </w:rPr>
        <w:t xml:space="preserve">[Breaking] </w:t>
      </w:r>
      <w:r>
        <w:t xml:space="preserve">none of these are parameter names the SMO emits. RW speeds are at </w:t>
      </w:r>
      <w:r>
        <w:rPr>
          <w:rFonts w:ascii="Courier New" w:cs="Courier New" w:eastAsia="Courier New" w:hAnsi="Courier New"/>
          <w:sz w:val="20"/>
          <w:szCs w:val="20"/>
        </w:rPr>
        <w:t xml:space="preserve">0x0207</w:t>
      </w:r>
      <w:r>
        <w:t xml:space="preserve"> – </w:t>
      </w:r>
      <w:r>
        <w:rPr>
          <w:rFonts w:ascii="Courier New" w:cs="Courier New" w:eastAsia="Courier New" w:hAnsi="Courier New"/>
          <w:sz w:val="20"/>
          <w:szCs w:val="20"/>
        </w:rPr>
        <w:t xml:space="preserve">0x020A</w:t>
      </w:r>
      <w:r>
        <w:t xml:space="preserve">, and after the recent remediation pass RW temperatures are now in SID 2 at </w:t>
      </w:r>
      <w:r>
        <w:rPr>
          <w:rFonts w:ascii="Courier New" w:cs="Courier New" w:eastAsia="Courier New" w:hAnsi="Courier New"/>
          <w:sz w:val="20"/>
          <w:szCs w:val="20"/>
        </w:rPr>
        <w:t xml:space="preserve">0x0218</w:t>
      </w:r>
      <w:r>
        <w:t xml:space="preserve"> – </w:t>
      </w:r>
      <w:r>
        <w:rPr>
          <w:rFonts w:ascii="Courier New" w:cs="Courier New" w:eastAsia="Courier New" w:hAnsi="Courier New"/>
          <w:sz w:val="20"/>
          <w:szCs w:val="20"/>
        </w:rPr>
        <w:t xml:space="preserve">0x021B</w:t>
      </w:r>
      <w:r>
        <w:t xml:space="preserve">.</w:t>
      </w:r>
    </w:p>
    <w:p>
      <w:pPr>
        <w:pStyle w:val="Heading2"/>
        <w:spacing w:after="120" w:before="240"/>
      </w:pPr>
      <w:r>
        <w:t xml:space="preserve">F-3 — TCS heater circuit (T+04:40)</w:t>
      </w:r>
    </w:p>
    <w:p>
      <w:pPr>
        <w:pStyle w:val="ListParagraph"/>
        <w:numPr>
          <w:ilvl w:val="0"/>
          <w:numId w:val="2"/>
        </w:numPr>
      </w:pPr>
      <w:r>
        <w:rPr>
          <w:b/>
          <w:bCs/>
        </w:rPr>
        <w:t xml:space="preserve">Line 108 </w:t>
      </w:r>
      <w:r>
        <w:rPr>
          <w:rFonts w:ascii="Courier New" w:cs="Courier New" w:eastAsia="Courier New" w:hAnsi="Courier New"/>
          <w:sz w:val="20"/>
          <w:szCs w:val="20"/>
        </w:rPr>
        <w:t xml:space="preserve">failure: heater_circuit_cut</w:t>
      </w:r>
      <w:r>
        <w:t xml:space="preserve"> — </w:t>
      </w:r>
      <w:r>
        <w:rPr>
          <w:b/>
          <w:bCs/>
        </w:rPr>
        <w:t xml:space="preserve">[Breaking] </w:t>
      </w:r>
      <w:r>
        <w:t xml:space="preserve">not a handled TCS failure. The SMO TCS has </w:t>
      </w:r>
      <w:r>
        <w:rPr>
          <w:rFonts w:ascii="Courier New" w:cs="Courier New" w:eastAsia="Courier New" w:hAnsi="Courier New"/>
          <w:sz w:val="20"/>
          <w:szCs w:val="20"/>
        </w:rPr>
        <w:t xml:space="preserve">htr_battery_stuck_on</w:t>
      </w:r>
      <w:r>
        <w:t xml:space="preserve">, </w:t>
      </w:r>
      <w:r>
        <w:rPr>
          <w:rFonts w:ascii="Courier New" w:cs="Courier New" w:eastAsia="Courier New" w:hAnsi="Courier New"/>
          <w:sz w:val="20"/>
          <w:szCs w:val="20"/>
        </w:rPr>
        <w:t xml:space="preserve">htr_battery_open_circuit</w:t>
      </w:r>
      <w:r>
        <w:t xml:space="preserve">, </w:t>
      </w:r>
      <w:r>
        <w:rPr>
          <w:rFonts w:ascii="Courier New" w:cs="Courier New" w:eastAsia="Courier New" w:hAnsi="Courier New"/>
          <w:sz w:val="20"/>
          <w:szCs w:val="20"/>
        </w:rPr>
        <w:t xml:space="preserve">cooler_failed</w:t>
      </w:r>
      <w:r>
        <w:t xml:space="preserve">, and sensor drifts — pick one that matches the intent, or extend the model.</w:t>
      </w:r>
    </w:p>
    <w:p>
      <w:pPr>
        <w:pStyle w:val="ListParagraph"/>
        <w:numPr>
          <w:ilvl w:val="0"/>
          <w:numId w:val="2"/>
        </w:numPr>
      </w:pPr>
      <w:r>
        <w:rPr>
          <w:b/>
          <w:bCs/>
        </w:rPr>
        <w:t xml:space="preserve">Line 110 </w:t>
      </w:r>
      <w:r>
        <w:rPr>
          <w:rFonts w:ascii="Courier New" w:cs="Courier New" w:eastAsia="Courier New" w:hAnsi="Courier New"/>
          <w:sz w:val="20"/>
          <w:szCs w:val="20"/>
        </w:rPr>
        <w:t xml:space="preserve">onset: ramp</w:t>
      </w:r>
      <w:r>
        <w:t xml:space="preserve"> — </w:t>
      </w:r>
      <w:r>
        <w:rPr>
          <w:b/>
          <w:bCs/>
        </w:rPr>
        <w:t xml:space="preserve">[Breaking] </w:t>
      </w:r>
      <w:r>
        <w:t xml:space="preserve">FailureManager onset modes are </w:t>
      </w:r>
      <w:r>
        <w:rPr>
          <w:rFonts w:ascii="Courier New" w:cs="Courier New" w:eastAsia="Courier New" w:hAnsi="Courier New"/>
          <w:sz w:val="20"/>
          <w:szCs w:val="20"/>
        </w:rPr>
        <w:t xml:space="preserve">step</w:t>
      </w:r>
      <w:r>
        <w:t xml:space="preserve">, </w:t>
      </w:r>
      <w:r>
        <w:rPr>
          <w:rFonts w:ascii="Courier New" w:cs="Courier New" w:eastAsia="Courier New" w:hAnsi="Courier New"/>
          <w:sz w:val="20"/>
          <w:szCs w:val="20"/>
        </w:rPr>
        <w:t xml:space="preserve">gradual</w:t>
      </w:r>
      <w:r>
        <w:t xml:space="preserve">, and </w:t>
      </w:r>
      <w:r>
        <w:rPr>
          <w:rFonts w:ascii="Courier New" w:cs="Courier New" w:eastAsia="Courier New" w:hAnsi="Courier New"/>
          <w:sz w:val="20"/>
          <w:szCs w:val="20"/>
        </w:rPr>
        <w:t xml:space="preserve">intermittent</w:t>
      </w:r>
      <w:r>
        <w:t xml:space="preserve">; </w:t>
      </w:r>
      <w:r>
        <w:rPr>
          <w:rFonts w:ascii="Courier New" w:cs="Courier New" w:eastAsia="Courier New" w:hAnsi="Courier New"/>
          <w:sz w:val="20"/>
          <w:szCs w:val="20"/>
        </w:rPr>
        <w:t xml:space="preserve">ramp</w:t>
      </w:r>
      <w:r>
        <w:t xml:space="preserve"> is silently rejected and the failure stays at zero magnitude. Use </w:t>
      </w:r>
      <w:r>
        <w:rPr>
          <w:rFonts w:ascii="Courier New" w:cs="Courier New" w:eastAsia="Courier New" w:hAnsi="Courier New"/>
          <w:sz w:val="20"/>
          <w:szCs w:val="20"/>
        </w:rPr>
        <w:t xml:space="preserve">gradual</w:t>
      </w:r>
      <w:r>
        <w:t xml:space="preserve">.</w:t>
      </w:r>
    </w:p>
    <w:p>
      <w:pPr>
        <w:pStyle w:val="ListParagraph"/>
        <w:numPr>
          <w:ilvl w:val="0"/>
          <w:numId w:val="2"/>
        </w:numPr>
      </w:pPr>
      <w:r>
        <w:rPr>
          <w:b/>
          <w:bCs/>
        </w:rPr>
        <w:t xml:space="preserve">Lines 121–140 </w:t>
      </w:r>
      <w:r>
        <w:t xml:space="preserve">four </w:t>
      </w:r>
      <w:r>
        <w:rPr>
          <w:rFonts w:ascii="Courier New" w:cs="Courier New" w:eastAsia="Courier New" w:hAnsi="Courier New"/>
          <w:sz w:val="20"/>
          <w:szCs w:val="20"/>
        </w:rPr>
        <w:t xml:space="preserve">set_parameter</w:t>
      </w:r>
      <w:r>
        <w:t xml:space="preserve"> events — same Breaking issue as F-1/F-2: symbolic names. </w:t>
      </w:r>
      <w:r>
        <w:rPr>
          <w:rFonts w:ascii="Courier New" w:cs="Courier New" w:eastAsia="Courier New" w:hAnsi="Courier New"/>
          <w:sz w:val="20"/>
          <w:szCs w:val="20"/>
        </w:rPr>
        <w:t xml:space="preserve">battery_temp_c</w:t>
      </w:r>
      <w:r>
        <w:t xml:space="preserve"> maps to </w:t>
      </w:r>
      <w:r>
        <w:rPr>
          <w:rFonts w:ascii="Courier New" w:cs="Courier New" w:eastAsia="Courier New" w:hAnsi="Courier New"/>
          <w:sz w:val="20"/>
          <w:szCs w:val="20"/>
        </w:rPr>
        <w:t xml:space="preserve">0x0407</w:t>
      </w:r>
      <w:r>
        <w:t xml:space="preserve">. </w:t>
      </w:r>
      <w:r>
        <w:rPr>
          <w:rFonts w:ascii="Courier New" w:cs="Courier New" w:eastAsia="Courier New" w:hAnsi="Courier New"/>
          <w:sz w:val="20"/>
          <w:szCs w:val="20"/>
        </w:rPr>
        <w:t xml:space="preserve">battery_charge_efficiency_pct</w:t>
      </w:r>
      <w:r>
        <w:t xml:space="preserve"> and </w:t>
      </w:r>
      <w:r>
        <w:rPr>
          <w:rFonts w:ascii="Courier New" w:cs="Courier New" w:eastAsia="Courier New" w:hAnsi="Courier New"/>
          <w:sz w:val="20"/>
          <w:szCs w:val="20"/>
        </w:rPr>
        <w:t xml:space="preserve">active_heater_circuits</w:t>
      </w:r>
      <w:r>
        <w:t xml:space="preserve"> are not modelled.</w:t>
      </w:r>
    </w:p>
    <w:p>
      <w:pPr>
        <w:pStyle w:val="Heading2"/>
        <w:spacing w:after="120" w:before="240"/>
      </w:pPr>
      <w:r>
        <w:t xml:space="preserve">F-4 — COMMS / TTC (T+07:10)</w:t>
      </w:r>
    </w:p>
    <w:p>
      <w:pPr>
        <w:pStyle w:val="ListParagraph"/>
        <w:numPr>
          <w:ilvl w:val="0"/>
          <w:numId w:val="2"/>
        </w:numPr>
      </w:pPr>
      <w:r>
        <w:rPr>
          <w:b/>
          <w:bCs/>
        </w:rPr>
        <w:t xml:space="preserve">Line 146 </w:t>
      </w:r>
      <w:r>
        <w:rPr>
          <w:rFonts w:ascii="Courier New" w:cs="Courier New" w:eastAsia="Courier New" w:hAnsi="Courier New"/>
          <w:sz w:val="20"/>
          <w:szCs w:val="20"/>
        </w:rPr>
        <w:t xml:space="preserve">subsystem: comms</w:t>
      </w:r>
      <w:r>
        <w:t xml:space="preserve"> — </w:t>
      </w:r>
      <w:r>
        <w:rPr>
          <w:b/>
          <w:bCs/>
        </w:rPr>
        <w:t xml:space="preserve">[Breaking] </w:t>
      </w:r>
      <w:r>
        <w:t xml:space="preserve">the SMO uses </w:t>
      </w:r>
      <w:r>
        <w:rPr>
          <w:rFonts w:ascii="Courier New" w:cs="Courier New" w:eastAsia="Courier New" w:hAnsi="Courier New"/>
          <w:sz w:val="20"/>
          <w:szCs w:val="20"/>
        </w:rPr>
        <w:t xml:space="preserve">ttc</w:t>
      </w:r>
      <w:r>
        <w:t xml:space="preserve">, not </w:t>
      </w:r>
      <w:r>
        <w:rPr>
          <w:rFonts w:ascii="Courier New" w:cs="Courier New" w:eastAsia="Courier New" w:hAnsi="Courier New"/>
          <w:sz w:val="20"/>
          <w:szCs w:val="20"/>
        </w:rPr>
        <w:t xml:space="preserve">comms</w:t>
      </w:r>
      <w:r>
        <w:t xml:space="preserve">. Rename.</w:t>
      </w:r>
    </w:p>
    <w:p>
      <w:pPr>
        <w:pStyle w:val="ListParagraph"/>
        <w:numPr>
          <w:ilvl w:val="0"/>
          <w:numId w:val="2"/>
        </w:numPr>
      </w:pPr>
      <w:r>
        <w:rPr>
          <w:b/>
          <w:bCs/>
        </w:rPr>
        <w:t xml:space="preserve">Line 147 </w:t>
      </w:r>
      <w:r>
        <w:rPr>
          <w:rFonts w:ascii="Courier New" w:cs="Courier New" w:eastAsia="Courier New" w:hAnsi="Courier New"/>
          <w:sz w:val="20"/>
          <w:szCs w:val="20"/>
        </w:rPr>
        <w:t xml:space="preserve">failure: tx_power_reduction</w:t>
      </w:r>
      <w:r>
        <w:t xml:space="preserve"> — </w:t>
      </w:r>
      <w:r>
        <w:rPr>
          <w:b/>
          <w:bCs/>
        </w:rPr>
        <w:t xml:space="preserve">[Breaking] </w:t>
      </w:r>
      <w:r>
        <w:t xml:space="preserve">not a handled TTC failure. Closest are </w:t>
      </w:r>
      <w:r>
        <w:rPr>
          <w:rFonts w:ascii="Courier New" w:cs="Courier New" w:eastAsia="Courier New" w:hAnsi="Courier New"/>
          <w:sz w:val="20"/>
          <w:szCs w:val="20"/>
        </w:rPr>
        <w:t xml:space="preserve">uplink_loss</w:t>
      </w:r>
      <w:r>
        <w:t xml:space="preserve"> (loss-of-link symptom — now correctly suppresses the downlink after recent fixes), </w:t>
      </w:r>
      <w:r>
        <w:rPr>
          <w:rFonts w:ascii="Courier New" w:cs="Courier New" w:eastAsia="Courier New" w:hAnsi="Courier New"/>
          <w:sz w:val="20"/>
          <w:szCs w:val="20"/>
        </w:rPr>
        <w:t xml:space="preserve">pa_thermal</w:t>
      </w:r>
      <w:r>
        <w:t xml:space="preserve">, or </w:t>
      </w:r>
      <w:r>
        <w:rPr>
          <w:rFonts w:ascii="Courier New" w:cs="Courier New" w:eastAsia="Courier New" w:hAnsi="Courier New"/>
          <w:sz w:val="20"/>
          <w:szCs w:val="20"/>
        </w:rPr>
        <w:t xml:space="preserve">antenna_deploy_failed</w:t>
      </w:r>
      <w:r>
        <w:t xml:space="preserve">. A direct "reduce TX power" failure would need to be added to the TTC model.</w:t>
      </w:r>
    </w:p>
    <w:p>
      <w:pPr>
        <w:pStyle w:val="ListParagraph"/>
        <w:numPr>
          <w:ilvl w:val="0"/>
          <w:numId w:val="2"/>
        </w:numPr>
      </w:pPr>
      <w:r>
        <w:rPr>
          <w:b/>
          <w:bCs/>
        </w:rPr>
        <w:t xml:space="preserve">Lines 153–179 </w:t>
      </w:r>
      <w:r>
        <w:t xml:space="preserve">four symbolic </w:t>
      </w:r>
      <w:r>
        <w:rPr>
          <w:rFonts w:ascii="Courier New" w:cs="Courier New" w:eastAsia="Courier New" w:hAnsi="Courier New"/>
          <w:sz w:val="20"/>
          <w:szCs w:val="20"/>
        </w:rPr>
        <w:t xml:space="preserve">set_parameter</w:t>
      </w:r>
      <w:r>
        <w:t xml:space="preserve"> events — </w:t>
      </w:r>
      <w:r>
        <w:rPr>
          <w:b/>
          <w:bCs/>
        </w:rPr>
        <w:t xml:space="preserve">[Breaking] </w:t>
      </w:r>
      <w:r>
        <w:t xml:space="preserve">of these only an analogue of "downlink rate" is plausibly mappable; </w:t>
      </w:r>
      <w:r>
        <w:rPr>
          <w:rFonts w:ascii="Courier New" w:cs="Courier New" w:eastAsia="Courier New" w:hAnsi="Courier New"/>
          <w:sz w:val="20"/>
          <w:szCs w:val="20"/>
        </w:rPr>
        <w:t xml:space="preserve">uplink_margin_db</w:t>
      </w:r>
      <w:r>
        <w:t xml:space="preserve">, </w:t>
      </w:r>
      <w:r>
        <w:rPr>
          <w:rFonts w:ascii="Courier New" w:cs="Courier New" w:eastAsia="Courier New" w:hAnsi="Courier New"/>
          <w:sz w:val="20"/>
          <w:szCs w:val="20"/>
        </w:rPr>
        <w:t xml:space="preserve">command_accept_rate_pct</w:t>
      </w:r>
      <w:r>
        <w:t xml:space="preserve"> are not modelled.</w:t>
      </w:r>
    </w:p>
    <w:p>
      <w:pPr>
        <w:pStyle w:val="Heading2"/>
        <w:spacing w:after="120" w:before="240"/>
      </w:pPr>
      <w:r>
        <w:t xml:space="preserve">F-5 — OBC protective shutdown (T+11:00)</w:t>
      </w:r>
    </w:p>
    <w:p>
      <w:pPr>
        <w:pStyle w:val="ListParagraph"/>
        <w:numPr>
          <w:ilvl w:val="0"/>
          <w:numId w:val="2"/>
        </w:numPr>
      </w:pPr>
      <w:r>
        <w:rPr>
          <w:b/>
          <w:bCs/>
        </w:rPr>
        <w:t xml:space="preserve">Line 185 </w:t>
      </w:r>
      <w:r>
        <w:rPr>
          <w:rFonts w:ascii="Courier New" w:cs="Courier New" w:eastAsia="Courier New" w:hAnsi="Courier New"/>
          <w:sz w:val="20"/>
          <w:szCs w:val="20"/>
        </w:rPr>
        <w:t xml:space="preserve">subsystem: obc</w:t>
      </w:r>
      <w:r>
        <w:t xml:space="preserve"> — </w:t>
      </w:r>
      <w:r>
        <w:rPr>
          <w:b/>
          <w:bCs/>
        </w:rPr>
        <w:t xml:space="preserve">[Breaking] </w:t>
      </w:r>
      <w:r>
        <w:t xml:space="preserve">the SMO uses </w:t>
      </w:r>
      <w:r>
        <w:rPr>
          <w:rFonts w:ascii="Courier New" w:cs="Courier New" w:eastAsia="Courier New" w:hAnsi="Courier New"/>
          <w:sz w:val="20"/>
          <w:szCs w:val="20"/>
        </w:rPr>
        <w:t xml:space="preserve">obdh</w:t>
      </w:r>
      <w:r>
        <w:t xml:space="preserve">, not </w:t>
      </w:r>
      <w:r>
        <w:rPr>
          <w:rFonts w:ascii="Courier New" w:cs="Courier New" w:eastAsia="Courier New" w:hAnsi="Courier New"/>
          <w:sz w:val="20"/>
          <w:szCs w:val="20"/>
        </w:rPr>
        <w:t xml:space="preserve">obc</w:t>
      </w:r>
      <w:r>
        <w:t xml:space="preserve">. Rename.</w:t>
      </w:r>
    </w:p>
    <w:p>
      <w:pPr>
        <w:pStyle w:val="ListParagraph"/>
        <w:numPr>
          <w:ilvl w:val="0"/>
          <w:numId w:val="2"/>
        </w:numPr>
      </w:pPr>
      <w:r>
        <w:rPr>
          <w:b/>
          <w:bCs/>
        </w:rPr>
        <w:t xml:space="preserve">Line 186 </w:t>
      </w:r>
      <w:r>
        <w:rPr>
          <w:rFonts w:ascii="Courier New" w:cs="Courier New" w:eastAsia="Courier New" w:hAnsi="Courier New"/>
          <w:sz w:val="20"/>
          <w:szCs w:val="20"/>
        </w:rPr>
        <w:t xml:space="preserve">failure: pme_undervoltage_trip</w:t>
      </w:r>
      <w:r>
        <w:t xml:space="preserve"> — </w:t>
      </w:r>
      <w:r>
        <w:rPr>
          <w:b/>
          <w:bCs/>
        </w:rPr>
        <w:t xml:space="preserve">[Breaking] </w:t>
      </w:r>
      <w:r>
        <w:t xml:space="preserve">not in the OBDH model. Closest semantically is </w:t>
      </w:r>
      <w:r>
        <w:rPr>
          <w:rFonts w:ascii="Courier New" w:cs="Courier New" w:eastAsia="Courier New" w:hAnsi="Courier New"/>
          <w:sz w:val="20"/>
          <w:szCs w:val="20"/>
        </w:rPr>
        <w:t xml:space="preserve">bus_failure</w:t>
      </w:r>
      <w:r>
        <w:t xml:space="preserve"> (CAN bus to subsystems fails) plus EPS-side safing which after recent fixes does cascade properly via </w:t>
      </w:r>
      <w:r>
        <w:rPr>
          <w:rFonts w:ascii="Courier New" w:cs="Courier New" w:eastAsia="Courier New" w:hAnsi="Courier New"/>
          <w:sz w:val="20"/>
          <w:szCs w:val="20"/>
        </w:rPr>
        <w:t xml:space="preserve">safe_mode_eps</w:t>
      </w:r>
      <w:r>
        <w:t xml:space="preserve"> load shedding. The corrected YAML uses </w:t>
      </w:r>
      <w:r>
        <w:rPr>
          <w:rFonts w:ascii="Courier New" w:cs="Courier New" w:eastAsia="Courier New" w:hAnsi="Courier New"/>
          <w:sz w:val="20"/>
          <w:szCs w:val="20"/>
        </w:rPr>
        <w:t xml:space="preserve">bus_failure</w:t>
      </w:r>
      <w:r>
        <w:t xml:space="preserve"> so the recovery (operator switches CAN bus via S8 func 54) is exercisable.</w:t>
      </w:r>
    </w:p>
    <w:p>
      <w:pPr>
        <w:pStyle w:val="ListParagraph"/>
        <w:numPr>
          <w:ilvl w:val="0"/>
          <w:numId w:val="2"/>
        </w:numPr>
      </w:pPr>
      <w:r>
        <w:rPr>
          <w:b/>
          <w:bCs/>
        </w:rPr>
        <w:t xml:space="preserve">Lines 191–225 </w:t>
      </w:r>
      <w:r>
        <w:t xml:space="preserve">five </w:t>
      </w:r>
      <w:r>
        <w:rPr>
          <w:rFonts w:ascii="Courier New" w:cs="Courier New" w:eastAsia="Courier New" w:hAnsi="Courier New"/>
          <w:sz w:val="20"/>
          <w:szCs w:val="20"/>
        </w:rPr>
        <w:t xml:space="preserve">set_parameter</w:t>
      </w:r>
      <w:r>
        <w:t xml:space="preserve"> events with string values (</w:t>
      </w:r>
      <w:r>
        <w:rPr>
          <w:rFonts w:ascii="Courier New" w:cs="Courier New" w:eastAsia="Courier New" w:hAnsi="Courier New"/>
          <w:sz w:val="20"/>
          <w:szCs w:val="20"/>
        </w:rPr>
        <w:t xml:space="preserve">EMERGENCY</w:t>
      </w:r>
      <w:r>
        <w:t xml:space="preserve">, </w:t>
      </w:r>
      <w:r>
        <w:rPr>
          <w:rFonts w:ascii="Courier New" w:cs="Courier New" w:eastAsia="Courier New" w:hAnsi="Courier New"/>
          <w:sz w:val="20"/>
          <w:szCs w:val="20"/>
        </w:rPr>
        <w:t xml:space="preserve">OFF</w:t>
      </w:r>
      <w:r>
        <w:t xml:space="preserve">, </w:t>
      </w:r>
      <w:r>
        <w:rPr>
          <w:rFonts w:ascii="Courier New" w:cs="Courier New" w:eastAsia="Courier New" w:hAnsi="Courier New"/>
          <w:sz w:val="20"/>
          <w:szCs w:val="20"/>
        </w:rPr>
        <w:t xml:space="preserve">THRUSTER_COARSE</w:t>
      </w:r>
      <w:r>
        <w:t xml:space="preserve">) — </w:t>
      </w:r>
      <w:r>
        <w:rPr>
          <w:b/>
          <w:bCs/>
        </w:rPr>
        <w:t xml:space="preserve">[Breaking] </w:t>
      </w:r>
      <w:r>
        <w:rPr>
          <w:b/>
          <w:bCs/>
        </w:rPr>
        <w:t xml:space="preserve">[Realism] </w:t>
      </w:r>
      <w:r>
        <w:t xml:space="preserve">the corrected </w:t>
      </w:r>
      <w:r>
        <w:rPr>
          <w:rFonts w:ascii="Courier New" w:cs="Courier New" w:eastAsia="Courier New" w:hAnsi="Courier New"/>
          <w:sz w:val="20"/>
          <w:szCs w:val="20"/>
        </w:rPr>
        <w:t xml:space="preserve">set_parameter</w:t>
      </w:r>
      <w:r>
        <w:t xml:space="preserve"> handler now accepts string values for the param dict, but EOSAT-1 has no thrusters (per </w:t>
      </w:r>
      <w:r>
        <w:rPr>
          <w:rFonts w:ascii="Courier New" w:cs="Courier New" w:eastAsia="Courier New" w:hAnsi="Courier New"/>
          <w:sz w:val="20"/>
          <w:szCs w:val="20"/>
        </w:rPr>
        <w:t xml:space="preserve">models/tcs_basic.py</w:t>
      </w:r>
      <w:r>
        <w:t xml:space="preserve"> comments), so a "THRUSTER_COARSE" mode isn't reachable.</w:t>
      </w:r>
    </w:p>
    <w:p>
      <w:pPr>
        <w:pStyle w:val="Heading2"/>
        <w:spacing w:after="120" w:before="240"/>
      </w:pPr>
      <w:r>
        <w:t xml:space="preserve">F-6 — Safe-mode lockout (T+22:00)</w:t>
      </w:r>
    </w:p>
    <w:p>
      <w:pPr>
        <w:pStyle w:val="ListParagraph"/>
        <w:numPr>
          <w:ilvl w:val="0"/>
          <w:numId w:val="2"/>
        </w:numPr>
      </w:pPr>
      <w:r>
        <w:rPr>
          <w:b/>
          <w:bCs/>
        </w:rPr>
        <w:t xml:space="preserve">Line 232 </w:t>
      </w:r>
      <w:r>
        <w:rPr>
          <w:rFonts w:ascii="Courier New" w:cs="Courier New" w:eastAsia="Courier New" w:hAnsi="Courier New"/>
          <w:sz w:val="20"/>
          <w:szCs w:val="20"/>
        </w:rPr>
        <w:t xml:space="preserve">failure: safe_mode_lockout</w:t>
      </w:r>
      <w:r>
        <w:t xml:space="preserve"> — </w:t>
      </w:r>
      <w:r>
        <w:rPr>
          <w:b/>
          <w:bCs/>
        </w:rPr>
        <w:t xml:space="preserve">[Breaking] </w:t>
      </w:r>
      <w:r>
        <w:t xml:space="preserve">not a defined failure type. The SMO has </w:t>
      </w:r>
      <w:r>
        <w:rPr>
          <w:rFonts w:ascii="Courier New" w:cs="Courier New" w:eastAsia="Courier New" w:hAnsi="Courier New"/>
          <w:sz w:val="20"/>
          <w:szCs w:val="20"/>
        </w:rPr>
        <w:t xml:space="preserve">watchdog_reset</w:t>
      </w:r>
      <w:r>
        <w:t xml:space="preserve"> which produces a real OBC reboot after the recent watchdog fix and is the closest analogue. </w:t>
      </w:r>
    </w:p>
    <w:p>
      <w:pPr>
        <w:pStyle w:val="ListParagraph"/>
        <w:numPr>
          <w:ilvl w:val="0"/>
          <w:numId w:val="2"/>
        </w:numPr>
      </w:pPr>
      <w:r>
        <w:rPr>
          <w:b/>
          <w:bCs/>
        </w:rPr>
        <w:t xml:space="preserve">Line 235 </w:t>
      </w:r>
      <w:r>
        <w:rPr>
          <w:rFonts w:ascii="Courier New" w:cs="Courier New" w:eastAsia="Courier New" w:hAnsi="Courier New"/>
          <w:sz w:val="20"/>
          <w:szCs w:val="20"/>
        </w:rPr>
        <w:t xml:space="preserve">condition: "battery_soc_pct &lt; 60"</w:t>
      </w:r>
      <w:r>
        <w:t xml:space="preserve"> — </w:t>
      </w:r>
      <w:r>
        <w:rPr>
          <w:b/>
          <w:bCs/>
        </w:rPr>
        <w:t xml:space="preserve">[Breaking] </w:t>
      </w:r>
      <w:r>
        <w:t xml:space="preserve">the condition evaluator splits on whitespace and matches the first token against the </w:t>
      </w:r>
      <w:r>
        <w:rPr>
          <w:i/>
          <w:iCs/>
        </w:rPr>
        <w:t xml:space="preserve">string form</w:t>
      </w:r>
      <w:r>
        <w:t xml:space="preserve"> of a numeric param id, so symbolic names never resolve — the lockout event would never fire. Use </w:t>
      </w:r>
      <w:r>
        <w:rPr>
          <w:rFonts w:ascii="Courier New" w:cs="Courier New" w:eastAsia="Courier New" w:hAnsi="Courier New"/>
          <w:sz w:val="20"/>
          <w:szCs w:val="20"/>
        </w:rPr>
        <w:t xml:space="preserve">0x0101 &lt; 60</w:t>
      </w:r>
      <w:r>
        <w:t xml:space="preserve"> instead.</w:t>
      </w:r>
    </w:p>
    <w:p>
      <w:pPr>
        <w:pStyle w:val="Heading2"/>
        <w:spacing w:after="120" w:before="240"/>
      </w:pPr>
      <w:r>
        <w:t xml:space="preserve">expected_responses block (lines 239–328)</w:t>
      </w:r>
    </w:p>
    <w:p>
      <w:pPr>
        <w:pStyle w:val="ListParagraph"/>
        <w:numPr>
          <w:ilvl w:val="0"/>
          <w:numId w:val="2"/>
        </w:numPr>
      </w:pPr>
      <w:r>
        <w:rPr>
          <w:b/>
          <w:bCs/>
        </w:rPr>
        <w:t xml:space="preserve">[Schema] </w:t>
      </w:r>
      <w:r>
        <w:t xml:space="preserve">the model defines </w:t>
      </w:r>
      <w:r>
        <w:rPr>
          <w:rFonts w:ascii="Courier New" w:cs="Courier New" w:eastAsia="Courier New" w:hAnsi="Courier New"/>
          <w:sz w:val="20"/>
          <w:szCs w:val="20"/>
        </w:rPr>
        <w:t xml:space="preserve">expected_responses</w:t>
      </w:r>
      <w:r>
        <w:t xml:space="preserve"> as a flat list of </w:t>
      </w:r>
      <w:r>
        <w:rPr>
          <w:rFonts w:ascii="Courier New" w:cs="Courier New" w:eastAsia="Courier New" w:hAnsi="Courier New"/>
          <w:sz w:val="20"/>
          <w:szCs w:val="20"/>
        </w:rPr>
        <w:t xml:space="preserve">{category, description}</w:t>
      </w:r>
      <w:r>
        <w:t xml:space="preserve"> dicts; your extra fields (</w:t>
      </w:r>
      <w:r>
        <w:rPr>
          <w:rFonts w:ascii="Courier New" w:cs="Courier New" w:eastAsia="Courier New" w:hAnsi="Courier New"/>
          <w:sz w:val="20"/>
          <w:szCs w:val="20"/>
        </w:rPr>
        <w:t xml:space="preserve">step</w:t>
      </w:r>
      <w:r>
        <w:t xml:space="preserve">, </w:t>
      </w:r>
      <w:r>
        <w:rPr>
          <w:rFonts w:ascii="Courier New" w:cs="Courier New" w:eastAsia="Courier New" w:hAnsi="Courier New"/>
          <w:sz w:val="20"/>
          <w:szCs w:val="20"/>
        </w:rPr>
        <w:t xml:space="preserve">fd_authorisation_required</w:t>
      </w:r>
      <w:r>
        <w:t xml:space="preserve">, </w:t>
      </w:r>
      <w:r>
        <w:rPr>
          <w:rFonts w:ascii="Courier New" w:cs="Courier New" w:eastAsia="Courier New" w:hAnsi="Courier New"/>
          <w:sz w:val="20"/>
          <w:szCs w:val="20"/>
        </w:rPr>
        <w:t xml:space="preserve">commands</w:t>
      </w:r>
      <w:r>
        <w:t xml:space="preserve">, </w:t>
      </w:r>
      <w:r>
        <w:rPr>
          <w:rFonts w:ascii="Courier New" w:cs="Courier New" w:eastAsia="Courier New" w:hAnsi="Courier New"/>
          <w:sz w:val="20"/>
          <w:szCs w:val="20"/>
        </w:rPr>
        <w:t xml:space="preserve">verification</w:t>
      </w:r>
      <w:r>
        <w:t xml:space="preserve">) are loaded onto each entry but ignored by the debrief logic. The narrative value to a human reading the YAML is real; the engine just doesn't act on it.</w:t>
      </w:r>
    </w:p>
    <w:p>
      <w:pPr>
        <w:pStyle w:val="ListParagraph"/>
        <w:numPr>
          <w:ilvl w:val="0"/>
          <w:numId w:val="2"/>
        </w:numPr>
      </w:pPr>
      <w:r>
        <w:rPr>
          <w:b/>
          <w:bCs/>
        </w:rPr>
        <w:t xml:space="preserve">[Schema] </w:t>
      </w:r>
      <w:r>
        <w:t xml:space="preserve">the </w:t>
      </w:r>
      <w:r>
        <w:rPr>
          <w:rFonts w:ascii="Courier New" w:cs="Courier New" w:eastAsia="Courier New" w:hAnsi="Courier New"/>
          <w:sz w:val="20"/>
          <w:szCs w:val="20"/>
        </w:rPr>
        <w:t xml:space="preserve">commands</w:t>
      </w:r>
      <w:r>
        <w:t xml:space="preserve"> lists are operator mnemonics (</w:t>
      </w:r>
      <w:r>
        <w:rPr>
          <w:rFonts w:ascii="Courier New" w:cs="Courier New" w:eastAsia="Courier New" w:hAnsi="Courier New"/>
          <w:sz w:val="20"/>
          <w:szCs w:val="20"/>
        </w:rPr>
        <w:t xml:space="preserve">EPS_LOADSHED_TIER2</w:t>
      </w:r>
      <w:r>
        <w:t xml:space="preserve">, </w:t>
      </w:r>
      <w:r>
        <w:rPr>
          <w:rFonts w:ascii="Courier New" w:cs="Courier New" w:eastAsia="Courier New" w:hAnsi="Courier New"/>
          <w:sz w:val="20"/>
          <w:szCs w:val="20"/>
        </w:rPr>
        <w:t xml:space="preserve">RW_DESATURATE B</w:t>
      </w:r>
      <w:r>
        <w:t xml:space="preserve">), not PUS service/subtype/func_id tuples. To exercise them through the procedure runner, map each to </w:t>
      </w:r>
      <w:r>
        <w:rPr>
          <w:rFonts w:ascii="Courier New" w:cs="Courier New" w:eastAsia="Courier New" w:hAnsi="Courier New"/>
          <w:sz w:val="20"/>
          <w:szCs w:val="20"/>
        </w:rPr>
        <w:t xml:space="preserve">{service, subtype, data_hex}</w:t>
      </w:r>
      <w:r>
        <w:t xml:space="preserve"> or use the activity-types catalogue.</w:t>
      </w:r>
    </w:p>
    <w:p>
      <w:pPr>
        <w:pStyle w:val="Heading2"/>
        <w:spacing w:after="120" w:before="240"/>
      </w:pPr>
      <w:r>
        <w:t xml:space="preserve">scoring block (lines 331–375)</w:t>
      </w:r>
    </w:p>
    <w:p>
      <w:pPr>
        <w:pStyle w:val="ListParagraph"/>
        <w:numPr>
          <w:ilvl w:val="0"/>
          <w:numId w:val="2"/>
        </w:numPr>
      </w:pPr>
      <w:r>
        <w:rPr>
          <w:b/>
          <w:bCs/>
        </w:rPr>
        <w:t xml:space="preserve">[Schema] </w:t>
      </w:r>
      <w:r>
        <w:t xml:space="preserve">the </w:t>
      </w:r>
      <w:r>
        <w:rPr>
          <w:rFonts w:ascii="Courier New" w:cs="Courier New" w:eastAsia="Courier New" w:hAnsi="Courier New"/>
          <w:sz w:val="20"/>
          <w:szCs w:val="20"/>
        </w:rPr>
        <w:t xml:space="preserve">scoring</w:t>
      </w:r>
      <w:r>
        <w:t xml:space="preserve"> block is loaded into the parsed dict but ScenarioDefinition does not retain it, and the debrief uses only response-counting heuristics. The criteria are excellent — they're worth porting into the scenario engine as a real scoring extension. Worth filing as a defect.</w:t>
      </w:r>
    </w:p>
    <w:p>
      <w:pPr>
        <w:pStyle w:val="Heading1"/>
        <w:spacing w:after="160" w:before="320"/>
      </w:pPr>
      <w:r>
        <w:t xml:space="preserve">2. Design realism review</w:t>
      </w:r>
    </w:p>
    <w:p>
      <w:pPr>
        <w:spacing w:after="120"/>
      </w:pPr>
      <w:r>
        <w:t xml:space="preserve">This section grades the scenario against published behaviour of real LEO MMOD events and current FDIR practice. The headline finding is that the scenario's </w:t>
      </w:r>
      <w:r>
        <w:rPr>
          <w:b/>
          <w:bCs/>
        </w:rPr>
        <w:t xml:space="preserve">dramatic 22-minute cascade across five subsystems</w:t>
      </w:r>
      <w:r>
        <w:t xml:space="preserve"> is more severe than any documented MMOD event on a comparable spacecraft and removes the autonomous-safing behaviour that defines real operations. That is a </w:t>
      </w:r>
      <w:r>
        <w:rPr>
          <w:i/>
          <w:iCs/>
        </w:rPr>
        <w:t xml:space="preserve">legitimate training abstraction</w:t>
      </w:r>
      <w:r>
        <w:t xml:space="preserve"> provided trainees understand it; flagging it explicitly in the briefing would be sound.</w:t>
      </w:r>
    </w:p>
    <w:p>
      <w:pPr>
        <w:pStyle w:val="Heading2"/>
        <w:spacing w:after="120" w:before="240"/>
      </w:pPr>
      <w:r>
        <w:t xml:space="preserve">2.1  Plausibility of a single-impact 30 % cell loss</w:t>
      </w:r>
    </w:p>
    <w:p>
      <w:pPr>
        <w:spacing w:after="120"/>
      </w:pPr>
      <w:r>
        <w:t xml:space="preserve">"37 of 120 cells" from one impact is a strong claim. The best-documented LEO debris hit is </w:t>
      </w:r>
      <w:r>
        <w:rPr>
          <w:b/>
          <w:bCs/>
        </w:rPr>
        <w:t xml:space="preserve">Sentinel-1A on 23 August 2016 17:07 UT</w:t>
      </w:r>
      <w:r>
        <w:t xml:space="preserve">: a few-mm impactor (estimated mass of a ~5 mm aluminium sphere) produced a ~40 cm visible damage zone and </w:t>
      </w:r>
      <w:r>
        <w:rPr>
          <w:b/>
          <w:bCs/>
        </w:rPr>
        <w:t xml:space="preserve">about 5 % of array power lost</w:t>
      </w:r>
      <w:r>
        <w:t xml:space="preserve"> — roughly 280 W of the 5.9 kW array, </w:t>
      </w:r>
      <w:r>
        <w:rPr>
          <w:i/>
          <w:iCs/>
        </w:rPr>
        <w:t xml:space="preserve">permanently but with no FDIR safing triggered</w:t>
      </w:r>
      <w:r>
        <w:t xml:space="preserve">, and a star-tracker dropout of about five minutes before full attitude recovery.</w:t>
      </w:r>
      <w:r>
        <w:rPr>
          <w:rStyle w:val="FootnoteReference"/>
        </w:rPr>
        <w:footnoteReference w:id="1"/>
      </w:r>
      <w:r>
        <w:rPr>
          <w:rStyle w:val="FootnoteReference"/>
        </w:rPr>
        <w:footnoteReference w:id="2"/>
      </w:r>
      <w:r>
        <w:t xml:space="preserve"> To get to 30 % cell loss in a single event you generally need the strike to initiate a </w:t>
      </w:r>
      <w:r>
        <w:rPr>
          <w:i/>
          <w:iCs/>
        </w:rPr>
        <w:t xml:space="preserve">sustained plasma arc</w:t>
      </w:r>
      <w:r>
        <w:t xml:space="preserve"> between adjacent strings, which the array's own bias voltage then sustains and propagates well beyond the kinetic crater — a documented phenomenon in ground tests but only inferred (not confirmed) on-orbit.</w:t>
      </w:r>
      <w:r>
        <w:rPr>
          <w:rStyle w:val="FootnoteReference"/>
        </w:rPr>
        <w:footnoteReference w:id="5"/>
      </w:r>
      <w:r>
        <w:t xml:space="preserve"> If you want the magnitude in the scenario to be physically credible, the briefing should name the sustained-arc mechanism rather than imply 37 cells were severed kinetically.</w:t>
      </w:r>
    </w:p>
    <w:p>
      <w:pPr>
        <w:pStyle w:val="Heading2"/>
        <w:spacing w:after="120" w:before="240"/>
      </w:pPr>
      <w:r>
        <w:t xml:space="preserve">2.2  Bus voltage should be coupled, not commanded</w:t>
      </w:r>
    </w:p>
    <w:p>
      <w:pPr>
        <w:spacing w:after="120"/>
      </w:pPr>
      <w:r>
        <w:t xml:space="preserve">The YAML forces </w:t>
      </w:r>
      <w:r>
        <w:rPr>
          <w:rFonts w:ascii="Courier New" w:cs="Courier New" w:eastAsia="Courier New" w:hAnsi="Courier New"/>
          <w:sz w:val="20"/>
          <w:szCs w:val="20"/>
        </w:rPr>
        <w:t xml:space="preserve">bus_voltage_v = 23.1</w:t>
      </w:r>
      <w:r>
        <w:t xml:space="preserve"> the instant the cell loss is injected. On a real bus the regulator (PCDU + battery) holds voltage steady while the battery absorbs the load increase; voltage sags only when battery SoC falls under load. Even at Sentinel-1A's ~280 W loss there was </w:t>
      </w:r>
      <w:r>
        <w:rPr>
          <w:i/>
          <w:iCs/>
        </w:rPr>
        <w:t xml:space="preserve">no observable bus sag</w:t>
      </w:r>
      <w:r>
        <w:t xml:space="preserve">. A more faithful realisation would let the generation drop and let the SMO EPS battery + bus model derive the voltage trajectory; that is exactly what the existing EPS tick does without intervention.</w:t>
      </w:r>
      <w:r>
        <w:rPr>
          <w:rStyle w:val="FootnoteReference"/>
        </w:rPr>
        <w:footnoteReference w:id="11"/>
      </w:r>
    </w:p>
    <w:p>
      <w:pPr>
        <w:pStyle w:val="Heading2"/>
        <w:spacing w:after="120" w:before="240"/>
      </w:pPr>
      <w:r>
        <w:t xml:space="preserve">2.3  Autonomous FDIR will safe the spacecraft long before T+22:00</w:t>
      </w:r>
    </w:p>
    <w:p>
      <w:pPr>
        <w:spacing w:after="120"/>
      </w:pPr>
      <w:r>
        <w:t xml:space="preserve">Real spacecraft EPS FDIR uses N-consecutive-sample debouncing on undervoltage and trips within seconds-to-a-few-minutes; that's the entire point — round-trip ground response is too slow to protect the battery.</w:t>
      </w:r>
      <w:r>
        <w:rPr>
          <w:rStyle w:val="FootnoteReference"/>
        </w:rPr>
        <w:footnoteReference w:id="11"/>
      </w:r>
      <w:r>
        <w:t xml:space="preserve"> After the recent SMO remediation pass, the simulator now actually does this: the FDIR rule </w:t>
      </w:r>
      <w:r>
        <w:rPr>
          <w:rFonts w:ascii="Courier New" w:cs="Courier New" w:eastAsia="Courier New" w:hAnsi="Courier New"/>
          <w:sz w:val="20"/>
          <w:szCs w:val="20"/>
        </w:rPr>
        <w:t xml:space="preserve">eps.bus_voltage &lt; 26</w:t>
      </w:r>
      <w:r>
        <w:t xml:space="preserve"> calls </w:t>
      </w:r>
      <w:r>
        <w:rPr>
          <w:rFonts w:ascii="Courier New" w:cs="Courier New" w:eastAsia="Courier New" w:hAnsi="Courier New"/>
          <w:sz w:val="20"/>
          <w:szCs w:val="20"/>
        </w:rPr>
        <w:t xml:space="preserve">safe_mode_eps</w:t>
      </w:r>
      <w:r>
        <w:t xml:space="preserve">, which puts the EPS into safe mode and sheds non-essential loads. A 22-minute scenario with the operator in the loop is therefore </w:t>
      </w:r>
      <w:r>
        <w:rPr>
          <w:i/>
          <w:iCs/>
        </w:rPr>
        <w:t xml:space="preserve">realistic only if the scenario explicitly narrates that FDIR has been inhibited or has already tripped and recovered</w:t>
      </w:r>
      <w:r>
        <w:t xml:space="preserve">. Otherwise trainees will draw the incorrect lesson that there are 22 minutes for deliberation; on a real bus there are seconds.</w:t>
      </w:r>
    </w:p>
    <w:p>
      <w:pPr>
        <w:pStyle w:val="Heading2"/>
        <w:spacing w:after="120" w:before="240"/>
      </w:pPr>
      <w:r>
        <w:t xml:space="preserve">2.4  Cascade ordering</w:t>
      </w:r>
    </w:p>
    <w:p>
      <w:pPr>
        <w:spacing w:after="120"/>
      </w:pPr>
      <w:r>
        <w:t xml:space="preserve">Realistic order under partial-array loss is </w:t>
      </w:r>
      <w:r>
        <w:rPr>
          <w:b/>
          <w:bCs/>
        </w:rPr>
        <w:t xml:space="preserve">EPS (instantaneous on the array, buffered on the bus) → ADCS (asymmetric solar pressure / drag-torque growth over tens of seconds to minutes) → TCS (gradient growth over many minutes) → COMMS (only if explicitly load-shed)</w:t>
      </w:r>
      <w:r>
        <w:t xml:space="preserve">.</w:t>
      </w:r>
      <w:r>
        <w:rPr>
          <w:rStyle w:val="FootnoteReference"/>
        </w:rPr>
        <w:footnoteReference w:id="2"/>
      </w:r>
      <w:r>
        <w:rPr>
          <w:rStyle w:val="FootnoteReference"/>
        </w:rPr>
        <w:footnoteReference w:id="11"/>
      </w:r>
      <w:r>
        <w:t xml:space="preserve"> The YAML respects this ordering — EPS first, then AOCS, TCS, COMMS, OBDH — which is good. What is unrealistic is treating all five as roughly equal-weight failures occurring on minutes-scale intervals; the TCS effect is genuinely the slowest, and COMMS is normally unaffected. The OBDH "PME undervoltage trip" at T+11:00 is the kind of secondary effect that, in reality, should be the </w:t>
      </w:r>
      <w:r>
        <w:rPr>
          <w:i/>
          <w:iCs/>
        </w:rPr>
        <w:t xml:space="preserve">first</w:t>
      </w:r>
      <w:r>
        <w:t xml:space="preserve"> autonomous response, not the fifth in the sequence.</w:t>
      </w:r>
    </w:p>
    <w:p>
      <w:pPr>
        <w:pStyle w:val="Heading2"/>
        <w:spacing w:after="120" w:before="240"/>
      </w:pPr>
      <w:r>
        <w:t xml:space="preserve">2.5  Historical reference cases</w:t>
      </w:r>
    </w:p>
    <w:p>
      <w:pPr>
        <w:spacing w:after="120"/>
      </w:pPr>
      <w:r>
        <w:rPr>
          <w:b/>
          <w:bCs/>
        </w:rPr>
        <w:t xml:space="preserve">Iridium-33 / Cosmos-2251 (10 Feb 2009)</w:t>
      </w:r>
      <w:r>
        <w:t xml:space="preserve"> remains the canonical hypervelocity-collision reference — 11.6 km/s closing velocity, ~1,800 catalogued ≥ 10 cm fragments — but it is a </w:t>
      </w:r>
      <w:r>
        <w:rPr>
          <w:i/>
          <w:iCs/>
        </w:rPr>
        <w:t xml:space="preserve">destructive</w:t>
      </w:r>
      <w:r>
        <w:t xml:space="preserve"> event, not a survivable partial-loss anomaly relevant to this scenario.</w:t>
      </w:r>
      <w:r>
        <w:rPr>
          <w:rStyle w:val="FootnoteReference"/>
        </w:rPr>
        <w:footnoteReference w:id="3"/>
      </w:r>
    </w:p>
    <w:p>
      <w:pPr>
        <w:spacing w:after="120"/>
      </w:pPr>
      <w:r>
        <w:rPr>
          <w:b/>
          <w:bCs/>
        </w:rPr>
        <w:t xml:space="preserve">Hitomi / ASTRO-H (26 Mar 2016)</w:t>
      </w:r>
      <w:r>
        <w:t xml:space="preserve"> is the canonical cascade-to-mission-loss case study, but the cascade was </w:t>
      </w:r>
      <w:r>
        <w:rPr>
          <w:i/>
          <w:iCs/>
        </w:rPr>
        <w:t xml:space="preserve">ground-induced</w:t>
      </w:r>
      <w:r>
        <w:t xml:space="preserve"> — a spurious IRU rotation, mis-configured magnetic-torquer unload, and an uplinked thruster parameter that did not account for the deployed EOB mass properties accelerated rather than damped the spin until panels shed. The lesson is </w:t>
      </w:r>
      <w:r>
        <w:rPr>
          <w:i/>
          <w:iCs/>
        </w:rPr>
        <w:t xml:space="preserve">latent configuration error + ADCS cascade</w:t>
      </w:r>
      <w:r>
        <w:t xml:space="preserve">, not impact.</w:t>
      </w:r>
      <w:r>
        <w:rPr>
          <w:rStyle w:val="FootnoteReference"/>
        </w:rPr>
        <w:footnoteReference w:id="4"/>
      </w:r>
      <w:r>
        <w:t xml:space="preserve"> A debris-impact scenario that culminates in mission loss should explicitly cite Hitomi as the mechanism, not bundle the dynamics as if they're a single physical chain.</w:t>
      </w:r>
    </w:p>
    <w:p>
      <w:pPr>
        <w:spacing w:after="120"/>
      </w:pPr>
      <w:r>
        <w:rPr>
          <w:b/>
          <w:bCs/>
        </w:rPr>
        <w:t xml:space="preserve">ENVISAT (8 Apr 2012)</w:t>
      </w:r>
      <w:r>
        <w:t xml:space="preserve"> abruptly went silent; ESA's investigation concluded the most likely cause was an internal power-regulator failure or short, possibly compounded by a failed safe-mode transition — but the root cause was never confirmed because telemetry was lost. This is a useful reference for irrecoverable EPS faults but not for cascade dynamics.</w:t>
      </w:r>
    </w:p>
    <w:p>
      <w:pPr>
        <w:spacing w:after="120"/>
      </w:pPr>
      <w:r>
        <w:rPr>
          <w:b/>
          <w:bCs/>
        </w:rPr>
        <w:t xml:space="preserve">ISS Canadarm2 &amp; Nauka radiator strikes</w:t>
      </w:r>
      <w:r>
        <w:t xml:space="preserve"> demonstrate the typical end of the spectrum: a ~mm-class impactor punches a small hole and the system continues operating with a logged anomaly.</w:t>
      </w:r>
      <w:r>
        <w:rPr>
          <w:rStyle w:val="FootnoteReference"/>
        </w:rPr>
        <w:footnoteReference w:id="9"/>
      </w:r>
    </w:p>
    <w:p>
      <w:pPr>
        <w:spacing w:after="120"/>
      </w:pPr>
      <w:r>
        <w:rPr>
          <w:b/>
          <w:bCs/>
        </w:rPr>
        <w:t xml:space="preserve">SOHO (25 Jun 1998) </w:t>
      </w:r>
      <w:r>
        <w:t xml:space="preserve">is the textbook ground-induced cascade — a missing command in an uplinked sequence left a gyro despun, then misdiagnosis produced a cascade to attitude / power / thermal loss. The HERMES-3 scenario's command-sequencing and FD-authorisation discipline is specifically designed to defend against this class of incident, which makes it a useful drill even if the framing is debris-impact rather than ground-error.</w:t>
      </w:r>
      <w:r>
        <w:rPr>
          <w:rStyle w:val="FootnoteReference"/>
        </w:rPr>
        <w:footnoteReference w:id="12"/>
      </w:r>
    </w:p>
    <w:p>
      <w:pPr>
        <w:pStyle w:val="Heading2"/>
        <w:spacing w:after="120" w:before="240"/>
      </w:pPr>
      <w:r>
        <w:t xml:space="preserve">2.6  What the standards say</w:t>
      </w:r>
    </w:p>
    <w:p>
      <w:pPr>
        <w:spacing w:after="120"/>
      </w:pPr>
      <w:r>
        <w:t xml:space="preserve">NASA-STD-8719.14C and </w:t>
      </w:r>
      <w:r>
        <w:rPr>
          <w:b/>
          <w:bCs/>
        </w:rPr>
        <w:t xml:space="preserve">IADC-02-01 Rev. 2</w:t>
      </w:r>
      <w:r>
        <w:t xml:space="preserve"> govern debris-mitigation rules (25-year orbital lifetime, end-of-mission passivation, conjunction-assessment); they do not prescribe scenario design. </w:t>
      </w:r>
      <w:r>
        <w:rPr>
          <w:b/>
          <w:bCs/>
        </w:rPr>
        <w:t xml:space="preserve">ECSS-Q-ST-30C Rev.1</w:t>
      </w:r>
      <w:r>
        <w:t xml:space="preserve"> is the European reference for FDIR design, failure-tolerance criticality, and what "safe mode" means — relevant when grading whether a scenario's FDIR timeline is consistent with an ECSS-compliant bus.</w:t>
      </w:r>
      <w:r>
        <w:rPr>
          <w:rStyle w:val="FootnoteReference"/>
        </w:rPr>
        <w:footnoteReference w:id="6"/>
      </w:r>
      <w:r>
        <w:rPr>
          <w:rStyle w:val="FootnoteReference"/>
        </w:rPr>
        <w:footnoteReference w:id="7"/>
      </w:r>
      <w:r>
        <w:rPr>
          <w:rStyle w:val="FootnoteReference"/>
        </w:rPr>
        <w:footnoteReference w:id="8"/>
      </w:r>
      <w:r>
        <w:t xml:space="preserve"> NASA's flight-controller training programmes are explicit that scenarios must be </w:t>
      </w:r>
      <w:r>
        <w:rPr>
          <w:i/>
          <w:iCs/>
        </w:rPr>
        <w:t xml:space="preserve">physically faithful</w:t>
      </w:r>
      <w:r>
        <w:t xml:space="preserve"> to the real vehicle's behaviour — they test operators' knowledge and identify weaknesses in procedures and flight rules, which is undermined when the scenario teaches behaviour the real vehicle does not exhibit.</w:t>
      </w:r>
      <w:r>
        <w:rPr>
          <w:rStyle w:val="FootnoteReference"/>
        </w:rPr>
        <w:footnoteReference w:id="10"/>
      </w:r>
    </w:p>
    <w:p>
      <w:pPr>
        <w:pStyle w:val="Heading2"/>
        <w:spacing w:after="120" w:before="240"/>
      </w:pPr>
      <w:r>
        <w:t xml:space="preserve">2.7  Realism scorecard</w:t>
      </w:r>
    </w:p>
    <w:p>
      <w:pPr>
        <w:spacing w:after="120"/>
      </w:pPr>
      <w:r>
        <w:t xml:space="preserve">Grading the scenario against seven concrete criteria distilled from the cited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c>
          <w:tcPr>
            <w:tcW w:type="dxa" w:w="19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Criterion</w:t>
            </w:r>
          </w:p>
        </w:tc>
        <w:tc>
          <w:tcPr>
            <w:tcW w:type="dxa" w:w="1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Verdict</w:t>
            </w:r>
          </w:p>
        </w:tc>
        <w:tc>
          <w:tcPr>
            <w:tcW w:type="dxa" w:w="56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Magnitude of single-impact cell loss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Aggressive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 loss from one strike is plausible only via sustained-arc propagation; Sentinel-1A precedent is ~5 %.</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 voltage modelled vs forced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Forced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YAML hard-sets 23.1 V; a real bus sags only when battery SoC falls. Drop the set_parameter for bus_voltage and let the EPS model derive 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 window vs FDIR speed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Unrealistic without narrative caveat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 min implies FDIR is absent. Real EPS undervoltage trips in seconds-to-minutes; brief trainees that FDIR is explicitly inhibited.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Cascade ordering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Good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EPS → ADCS → TCS → COMMS is the right physical order. OBDH trip is in the wrong slot — it would be earlier.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FD authorisation layering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Excellent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Three FD-authorised commands, marked discipline. Better than most published training material.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Telemetry signature fidelity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Mixed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Many forced values are made-up parameter names; star-tracker dropout pattern (5 min, gyro-only AOCS, ~0.7° peak yaw error) — the most distinctive Sentinel-1A signature — is not represented.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Recovery realism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Inflated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Historical events (Sentinel-1A, Canadarm2) recovered autonomously or with routine ground actions. Cascades to loss (Hitomi, SOHO) were ground-induced. Acknowledge in the briefing.</w:t>
            </w:r>
          </w:p>
        </w:tc>
      </w:tr>
    </w:tbl>
    <w:p>
      <w:pPr>
        <w:pStyle w:val="Heading1"/>
        <w:spacing w:after="160" w:before="320"/>
      </w:pPr>
      <w:r>
        <w:t xml:space="preserve">3. Mapping table: what to change to make it run</w:t>
      </w:r>
    </w:p>
    <w:p>
      <w:pPr>
        <w:spacing w:after="120"/>
      </w:pPr>
      <w:r>
        <w:t xml:space="preserve">The corrected version is at </w:t>
      </w:r>
      <w:r>
        <w:rPr>
          <w:rFonts w:ascii="Courier New" w:cs="Courier New" w:eastAsia="Courier New" w:hAnsi="Courier New"/>
          <w:sz w:val="20"/>
          <w:szCs w:val="20"/>
        </w:rPr>
        <w:t xml:space="preserve">configs/eosat1/scenarios/debris_impact_hermes3.yaml</w:t>
      </w:r>
      <w:r>
        <w:t xml:space="preserve"> — the table below summarises the substitutions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c>
          <w:tcPr>
            <w:tcW w:type="dxa" w:w="25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Original</w:t>
            </w:r>
          </w:p>
        </w:tc>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Replaced with</w:t>
            </w:r>
          </w:p>
        </w:tc>
        <w:tc>
          <w:tcPr>
            <w:tcW w:type="dxa" w:w="44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sz w:val="20"/>
                <w:szCs w:val="20"/>
              </w:rPr>
              <w:t xml:space="preserve">Why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adcs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aocs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SMO model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comms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ttc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SMO model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obc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subsystem: obdh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SMO model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solar_array_cell_loss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sa_b_fail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Handled failure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gimbal_drive_fault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rw_bearing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Closest handled analogue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heater_circuit_cut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cooler_failed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Closest handled analogue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tx_power_reduction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uplink_loss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Closest handled analogue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pme_undervoltage_trip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bus_failure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OBDH CAN-bus failure (recovery via S8 func 54)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safe_mode_lockout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failure: watchdog_reset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Triggers a real OBC reboot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onset: ramp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onset: gradual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 onset name in FailureManager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parameter: sa_total_output_w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modelled)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Drop or extend EPS model + telemetry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parameter: bus_voltage_v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param_id: 0x0107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Recommended to drop and let model derive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parameter: rw_b_speed_rpm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param_id: 0x0208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RW speed wheel index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parameter: battery_temp_c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param_id: 0x0407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temp_battery in SMO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condition: battery_soc_pct &lt; 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condition: 0x0101 &lt; 60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Condition evaluator needs numeric ids</w:t>
            </w:r>
          </w:p>
        </w:tc>
      </w:tr>
    </w:tbl>
    <w:p>
      <w:pPr>
        <w:pStyle w:val="Heading1"/>
        <w:spacing w:after="160" w:before="320"/>
      </w:pPr>
      <w:r>
        <w:t xml:space="preserve">4. Recommendations</w:t>
      </w:r>
    </w:p>
    <w:p>
      <w:pPr>
        <w:pStyle w:val="ListParagraph"/>
        <w:numPr>
          <w:ilvl w:val="0"/>
          <w:numId w:val="2"/>
        </w:numPr>
      </w:pPr>
      <w:r>
        <w:rPr>
          <w:b/>
          <w:bCs/>
        </w:rPr>
        <w:t xml:space="preserve">Adopt the corrected YAML </w:t>
      </w:r>
      <w:r>
        <w:rPr>
          <w:rFonts w:ascii="Courier New" w:cs="Courier New" w:eastAsia="Courier New" w:hAnsi="Courier New"/>
          <w:sz w:val="20"/>
          <w:szCs w:val="20"/>
        </w:rPr>
        <w:t xml:space="preserve">debris_impact_hermes3.yaml</w:t>
      </w:r>
      <w:r>
        <w:t xml:space="preserve"> for actual execution against the SMO. Keep the original alongside as a written design document.</w:t>
      </w:r>
    </w:p>
    <w:p>
      <w:pPr>
        <w:pStyle w:val="ListParagraph"/>
        <w:numPr>
          <w:ilvl w:val="0"/>
          <w:numId w:val="2"/>
        </w:numPr>
      </w:pPr>
      <w:r>
        <w:t xml:space="preserve">Annotate the briefing to acknowledge that the scenario </w:t>
      </w:r>
      <w:r>
        <w:rPr>
          <w:i/>
          <w:iCs/>
        </w:rPr>
        <w:t xml:space="preserve">compresses</w:t>
      </w:r>
      <w:r>
        <w:t xml:space="preserve"> and </w:t>
      </w:r>
      <w:r>
        <w:rPr>
          <w:i/>
          <w:iCs/>
        </w:rPr>
        <w:t xml:space="preserve">dramatises</w:t>
      </w:r>
      <w:r>
        <w:t xml:space="preserve"> what a real debris strike would look like, and cites Sentinel-1A as the realistic-magnitude reference point.</w:t>
      </w:r>
    </w:p>
    <w:p>
      <w:pPr>
        <w:pStyle w:val="ListParagraph"/>
        <w:numPr>
          <w:ilvl w:val="0"/>
          <w:numId w:val="2"/>
        </w:numPr>
      </w:pPr>
      <w:r>
        <w:t xml:space="preserve">File an SMO defect to extend </w:t>
      </w:r>
      <w:r>
        <w:rPr>
          <w:rFonts w:ascii="Courier New" w:cs="Courier New" w:eastAsia="Courier New" w:hAnsi="Courier New"/>
          <w:sz w:val="20"/>
          <w:szCs w:val="20"/>
        </w:rPr>
        <w:t xml:space="preserve">ScenarioDefinition</w:t>
      </w:r>
      <w:r>
        <w:t xml:space="preserve"> with the additional fields the YAML uses: </w:t>
      </w:r>
      <w:r>
        <w:rPr>
          <w:rFonts w:ascii="Courier New" w:cs="Courier New" w:eastAsia="Courier New" w:hAnsi="Courier New"/>
          <w:sz w:val="20"/>
          <w:szCs w:val="20"/>
        </w:rPr>
        <w:t xml:space="preserve">contact_window_s</w:t>
      </w:r>
      <w:r>
        <w:t xml:space="preserve">, </w:t>
      </w:r>
      <w:r>
        <w:rPr>
          <w:rFonts w:ascii="Courier New" w:cs="Courier New" w:eastAsia="Courier New" w:hAnsi="Courier New"/>
          <w:sz w:val="20"/>
          <w:szCs w:val="20"/>
        </w:rPr>
        <w:t xml:space="preserve">scoring</w:t>
      </w:r>
      <w:r>
        <w:t xml:space="preserve">, and the richer </w:t>
      </w:r>
      <w:r>
        <w:rPr>
          <w:rFonts w:ascii="Courier New" w:cs="Courier New" w:eastAsia="Courier New" w:hAnsi="Courier New"/>
          <w:sz w:val="20"/>
          <w:szCs w:val="20"/>
        </w:rPr>
        <w:t xml:space="preserve">expected_responses</w:t>
      </w:r>
      <w:r>
        <w:t xml:space="preserve"> schema (step, fd_authorisation_required, commands, verification). The criteria as written are unusually well-thought-out and worth preserving.</w:t>
      </w:r>
    </w:p>
    <w:p>
      <w:pPr>
        <w:pStyle w:val="ListParagraph"/>
        <w:numPr>
          <w:ilvl w:val="0"/>
          <w:numId w:val="2"/>
        </w:numPr>
      </w:pPr>
      <w:r>
        <w:t xml:space="preserve">For each unmapped failure name in the original (e.g. </w:t>
      </w:r>
      <w:r>
        <w:rPr>
          <w:rFonts w:ascii="Courier New" w:cs="Courier New" w:eastAsia="Courier New" w:hAnsi="Courier New"/>
          <w:sz w:val="20"/>
          <w:szCs w:val="20"/>
        </w:rPr>
        <w:t xml:space="preserve">gimbal_drive_fault</w:t>
      </w:r>
      <w:r>
        <w:t xml:space="preserve">, </w:t>
      </w:r>
      <w:r>
        <w:rPr>
          <w:rFonts w:ascii="Courier New" w:cs="Courier New" w:eastAsia="Courier New" w:hAnsi="Courier New"/>
          <w:sz w:val="20"/>
          <w:szCs w:val="20"/>
        </w:rPr>
        <w:t xml:space="preserve">heater_circuit_cut</w:t>
      </w:r>
      <w:r>
        <w:t xml:space="preserve">, </w:t>
      </w:r>
      <w:r>
        <w:rPr>
          <w:rFonts w:ascii="Courier New" w:cs="Courier New" w:eastAsia="Courier New" w:hAnsi="Courier New"/>
          <w:sz w:val="20"/>
          <w:szCs w:val="20"/>
        </w:rPr>
        <w:t xml:space="preserve">tx_power_reduction</w:t>
      </w:r>
      <w:r>
        <w:t xml:space="preserve">, </w:t>
      </w:r>
      <w:r>
        <w:rPr>
          <w:rFonts w:ascii="Courier New" w:cs="Courier New" w:eastAsia="Courier New" w:hAnsi="Courier New"/>
          <w:sz w:val="20"/>
          <w:szCs w:val="20"/>
        </w:rPr>
        <w:t xml:space="preserve">pme_undervoltage_trip</w:t>
      </w:r>
      <w:r>
        <w:t xml:space="preserve">), decide whether to (a) extend the model with that failure mode, or (b) accept the remapping. Both are reasonable; the choice depends on whether you want HERMES-3-like fidelity or just a working drill.</w:t>
      </w:r>
    </w:p>
    <w:p>
      <w:pPr>
        <w:pStyle w:val="ListParagraph"/>
        <w:numPr>
          <w:ilvl w:val="0"/>
          <w:numId w:val="2"/>
        </w:numPr>
      </w:pPr>
      <w:r>
        <w:t xml:space="preserve">Add the operator command mnemonics ("</w:t>
      </w:r>
      <w:r>
        <w:rPr>
          <w:rFonts w:ascii="Courier New" w:cs="Courier New" w:eastAsia="Courier New" w:hAnsi="Courier New"/>
          <w:sz w:val="20"/>
          <w:szCs w:val="20"/>
        </w:rPr>
        <w:t xml:space="preserve">EPS_LOADSHED_TIER2</w:t>
      </w:r>
      <w:r>
        <w:t xml:space="preserve">", "</w:t>
      </w:r>
      <w:r>
        <w:rPr>
          <w:rFonts w:ascii="Courier New" w:cs="Courier New" w:eastAsia="Courier New" w:hAnsi="Courier New"/>
          <w:sz w:val="20"/>
          <w:szCs w:val="20"/>
        </w:rPr>
        <w:t xml:space="preserve">RW_DESATURATE B</w:t>
      </w:r>
      <w:r>
        <w:t xml:space="preserve">", etc.) to </w:t>
      </w:r>
      <w:r>
        <w:rPr>
          <w:rFonts w:ascii="Courier New" w:cs="Courier New" w:eastAsia="Courier New" w:hAnsi="Courier New"/>
          <w:sz w:val="20"/>
          <w:szCs w:val="20"/>
        </w:rPr>
        <w:t xml:space="preserve">configs/eosat1/activity_types.yaml</w:t>
      </w:r>
      <w:r>
        <w:t xml:space="preserve"> with their real PUS service/subtype/func_id, so they can actually be executed through the MCS procedure runner.</w:t>
      </w:r>
    </w:p>
    <w:p>
      <w:pPr>
        <w:pStyle w:val="ListParagraph"/>
        <w:numPr>
          <w:ilvl w:val="0"/>
          <w:numId w:val="2"/>
        </w:numPr>
      </w:pPr>
      <w:r>
        <w:t xml:space="preserve">Consider sequencing the OBDH "undervoltage trip" earlier than T+11:00 to reflect real FDIR speed, or — if you want to retain the 22-minute window — narrate that the trip is explicitly inhibited.</w:t>
      </w:r>
    </w:p>
    <w:p>
      <w:pPr>
        <w:pStyle w:val="Heading1"/>
        <w:spacing w:after="160" w:before="320"/>
      </w:pPr>
      <w:r>
        <w:t xml:space="preserve">References</w:t>
      </w:r>
    </w:p>
    <w:p>
      <w:pPr>
        <w:pStyle w:val="ListParagraph"/>
        <w:numPr>
          <w:ilvl w:val="0"/>
          <w:numId w:val="2"/>
        </w:numPr>
      </w:pPr>
      <w:r>
        <w:t xml:space="preserve">Krag, H. et al. (2017). A 1 cm space debris impact onto the Sentinel-1A solar array. Acta Astronautica 137, 434–443.</w:t>
      </w:r>
    </w:p>
    <w:p>
      <w:pPr>
        <w:pStyle w:val="ListParagraph"/>
        <w:numPr>
          <w:ilvl w:val="0"/>
          <w:numId w:val="2"/>
        </w:numPr>
      </w:pPr>
      <w:r>
        <w:t xml:space="preserve">ESA / CLS MPC-S1 (2016). Sentinel-1A Debris Collision August 2016, MPC-0352 v1.0.</w:t>
      </w:r>
    </w:p>
    <w:p>
      <w:pPr>
        <w:pStyle w:val="ListParagraph"/>
        <w:numPr>
          <w:ilvl w:val="0"/>
          <w:numId w:val="2"/>
        </w:numPr>
      </w:pPr>
      <w:r>
        <w:t xml:space="preserve">ESA (2016). Copernicus Sentinel-1A satellite hit by space particle.</w:t>
      </w:r>
    </w:p>
    <w:p>
      <w:pPr>
        <w:pStyle w:val="ListParagraph"/>
        <w:numPr>
          <w:ilvl w:val="0"/>
          <w:numId w:val="2"/>
        </w:numPr>
      </w:pPr>
      <w:r>
        <w:t xml:space="preserve">NASA Orbital Debris Program Office (2010). The Collision of Iridium 33 and Cosmos 2251.</w:t>
      </w:r>
    </w:p>
    <w:p>
      <w:pPr>
        <w:pStyle w:val="ListParagraph"/>
        <w:numPr>
          <w:ilvl w:val="0"/>
          <w:numId w:val="2"/>
        </w:numPr>
      </w:pPr>
      <w:r>
        <w:t xml:space="preserve">JAXA (2016). Status of X-ray Astronomy Satellite Hitomi; Earth, Planets and Space 69:82 (2017).</w:t>
      </w:r>
    </w:p>
    <w:p>
      <w:pPr>
        <w:pStyle w:val="ListParagraph"/>
        <w:numPr>
          <w:ilvl w:val="0"/>
          <w:numId w:val="2"/>
        </w:numPr>
      </w:pPr>
      <w:r>
        <w:t xml:space="preserve">Fukushige, S. et al. (2007). Sustained arc from plasma excited by hypervelocity impact. Int. J. Impact Engineering.</w:t>
      </w:r>
    </w:p>
    <w:p>
      <w:pPr>
        <w:pStyle w:val="ListParagraph"/>
        <w:numPr>
          <w:ilvl w:val="0"/>
          <w:numId w:val="2"/>
        </w:numPr>
      </w:pPr>
      <w:r>
        <w:t xml:space="preserve">Wen, X. et al. (2018). Discharge effect of solar array under HVI. AIP Advances 8:105206.</w:t>
      </w:r>
    </w:p>
    <w:p>
      <w:pPr>
        <w:pStyle w:val="ListParagraph"/>
        <w:numPr>
          <w:ilvl w:val="0"/>
          <w:numId w:val="2"/>
        </w:numPr>
      </w:pPr>
      <w:r>
        <w:t xml:space="preserve">NASA HVIT (2019). Observations of MMOD Impact Damage to the ISS, NTRS 20190033989.</w:t>
      </w:r>
    </w:p>
    <w:p>
      <w:pPr>
        <w:pStyle w:val="ListParagraph"/>
        <w:numPr>
          <w:ilvl w:val="0"/>
          <w:numId w:val="2"/>
        </w:numPr>
      </w:pPr>
      <w:r>
        <w:t xml:space="preserve">ESA (2012). ESA declares end of mission for Envisat.</w:t>
      </w:r>
    </w:p>
    <w:p>
      <w:pPr>
        <w:pStyle w:val="ListParagraph"/>
        <w:numPr>
          <w:ilvl w:val="0"/>
          <w:numId w:val="2"/>
        </w:numPr>
      </w:pPr>
      <w:r>
        <w:t xml:space="preserve">SOHO Mission Interruption Joint ESA/NASA Investigation Board (1998). Final Report.</w:t>
      </w:r>
    </w:p>
    <w:p>
      <w:pPr>
        <w:pStyle w:val="ListParagraph"/>
        <w:numPr>
          <w:ilvl w:val="0"/>
          <w:numId w:val="2"/>
        </w:numPr>
      </w:pPr>
      <w:r>
        <w:t xml:space="preserve">NASA-STD-8719.14C. Process for Limiting Orbital Debris.</w:t>
      </w:r>
    </w:p>
    <w:p>
      <w:pPr>
        <w:pStyle w:val="ListParagraph"/>
        <w:numPr>
          <w:ilvl w:val="0"/>
          <w:numId w:val="2"/>
        </w:numPr>
      </w:pPr>
      <w:r>
        <w:t xml:space="preserve">IADC-02-01 Rev. 2 (March 2020). IADC Space Debris Mitigation Guidelines.</w:t>
      </w:r>
    </w:p>
    <w:p>
      <w:pPr>
        <w:pStyle w:val="ListParagraph"/>
        <w:numPr>
          <w:ilvl w:val="0"/>
          <w:numId w:val="2"/>
        </w:numPr>
      </w:pPr>
      <w:r>
        <w:t xml:space="preserve">ECSS-Q-ST-30C Rev.1 (2017). Space product assurance — Dependability.</w:t>
      </w:r>
    </w:p>
    <w:p>
      <w:pPr>
        <w:pStyle w:val="ListParagraph"/>
        <w:numPr>
          <w:ilvl w:val="0"/>
          <w:numId w:val="2"/>
        </w:numPr>
      </w:pPr>
      <w:r>
        <w:t xml:space="preserve">Aerospace Corp. TOR-2013-00295. Architectures for Lithium-Ion Based Power Subsystems.</w:t>
      </w:r>
    </w:p>
    <w:p>
      <w:pPr>
        <w:pStyle w:val="ListParagraph"/>
        <w:numPr>
          <w:ilvl w:val="0"/>
          <w:numId w:val="2"/>
        </w:numPr>
      </w:pPr>
      <w:r>
        <w:t xml:space="preserve">Tipaldi &amp; Bruenjes (2017). Turning model-based FDIR theory into practice. EUCASS 2017.</w:t>
      </w:r>
    </w:p>
    <w:p>
      <w:pPr>
        <w:pStyle w:val="ListParagraph"/>
        <w:numPr>
          <w:ilvl w:val="0"/>
          <w:numId w:val="2"/>
        </w:numPr>
      </w:pPr>
      <w:r>
        <w:t xml:space="preserve">Huning, J. et al. (2011). A Review of Three Decades of Flight Controller Training. NTRS 20110014997.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Krag, H. et al., 'A 1 cm space debris impact onto the Sentinel-1A solar array', Acta Astronautica 137 (2017) 434–443.</w:t>
      </w:r>
    </w:p>
  </w:footnote>
  <w:footnote w:id="2">
    <w:p>
      <w:r>
        <w:rPr>
          <w:rStyle w:val="FootnoteReference"/>
        </w:rPr>
        <w:footnoteRef/>
      </w:r>
      <w:r>
        <w:t xml:space="preserve">ESA / CLS MPC-S1, 'Sentinel-1A Debris Collision August 2016,' technical note MPC-0352 v1.0, 18 Oct 2016.</w:t>
      </w:r>
    </w:p>
  </w:footnote>
  <w:footnote w:id="3">
    <w:p>
      <w:r>
        <w:rPr>
          <w:rStyle w:val="FootnoteReference"/>
        </w:rPr>
        <w:footnoteRef/>
      </w:r>
      <w:r>
        <w:t xml:space="preserve">NASA Orbital Debris Program Office, 'The Collision of Iridium 33 and Cosmos 2251: The Shape of Things to Come,' NTRS 20100002023.</w:t>
      </w:r>
    </w:p>
  </w:footnote>
  <w:footnote w:id="4">
    <w:p>
      <w:r>
        <w:rPr>
          <w:rStyle w:val="FootnoteReference"/>
        </w:rPr>
        <w:footnoteRef/>
      </w:r>
      <w:r>
        <w:t xml:space="preserve">JAXA, 'Status of X-ray Astronomy Satellite Hitomi (ASTRO-H),' 8 Apr 2016; 'An analysis of the 2016 Hitomi breakup event,' Earth, Planets and Space 69:82 (2017).</w:t>
      </w:r>
    </w:p>
  </w:footnote>
  <w:footnote w:id="5">
    <w:p>
      <w:r>
        <w:rPr>
          <w:rStyle w:val="FootnoteReference"/>
        </w:rPr>
        <w:footnoteRef/>
      </w:r>
      <w:r>
        <w:t xml:space="preserve">Fukushige, S. et al., 'Preliminary study on sustained arc due to plasma excited by hypervelocity impact of space debris on the solar array coupon,' Int. J. Impact Engineering (2007). Wen, X. et al., AIP Advances 8:105206 (2018).</w:t>
      </w:r>
    </w:p>
  </w:footnote>
  <w:footnote w:id="6">
    <w:p>
      <w:r>
        <w:rPr>
          <w:rStyle w:val="FootnoteReference"/>
        </w:rPr>
        <w:footnoteRef/>
      </w:r>
      <w:r>
        <w:t xml:space="preserve">IADC-02-01 Rev. 2, 'IADC Space Debris Mitigation Guidelines,' March 2020.</w:t>
      </w:r>
    </w:p>
  </w:footnote>
  <w:footnote w:id="7">
    <w:p>
      <w:r>
        <w:rPr>
          <w:rStyle w:val="FootnoteReference"/>
        </w:rPr>
        <w:footnoteRef/>
      </w:r>
      <w:r>
        <w:t xml:space="preserve">ECSS-Q-ST-30C Rev.1, 'Space product assurance — Dependability,' 15 Feb 2017.</w:t>
      </w:r>
    </w:p>
  </w:footnote>
  <w:footnote w:id="8">
    <w:p>
      <w:r>
        <w:rPr>
          <w:rStyle w:val="FootnoteReference"/>
        </w:rPr>
        <w:footnoteRef/>
      </w:r>
      <w:r>
        <w:t xml:space="preserve">NASA-STD-8719.14C, 'Process for Limiting Orbital Debris.'</w:t>
      </w:r>
    </w:p>
  </w:footnote>
  <w:footnote w:id="9">
    <w:p>
      <w:r>
        <w:rPr>
          <w:rStyle w:val="FootnoteReference"/>
        </w:rPr>
        <w:footnoteRef/>
      </w:r>
      <w:r>
        <w:t xml:space="preserve">NASA HVIT, 'Observations of MMOD Impact Damage to the ISS,' NTRS 20190033989; 'Canadarm2 micrometeoroid hole,' NASA / Universe Today, 31 May 2021.</w:t>
      </w:r>
    </w:p>
  </w:footnote>
  <w:footnote w:id="10">
    <w:p>
      <w:r>
        <w:rPr>
          <w:rStyle w:val="FootnoteReference"/>
        </w:rPr>
        <w:footnoteRef/>
      </w:r>
      <w:r>
        <w:t xml:space="preserve">Huning, J. et al., 'A Review of Three Decades of Flight Controller Training,' NTRS 20110014997.</w:t>
      </w:r>
    </w:p>
  </w:footnote>
  <w:footnote w:id="11">
    <w:p>
      <w:r>
        <w:rPr>
          <w:rStyle w:val="FootnoteReference"/>
        </w:rPr>
        <w:footnoteRef/>
      </w:r>
      <w:r>
        <w:t xml:space="preserve">Aerospace Corp., 'Architectures for Lithium-Ion Based Power Subsystems,' TOR-2013-00295. Tipaldi &amp; Bruenjes, 'Turning model-based FDIR theory into practice,' EUCASS 2017.</w:t>
      </w:r>
    </w:p>
  </w:footnote>
  <w:footnote w:id="12">
    <w:p>
      <w:r>
        <w:rPr>
          <w:rStyle w:val="FootnoteReference"/>
        </w:rPr>
        <w:footnoteRef/>
      </w:r>
      <w:r>
        <w:t xml:space="preserve">SOHO Mission Interruption Joint ESA/NASA Investigation Board, Final Report, 31 Aug 1998.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Debris-Impact Scenario — Critique &amp;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2026-06-04T23:48:47.844Z</dcterms:created>
  <dcterms:modified xsi:type="dcterms:W3CDTF">2026-06-04T23:48:47.844Z</dcterms:modified>
</cp:coreProperties>
</file>

<file path=docProps/custom.xml><?xml version="1.0" encoding="utf-8"?>
<Properties xmlns="http://schemas.openxmlformats.org/officeDocument/2006/custom-properties" xmlns:vt="http://schemas.openxmlformats.org/officeDocument/2006/docPropsVTypes"/>
</file>