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10376"/>
      </w:tblGrid>
      <w:tr>
        <w:tc>
          <w:tcPr>
            <w:tcW w:type="dxa" w:w="10375"/>
            <w:shd w:fill="19803D"/>
            <w:tcMar>
              <w:top w:w="145" w:type="dxa"/>
              <w:start w:w="210" w:type="dxa"/>
              <w:bottom w:w="145" w:type="dxa"/>
              <w:end w:w="210" w:type="dxa"/>
            </w:tcMar>
          </w:tcPr>
          <w:p>
            <w:pPr>
              <w:spacing w:after="40"/>
              <w:jc w:val="left"/>
            </w:pPr>
            <w:r>
              <w:rPr>
                <w:rFonts w:ascii="Inter" w:hAnsi="Inter"/>
                <w:b/>
                <w:color w:val="FFFFFF"/>
                <w:sz w:val="40"/>
              </w:rPr>
              <w:t>CLEAN-KWAT</w:t>
            </w:r>
            <w:r>
              <w:rPr>
                <w:rFonts w:ascii="Inter" w:hAnsi="Inter"/>
                <w:b/>
                <w:color w:val="FFFFFF"/>
                <w:sz w:val="22"/>
              </w:rPr>
              <w:t xml:space="preserve">  |  Présentation du projet &amp; justification UX/UI</w:t>
            </w:r>
          </w:p>
          <w:p>
            <w:pPr>
              <w:spacing w:before="0" w:after="0"/>
            </w:pPr>
            <w:r>
              <w:rPr>
                <w:rFonts w:ascii="Inter" w:hAnsi="Inter"/>
                <w:b w:val="0"/>
                <w:color w:val="E6F5EC"/>
                <w:sz w:val="17"/>
              </w:rPr>
              <w:t>Activité n°5 – Atelier de développement Mobile   •   Auteur : Fredi Loik NGANSOP NGOUABOU</w:t>
            </w:r>
          </w:p>
        </w:tc>
      </w:tr>
    </w:tbl>
    <w:p>
      <w:pPr>
        <w:spacing w:after="0"/>
      </w:pPr>
    </w:p>
    <w:p>
      <w:pPr>
        <w:spacing w:before="60" w:after="40"/>
      </w:pPr>
      <w:r>
        <w:rPr>
          <w:rFonts w:ascii="Inter" w:hAnsi="Inter"/>
          <w:b/>
          <w:color w:val="19803D"/>
          <w:sz w:val="22"/>
        </w:rPr>
        <w:t>1. Présentation du projet</w:t>
      </w:r>
    </w:p>
    <w:p>
      <w:pPr>
        <w:spacing w:before="0" w:after="40" w:line="240" w:lineRule="auto"/>
      </w:pPr>
      <w:r>
        <w:rPr>
          <w:rFonts w:ascii="Inter" w:hAnsi="Inter"/>
          <w:b w:val="0"/>
          <w:color w:val="0F172A"/>
          <w:sz w:val="18"/>
        </w:rPr>
        <w:t>CleanKwat est une application mobile environnementale conçue pour mieux organiser la collecte des déchets à l’échelle des quartiers. Elle met en relation les ménages, les ramasseurs et l’administrateur afin de gérer les abonnements, les calendriers de passage, les tournées et le suivi des collectes. L’objectif est de rendre le service plus prévisible, traçable et accessible aux usagers.</w:t>
      </w:r>
    </w:p>
    <w:p>
      <w:pPr>
        <w:spacing w:before="60" w:after="40"/>
      </w:pPr>
      <w:r>
        <w:rPr>
          <w:rFonts w:ascii="Inter" w:hAnsi="Inter"/>
          <w:b/>
          <w:color w:val="19803D"/>
          <w:sz w:val="22"/>
        </w:rPr>
        <w:t>2. Choix de conception UX/UI</w:t>
      </w:r>
    </w:p>
    <w:tbl>
      <w:tblPr>
        <w:tblW w:type="auto" w:w="0"/>
        <w:jc w:val="center"/>
        <w:tblLayout w:type="fixed"/>
        <w:tblLook w:firstColumn="1" w:firstRow="1" w:lastColumn="0" w:lastRow="0" w:noHBand="0" w:noVBand="1" w:val="04A0"/>
      </w:tblPr>
      <w:tblGrid>
        <w:gridCol w:w="5188"/>
        <w:gridCol w:w="5188"/>
      </w:tblGrid>
      <w:tr>
        <w:tc>
          <w:tcPr>
            <w:tcW w:type="dxa" w:w="5188"/>
            <w:shd w:fill="F4F7F5"/>
            <w:tcMar>
              <w:top w:w="90" w:type="dxa"/>
              <w:start w:w="120" w:type="dxa"/>
              <w:bottom w:w="90" w:type="dxa"/>
              <w:end w:w="120" w:type="dxa"/>
            </w:tcMar>
            <w:vAlign w:val="top"/>
          </w:tcPr>
          <w:p>
            <w:pPr>
              <w:spacing w:after="20"/>
            </w:pPr>
            <w:r>
              <w:rPr>
                <w:rFonts w:ascii="Inter" w:hAnsi="Inter"/>
                <w:b/>
                <w:color w:val="19803D"/>
                <w:sz w:val="18"/>
              </w:rPr>
              <w:t>Identité visuelle</w:t>
            </w:r>
          </w:p>
          <w:p>
            <w:pPr>
              <w:spacing w:before="0" w:after="0" w:line="240" w:lineRule="auto"/>
            </w:pPr>
            <w:r>
              <w:rPr>
                <w:rFonts w:ascii="Inter" w:hAnsi="Inter"/>
                <w:b w:val="0"/>
                <w:color w:val="475569"/>
                <w:sz w:val="16"/>
              </w:rPr>
              <w:t>Vert environnemental, fond sombre et contrastes nets pour une interface sobre, cohérente et immédiatement identifiable.</w:t>
            </w:r>
          </w:p>
        </w:tc>
        <w:tc>
          <w:tcPr>
            <w:tcW w:type="dxa" w:w="5188"/>
            <w:shd w:fill="FFFFFF"/>
            <w:tcMar>
              <w:top w:w="90" w:type="dxa"/>
              <w:start w:w="120" w:type="dxa"/>
              <w:bottom w:w="90" w:type="dxa"/>
              <w:end w:w="120" w:type="dxa"/>
            </w:tcMar>
            <w:vAlign w:val="top"/>
          </w:tcPr>
          <w:p>
            <w:pPr>
              <w:spacing w:after="20"/>
            </w:pPr>
            <w:r>
              <w:rPr>
                <w:rFonts w:ascii="Inter" w:hAnsi="Inter"/>
                <w:b/>
                <w:color w:val="19803D"/>
                <w:sz w:val="18"/>
              </w:rPr>
              <w:t>Lisibilité</w:t>
            </w:r>
          </w:p>
          <w:p>
            <w:pPr>
              <w:spacing w:before="0" w:after="0" w:line="240" w:lineRule="auto"/>
            </w:pPr>
            <w:r>
              <w:rPr>
                <w:rFonts w:ascii="Inter" w:hAnsi="Inter"/>
                <w:b w:val="0"/>
                <w:color w:val="475569"/>
                <w:sz w:val="16"/>
              </w:rPr>
              <w:t>Typographie Inter, hiérarchie claire, cartes structurées et actions principales facilement repérables sur mobile.</w:t>
            </w:r>
          </w:p>
        </w:tc>
      </w:tr>
      <w:tr>
        <w:tc>
          <w:tcPr>
            <w:tcW w:type="dxa" w:w="5188"/>
            <w:shd w:fill="F4F7F5"/>
            <w:tcMar>
              <w:top w:w="90" w:type="dxa"/>
              <w:start w:w="120" w:type="dxa"/>
              <w:bottom w:w="90" w:type="dxa"/>
              <w:end w:w="120" w:type="dxa"/>
            </w:tcMar>
            <w:vAlign w:val="top"/>
          </w:tcPr>
          <w:p>
            <w:pPr>
              <w:spacing w:after="20"/>
            </w:pPr>
            <w:r>
              <w:rPr>
                <w:rFonts w:ascii="Inter" w:hAnsi="Inter"/>
                <w:b/>
                <w:color w:val="19803D"/>
                <w:sz w:val="18"/>
              </w:rPr>
              <w:t>Navigation par rôle</w:t>
            </w:r>
          </w:p>
          <w:p>
            <w:pPr>
              <w:spacing w:before="0" w:after="0" w:line="240" w:lineRule="auto"/>
            </w:pPr>
            <w:r>
              <w:rPr>
                <w:rFonts w:ascii="Inter" w:hAnsi="Inter"/>
                <w:b w:val="0"/>
                <w:color w:val="475569"/>
                <w:sz w:val="16"/>
              </w:rPr>
              <w:t>Les parcours Ménage, Ramasseur et Administrateur sont séparés afin de réduire la charge cognitive et d’afficher uniquement les actions utiles.</w:t>
            </w:r>
          </w:p>
        </w:tc>
        <w:tc>
          <w:tcPr>
            <w:tcW w:type="dxa" w:w="5188"/>
            <w:shd w:fill="FFFFFF"/>
            <w:tcMar>
              <w:top w:w="90" w:type="dxa"/>
              <w:start w:w="120" w:type="dxa"/>
              <w:bottom w:w="90" w:type="dxa"/>
              <w:end w:w="120" w:type="dxa"/>
            </w:tcMar>
            <w:vAlign w:val="top"/>
          </w:tcPr>
          <w:p>
            <w:pPr>
              <w:spacing w:after="20"/>
            </w:pPr>
            <w:r>
              <w:rPr>
                <w:rFonts w:ascii="Inter" w:hAnsi="Inter"/>
                <w:b/>
                <w:color w:val="19803D"/>
                <w:sz w:val="18"/>
              </w:rPr>
              <w:t>Contexte mobile</w:t>
            </w:r>
          </w:p>
          <w:p>
            <w:pPr>
              <w:spacing w:before="0" w:after="0" w:line="240" w:lineRule="auto"/>
            </w:pPr>
            <w:r>
              <w:rPr>
                <w:rFonts w:ascii="Inter" w:hAnsi="Inter"/>
                <w:b w:val="0"/>
                <w:color w:val="475569"/>
                <w:sz w:val="16"/>
              </w:rPr>
              <w:t>Maquettes pensées pour un écran moderne de 393 × 852 px, avec zones tactiles suffisamment grandes et contenu prioritaire accessible rapidement.</w:t>
            </w:r>
          </w:p>
        </w:tc>
      </w:tr>
    </w:tbl>
    <w:p>
      <w:pPr>
        <w:spacing w:before="60" w:after="40"/>
      </w:pPr>
      <w:r>
        <w:rPr>
          <w:rFonts w:ascii="Inter" w:hAnsi="Inter"/>
          <w:b/>
          <w:color w:val="19803D"/>
          <w:sz w:val="22"/>
        </w:rPr>
        <w:t>3. Justification de l’écoconception</w:t>
      </w:r>
    </w:p>
    <w:tbl>
      <w:tblPr>
        <w:tblW w:type="auto" w:w="0"/>
        <w:jc w:val="center"/>
        <w:tblLayout w:type="fixed"/>
        <w:tblLook w:firstColumn="1" w:firstRow="1" w:lastColumn="0" w:lastRow="0" w:noHBand="0" w:noVBand="1" w:val="04A0"/>
      </w:tblPr>
      <w:tblGrid>
        <w:gridCol w:w="5188"/>
        <w:gridCol w:w="5188"/>
      </w:tblGrid>
      <w:tr>
        <w:tc>
          <w:tcPr>
            <w:tcW w:type="dxa" w:w="5188"/>
            <w:tcMar>
              <w:top w:w="45" w:type="dxa"/>
              <w:start w:w="70" w:type="dxa"/>
              <w:bottom w:w="45" w:type="dxa"/>
              <w:end w:w="70" w:type="dxa"/>
            </w:tcMar>
          </w:tcPr>
          <w:p>
            <w:pPr>
              <w:spacing w:after="0"/>
            </w:pPr>
            <w:r>
              <w:rPr>
                <w:rFonts w:ascii="Inter" w:hAnsi="Inter"/>
                <w:b/>
                <w:color w:val="19803D"/>
                <w:sz w:val="17"/>
              </w:rPr>
              <w:t xml:space="preserve">• SVG et interface légère : </w:t>
            </w:r>
            <w:r>
              <w:rPr>
                <w:rFonts w:ascii="Inter" w:hAnsi="Inter"/>
                <w:b w:val="0"/>
                <w:color w:val="0F172A"/>
                <w:sz w:val="17"/>
              </w:rPr>
              <w:t>privilégier les icônes et illustrations vectorielles et limiter les images décoratives lourdes.</w:t>
            </w:r>
          </w:p>
        </w:tc>
        <w:tc>
          <w:tcPr>
            <w:tcW w:type="dxa" w:w="5188"/>
            <w:tcMar>
              <w:top w:w="45" w:type="dxa"/>
              <w:start w:w="70" w:type="dxa"/>
              <w:bottom w:w="45" w:type="dxa"/>
              <w:end w:w="70" w:type="dxa"/>
            </w:tcMar>
          </w:tcPr>
          <w:p>
            <w:pPr>
              <w:spacing w:after="0"/>
            </w:pPr>
            <w:r>
              <w:rPr>
                <w:rFonts w:ascii="Inter" w:hAnsi="Inter"/>
                <w:b/>
                <w:color w:val="19803D"/>
                <w:sz w:val="17"/>
              </w:rPr>
              <w:t xml:space="preserve">• Réduction des échanges réseau : </w:t>
            </w:r>
            <w:r>
              <w:rPr>
                <w:rFonts w:ascii="Inter" w:hAnsi="Inter"/>
                <w:b w:val="0"/>
                <w:color w:val="0F172A"/>
                <w:sz w:val="17"/>
              </w:rPr>
              <w:t>conserver localement les informations utiles et éviter les rafraîchissements inutiles.</w:t>
            </w:r>
          </w:p>
        </w:tc>
      </w:tr>
    </w:tbl>
    <w:tbl>
      <w:tblPr>
        <w:tblW w:type="auto" w:w="0"/>
        <w:jc w:val="center"/>
        <w:tblLayout w:type="fixed"/>
        <w:tblLook w:firstColumn="1" w:firstRow="1" w:lastColumn="0" w:lastRow="0" w:noHBand="0" w:noVBand="1" w:val="04A0"/>
      </w:tblPr>
      <w:tblGrid>
        <w:gridCol w:w="5188"/>
        <w:gridCol w:w="5188"/>
      </w:tblGrid>
      <w:tr>
        <w:tc>
          <w:tcPr>
            <w:tcW w:type="dxa" w:w="5188"/>
            <w:tcMar>
              <w:top w:w="45" w:type="dxa"/>
              <w:start w:w="70" w:type="dxa"/>
              <w:bottom w:w="45" w:type="dxa"/>
              <w:end w:w="70" w:type="dxa"/>
            </w:tcMar>
          </w:tcPr>
          <w:p>
            <w:pPr>
              <w:spacing w:after="0"/>
            </w:pPr>
            <w:r>
              <w:rPr>
                <w:rFonts w:ascii="Inter" w:hAnsi="Inter"/>
                <w:b/>
                <w:color w:val="19803D"/>
                <w:sz w:val="17"/>
              </w:rPr>
              <w:t xml:space="preserve">• Mode hors connexion : </w:t>
            </w:r>
            <w:r>
              <w:rPr>
                <w:rFonts w:ascii="Inter" w:hAnsi="Inter"/>
                <w:b w:val="0"/>
                <w:color w:val="0F172A"/>
                <w:sz w:val="17"/>
              </w:rPr>
              <w:t>permettre la consultation des dernières données disponibles même lorsque la connexion est instable.</w:t>
            </w:r>
          </w:p>
        </w:tc>
        <w:tc>
          <w:tcPr>
            <w:tcW w:type="dxa" w:w="5188"/>
            <w:tcMar>
              <w:top w:w="45" w:type="dxa"/>
              <w:start w:w="70" w:type="dxa"/>
              <w:bottom w:w="45" w:type="dxa"/>
              <w:end w:w="70" w:type="dxa"/>
            </w:tcMar>
          </w:tcPr>
          <w:p>
            <w:pPr>
              <w:spacing w:after="0"/>
            </w:pPr>
            <w:r>
              <w:rPr>
                <w:rFonts w:ascii="Inter" w:hAnsi="Inter"/>
                <w:b/>
                <w:color w:val="19803D"/>
                <w:sz w:val="17"/>
              </w:rPr>
              <w:t xml:space="preserve">• Synchronisation différée : </w:t>
            </w:r>
            <w:r>
              <w:rPr>
                <w:rFonts w:ascii="Inter" w:hAnsi="Inter"/>
                <w:b w:val="0"/>
                <w:color w:val="0F172A"/>
                <w:sz w:val="17"/>
              </w:rPr>
              <w:t>enregistrer certaines actions localement puis les synchroniser lorsque le réseau redevient disponible.</w:t>
            </w:r>
          </w:p>
        </w:tc>
      </w:tr>
    </w:tbl>
    <w:tbl>
      <w:tblPr>
        <w:tblW w:type="auto" w:w="0"/>
        <w:jc w:val="center"/>
        <w:tblLayout w:type="fixed"/>
        <w:tblLook w:firstColumn="1" w:firstRow="1" w:lastColumn="0" w:lastRow="0" w:noHBand="0" w:noVBand="1" w:val="04A0"/>
      </w:tblPr>
      <w:tblGrid>
        <w:gridCol w:w="5188"/>
        <w:gridCol w:w="5188"/>
      </w:tblGrid>
      <w:tr>
        <w:tc>
          <w:tcPr>
            <w:tcW w:type="dxa" w:w="5188"/>
            <w:tcMar>
              <w:top w:w="45" w:type="dxa"/>
              <w:start w:w="70" w:type="dxa"/>
              <w:bottom w:w="45" w:type="dxa"/>
              <w:end w:w="70" w:type="dxa"/>
            </w:tcMar>
          </w:tcPr>
          <w:p>
            <w:pPr>
              <w:spacing w:after="0"/>
            </w:pPr>
            <w:r>
              <w:rPr>
                <w:rFonts w:ascii="Inter" w:hAnsi="Inter"/>
                <w:b/>
                <w:color w:val="19803D"/>
                <w:sz w:val="17"/>
              </w:rPr>
              <w:t xml:space="preserve">• Sobriété d’interaction : </w:t>
            </w:r>
            <w:r>
              <w:rPr>
                <w:rFonts w:ascii="Inter" w:hAnsi="Inter"/>
                <w:b w:val="0"/>
                <w:color w:val="0F172A"/>
                <w:sz w:val="17"/>
              </w:rPr>
              <w:t>éviter les animations non essentielles et réduire le nombre d’étapes pour accomplir une tâche.</w:t>
            </w:r>
          </w:p>
        </w:tc>
        <w:tc>
          <w:tcPr>
            <w:tcW w:type="dxa" w:w="5188"/>
            <w:tcMar>
              <w:top w:w="45" w:type="dxa"/>
              <w:start w:w="70" w:type="dxa"/>
              <w:bottom w:w="45" w:type="dxa"/>
              <w:end w:w="70" w:type="dxa"/>
            </w:tcMar>
          </w:tcPr>
          <w:p>
            <w:pPr>
              <w:spacing w:after="0"/>
            </w:pPr>
            <w:r>
              <w:rPr>
                <w:rFonts w:ascii="Inter" w:hAnsi="Inter"/>
                <w:b/>
                <w:color w:val="19803D"/>
                <w:sz w:val="17"/>
              </w:rPr>
              <w:t xml:space="preserve">• Adaptation locale : </w:t>
            </w:r>
            <w:r>
              <w:rPr>
                <w:rFonts w:ascii="Inter" w:hAnsi="Inter"/>
                <w:b w:val="0"/>
                <w:color w:val="0F172A"/>
                <w:sz w:val="17"/>
              </w:rPr>
              <w:t>optimiser l’expérience pour les smartphones Android modestes et les contraintes de coût de la donnée.</w:t>
            </w:r>
          </w:p>
        </w:tc>
      </w:tr>
    </w:tbl>
    <w:p>
      <w:pPr>
        <w:spacing w:before="60" w:after="40"/>
      </w:pPr>
      <w:r>
        <w:rPr>
          <w:rFonts w:ascii="Inter" w:hAnsi="Inter"/>
          <w:b/>
          <w:color w:val="19803D"/>
          <w:sz w:val="22"/>
        </w:rPr>
        <w:t>4. Maquettes réalisées</w:t>
      </w:r>
    </w:p>
    <w:p>
      <w:pPr>
        <w:spacing w:before="0" w:after="20" w:line="240" w:lineRule="auto"/>
      </w:pPr>
      <w:r>
        <w:rPr>
          <w:rFonts w:ascii="Inter" w:hAnsi="Inter"/>
          <w:b w:val="0"/>
          <w:color w:val="0F172A"/>
          <w:sz w:val="18"/>
        </w:rPr>
        <w:t>La version actuelle regroupe 13 interfaces : démarrage/onboarding, inscription, connexion, sélection du quartier, configuration et accueil du ménage, calendrier et détail d’une collecte, connexion et tableau de bord du ramasseur, liste des tournées, gestion des quartiers et suivi des collectes côté administrateur.</w:t>
      </w:r>
    </w:p>
    <w:tbl>
      <w:tblPr>
        <w:tblW w:type="auto" w:w="0"/>
        <w:jc w:val="center"/>
        <w:tblLook w:firstColumn="1" w:firstRow="1" w:lastColumn="0" w:lastRow="0" w:noHBand="0" w:noVBand="1" w:val="04A0"/>
      </w:tblPr>
      <w:tblGrid>
        <w:gridCol w:w="10376"/>
      </w:tblGrid>
      <w:tr>
        <w:tc>
          <w:tcPr>
            <w:tcW w:type="dxa" w:w="10376"/>
            <w:shd w:fill="EAF7F0"/>
            <w:tcMar>
              <w:top w:w="75" w:type="dxa"/>
              <w:start w:w="120" w:type="dxa"/>
              <w:bottom w:w="75" w:type="dxa"/>
              <w:end w:w="120" w:type="dxa"/>
            </w:tcMar>
          </w:tcPr>
          <w:p>
            <w:pPr>
              <w:spacing w:after="0"/>
              <w:jc w:val="center"/>
            </w:pPr>
            <w:r>
              <w:rPr>
                <w:rFonts w:ascii="Inter" w:hAnsi="Inter"/>
                <w:b/>
                <w:color w:val="19803D"/>
                <w:sz w:val="17"/>
              </w:rPr>
              <w:t>Le prototype dépasse les 8 interfaces minimum demandées et intègre les écrans de connexion et d’inscription ainsi que les principaux parcours métier.</w:t>
            </w:r>
          </w:p>
        </w:tc>
      </w:tr>
    </w:tbl>
    <w:sectPr w:rsidR="00FC693F" w:rsidRPr="0006063C" w:rsidSect="00034616">
      <w:footerReference w:type="default" r:id="rId9"/>
      <w:pgSz w:w="11906" w:h="16838"/>
      <w:pgMar w:top="652" w:right="765" w:bottom="595" w:left="76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Inter" w:hAnsi="Inter"/>
        <w:b w:val="0"/>
        <w:color w:val="475569"/>
        <w:sz w:val="16"/>
      </w:rPr>
      <w:t>CleanKwat • Activité n°5 • UX/UI mobile &amp; écoconception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Inter" w:hAnsi="Inter"/>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