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24A2D5C4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246C7C" w14:paraId="67765110" w14:textId="77777777">
            <w:pPr>
              <w:spacing w:line="276" w:lineRule="auto"/>
              <w:jc w:val="left"/>
              <w:rPr>
                <w:b/>
                <w:sz w:val="18"/>
              </w:rPr>
            </w:pPr>
          </w:p>
        </w:tc>
      </w:tr>
      <w:tr w:rsidRPr="00F52EAF" w:rsidR="00D15BF2" w:rsidTr="24A2D5C4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24A2D5C4" w:rsidRDefault="00D15BF2" w14:paraId="74567746" w14:textId="12E9FAE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762D5973">
              <w:rPr>
                <w:sz w:val="18"/>
                <w:szCs w:val="18"/>
              </w:rPr>
              <w:t>Felten</w:t>
            </w:r>
          </w:p>
        </w:tc>
      </w:tr>
      <w:tr w:rsidRPr="00F52EAF" w:rsidR="00246C7C" w:rsidTr="24A2D5C4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24A2D5C4" w:rsidRDefault="00246C7C" w14:paraId="36B3122C" w14:textId="15E4F3B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3EDDE0BE">
              <w:rPr>
                <w:sz w:val="18"/>
                <w:szCs w:val="18"/>
              </w:rPr>
              <w:t>Flor</w:t>
            </w:r>
          </w:p>
        </w:tc>
      </w:tr>
      <w:tr w:rsidRPr="00F52EAF" w:rsidR="006C6B8B" w:rsidTr="24A2D5C4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24A2D5C4" w:rsidRDefault="006C6B8B" w14:paraId="0E932C1B" w14:textId="4447757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2A4D64AD">
              <w:rPr>
                <w:sz w:val="18"/>
                <w:szCs w:val="18"/>
              </w:rPr>
              <w:t>Moser</w:t>
            </w:r>
          </w:p>
        </w:tc>
      </w:tr>
      <w:tr w:rsidRPr="00F52EAF" w:rsidR="00D15BF2" w:rsidTr="24A2D5C4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24A2D5C4" w:rsidRDefault="00D15BF2" w14:paraId="73DB7550" w14:textId="1A86DE6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440BE6BC">
              <w:rPr>
                <w:sz w:val="18"/>
                <w:szCs w:val="18"/>
              </w:rPr>
              <w:t xml:space="preserve">Braun, Moser, Hittinger, Hermeier, </w:t>
            </w:r>
            <w:r w:rsidRPr="24A2D5C4" w:rsidR="5245644D">
              <w:rPr>
                <w:sz w:val="18"/>
                <w:szCs w:val="18"/>
              </w:rPr>
              <w:t>Hellmann/</w:t>
            </w:r>
            <w:r w:rsidRPr="24A2D5C4" w:rsidR="440BE6BC">
              <w:rPr>
                <w:sz w:val="18"/>
                <w:szCs w:val="18"/>
              </w:rPr>
              <w:t>Heuwing-Eckerlan</w:t>
            </w:r>
            <w:r w:rsidRPr="24A2D5C4" w:rsidR="440BE6BC">
              <w:rPr>
                <w:sz w:val="18"/>
                <w:szCs w:val="18"/>
              </w:rPr>
              <w:t>d, Beschorner, Gierke</w:t>
            </w:r>
            <w:r w:rsidRPr="24A2D5C4" w:rsidR="0B0A2358">
              <w:rPr>
                <w:sz w:val="18"/>
                <w:szCs w:val="18"/>
              </w:rPr>
              <w:t>, Brand</w:t>
            </w:r>
          </w:p>
        </w:tc>
      </w:tr>
      <w:tr w:rsidRPr="00F52EAF" w:rsidR="00246C7C" w:rsidTr="24A2D5C4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24A2D5C4" w:rsidRDefault="00246C7C" w14:paraId="6F3EB739" w14:textId="528EE75E">
            <w:pPr>
              <w:pStyle w:val="Standard"/>
              <w:spacing w:line="276" w:lineRule="auto"/>
              <w:jc w:val="left"/>
              <w:rPr>
                <w:noProof w:val="0"/>
                <w:sz w:val="18"/>
                <w:szCs w:val="18"/>
                <w:lang w:val="de-DE"/>
              </w:rPr>
            </w:pPr>
            <w:r w:rsidRPr="24A2D5C4" w:rsidR="051E509D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de-DE" w:eastAsia="de-DE" w:bidi="ar-SA"/>
              </w:rPr>
              <w:t>Leh</w:t>
            </w:r>
            <w:r w:rsidRPr="24A2D5C4" w:rsidR="051E509D">
              <w:rPr>
                <w:rFonts w:ascii="Arial" w:hAnsi="Arial" w:eastAsia="Arial" w:cs="Arial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de-DE" w:eastAsia="de-DE" w:bidi="ar-SA"/>
              </w:rPr>
              <w:t>rangebot festlegen</w:t>
            </w:r>
          </w:p>
        </w:tc>
      </w:tr>
      <w:tr w:rsidRPr="00F52EAF" w:rsidR="00F52EAF" w:rsidTr="24A2D5C4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24A2D5C4" w:rsidRDefault="00F52EAF" w14:paraId="114841F6" w14:textId="7369A9B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48B694CB">
              <w:rPr>
                <w:sz w:val="18"/>
                <w:szCs w:val="18"/>
              </w:rPr>
              <w:t>klein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24A2D5C4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24A2D5C4" w:rsidRDefault="00853A60" w14:paraId="2FDD8C9E" w14:textId="6C13A20B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4A2D5C4" w:rsidR="7C85B6BD">
              <w:rPr>
                <w:sz w:val="18"/>
                <w:szCs w:val="18"/>
              </w:rPr>
              <w:t>Anmeldezahlen weiterhin stark rückläufig und viele Studiengänge starten nicht</w:t>
            </w:r>
          </w:p>
        </w:tc>
      </w:tr>
      <w:tr w:rsidRPr="00F52EAF" w:rsidR="00853A60" w:rsidTr="24A2D5C4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24A2D5C4" w:rsidRDefault="00853A60" w14:paraId="0A1023B5" w14:textId="000F31C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4DEBA92B">
              <w:rPr>
                <w:sz w:val="18"/>
                <w:szCs w:val="18"/>
              </w:rPr>
              <w:t>GF (</w:t>
            </w:r>
            <w:r w:rsidRPr="24A2D5C4" w:rsidR="76EB7EB4">
              <w:rPr>
                <w:sz w:val="18"/>
                <w:szCs w:val="18"/>
              </w:rPr>
              <w:t>Braun, Moser, Hermeier, Beschorner, Brand), Marketing (Gierke), Support Wissenschaftliche Dienste (Hellmann/Heuwing-Eckerland</w:t>
            </w:r>
            <w:r w:rsidRPr="24A2D5C4" w:rsidR="3E4F9A36">
              <w:rPr>
                <w:sz w:val="18"/>
                <w:szCs w:val="18"/>
              </w:rPr>
              <w:t>), Angebotspalette (Hittinger), Hochschulorganisation (Felten)</w:t>
            </w:r>
          </w:p>
        </w:tc>
      </w:tr>
      <w:tr w:rsidRPr="00F52EAF" w:rsidR="00853A60" w:rsidTr="24A2D5C4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24A2D5C4" w:rsidRDefault="00853A60" w14:paraId="4AAAE7B9" w14:textId="09D0496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6FAD8375">
              <w:rPr>
                <w:sz w:val="18"/>
                <w:szCs w:val="18"/>
              </w:rPr>
              <w:t>Siehe Wer</w:t>
            </w:r>
          </w:p>
        </w:tc>
      </w:tr>
      <w:tr w:rsidRPr="00F52EAF" w:rsidR="00DE51C4" w:rsidTr="24A2D5C4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24A2D5C4" w:rsidRDefault="00DE51C4" w14:paraId="6BBE24E9" w14:textId="47AEEB38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28285DEF">
              <w:rPr>
                <w:sz w:val="18"/>
                <w:szCs w:val="18"/>
              </w:rPr>
              <w:t>Systematische Prüfung des Angebotsportfolios, um Fehlentscheidungen zu vermeiden</w:t>
            </w:r>
            <w:r w:rsidRPr="24A2D5C4" w:rsidR="59467655">
              <w:rPr>
                <w:sz w:val="18"/>
                <w:szCs w:val="18"/>
              </w:rPr>
              <w:t xml:space="preserve"> und sich </w:t>
            </w:r>
            <w:r w:rsidRPr="24A2D5C4" w:rsidR="59467655">
              <w:rPr>
                <w:sz w:val="18"/>
                <w:szCs w:val="18"/>
              </w:rPr>
              <w:t>nich</w:t>
            </w:r>
            <w:r w:rsidRPr="24A2D5C4" w:rsidR="59467655">
              <w:rPr>
                <w:sz w:val="18"/>
                <w:szCs w:val="18"/>
              </w:rPr>
              <w:t>t mehr</w:t>
            </w:r>
            <w:r w:rsidRPr="24A2D5C4" w:rsidR="59467655">
              <w:rPr>
                <w:sz w:val="18"/>
                <w:szCs w:val="18"/>
              </w:rPr>
              <w:t xml:space="preserve"> tragende Studiengänge herauszunehmen</w:t>
            </w:r>
          </w:p>
        </w:tc>
      </w:tr>
      <w:tr w:rsidRPr="00F52EAF" w:rsidR="00A05981" w:rsidTr="24A2D5C4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24A2D5C4" w:rsidRDefault="00A05981" w14:paraId="6CF7E42E" w14:textId="197D387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4B1BB791">
              <w:rPr>
                <w:sz w:val="18"/>
                <w:szCs w:val="18"/>
              </w:rPr>
              <w:t>3-Ampelsystem je HSZ-Studiengang-Zeitmodell-Kombination (</w:t>
            </w:r>
          </w:p>
        </w:tc>
      </w:tr>
      <w:tr w:rsidRPr="00F52EAF" w:rsidR="00853A60" w:rsidTr="24A2D5C4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24A2D5C4" w:rsidRDefault="00853A60" w14:paraId="190DCB37" w14:textId="5C892E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60047C74">
              <w:rPr>
                <w:sz w:val="18"/>
                <w:szCs w:val="18"/>
              </w:rPr>
              <w:t>Reporting Anmeldezahlen und HSZ- sowie Studiengang-Steckbriefe</w:t>
            </w:r>
          </w:p>
        </w:tc>
      </w:tr>
      <w:tr w:rsidRPr="00F52EAF" w:rsidR="00853A60" w:rsidTr="24A2D5C4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24A2D5C4" w:rsidRDefault="00853A60" w14:paraId="3A56DC8D" w14:textId="32F49F0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712EA776">
              <w:rPr>
                <w:sz w:val="18"/>
                <w:szCs w:val="18"/>
              </w:rPr>
              <w:t>jährlich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24A2D5C4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24A2D5C4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379DB2E0" w14:textId="5930293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782F8026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24A2D5C4" w:rsidRDefault="00853A60" w14:paraId="45C98780" w14:textId="3461FBD3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4A2D5C4" w:rsidR="1EA961A6">
              <w:rPr>
                <w:sz w:val="18"/>
                <w:szCs w:val="18"/>
              </w:rPr>
              <w:t>Anmeldezahlen weiterhin stark rückläufig und viele Studiengänge starten nicht. Konsolidierung des Angebots bei gleichzeitiger Einführung neuer Angebote, die besser den Marktbedarf treffen.</w:t>
            </w:r>
          </w:p>
          <w:p w:rsidRPr="00FF37F1" w:rsidR="00853A60" w:rsidP="24A2D5C4" w:rsidRDefault="00853A60" w14:paraId="37E412D1" w14:textId="5E8C404E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Pr="005943AB" w:rsidR="006955F0" w:rsidTr="24A2D5C4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1C57D5CB" w14:textId="5BB761A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049DCB20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24A2D5C4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697F3335" w14:textId="0E21F0E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196F2AF7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24A2D5C4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025D529C" w14:textId="213ACBB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18868BBE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24A2D5C4" w:rsidRDefault="00853A60" w14:paraId="5136D47B" w14:textId="6D7A0DD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4A9EB5CD">
              <w:rPr>
                <w:sz w:val="18"/>
                <w:szCs w:val="18"/>
              </w:rPr>
              <w:t xml:space="preserve">Siehe </w:t>
            </w:r>
            <w:r w:rsidRPr="24A2D5C4" w:rsidR="4A9EB5CD">
              <w:rPr>
                <w:sz w:val="18"/>
                <w:szCs w:val="18"/>
              </w:rPr>
              <w:t>Unternehmensstrtategische</w:t>
            </w:r>
            <w:r w:rsidRPr="24A2D5C4" w:rsidR="4A9EB5CD">
              <w:rPr>
                <w:sz w:val="18"/>
                <w:szCs w:val="18"/>
              </w:rPr>
              <w:t xml:space="preserve"> Anforderungen</w:t>
            </w:r>
          </w:p>
        </w:tc>
      </w:tr>
      <w:tr w:rsidRPr="005943AB" w:rsidR="006955F0" w:rsidTr="24A2D5C4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50A56B8E" w14:textId="3EE1ED8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1018A66A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24A2D5C4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68421D2F" w14:textId="7C61379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382724CC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24A2D5C4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24A2D5C4" w:rsidRDefault="00853A60" w14:paraId="73AE9FA6" w14:textId="77E377A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382724CC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0D2F8803" w14:textId="77777777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24A2D5C4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24A2D5C4" w14:paraId="1A3660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167BE53A" w14:textId="384CB6D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135361CC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24A2D5C4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5972DAE5" w14:textId="15A5593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02FBCB2F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24A2D5C4" w14:paraId="4D85423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4F5359A7" w14:textId="4434FC73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4A2D5C4" w:rsidR="60A8CF81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24A2D5C4" w:rsidRDefault="008F33FD" w14:paraId="4BA329BE" w14:textId="6E9F413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60A8CF81">
              <w:rPr>
                <w:sz w:val="18"/>
                <w:szCs w:val="18"/>
              </w:rPr>
              <w:t>Je höher der Anteil nicht effektiver Studiengänge, desto höher auch die relativen Prozesskosten wegen manueller Bearbeitungen. “Stückkosten” je Studierenden steigen.</w:t>
            </w:r>
          </w:p>
        </w:tc>
      </w:tr>
      <w:tr w:rsidRPr="005943AB" w:rsidR="008F33FD" w:rsidTr="24A2D5C4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1BB636E7" w14:textId="448DE76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6B456FCB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24A2D5C4" w:rsidRDefault="008F33FD" w14:paraId="3864EE32" w14:textId="4BAFB92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6B456FCB">
              <w:rPr>
                <w:sz w:val="18"/>
                <w:szCs w:val="18"/>
              </w:rPr>
              <w:t>Studiengänge mit negativem Deckungsbeitrag herausnehmen oder optimieren.</w:t>
            </w:r>
          </w:p>
        </w:tc>
      </w:tr>
      <w:tr w:rsidRPr="005943AB" w:rsidR="008F33FD" w:rsidTr="24A2D5C4" w14:paraId="5A5D76C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741FED40" w14:textId="7A70CCC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7E6A9CE8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24A2D5C4" w:rsidRDefault="008F33FD" w14:paraId="07DD9302" w14:textId="78C4B5F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7E6A9CE8">
              <w:rPr>
                <w:sz w:val="18"/>
                <w:szCs w:val="18"/>
              </w:rPr>
              <w:t>Passendes Angebot für die Studierenden schaffen</w:t>
            </w:r>
          </w:p>
        </w:tc>
      </w:tr>
      <w:tr w:rsidRPr="005943AB" w:rsidR="008F33FD" w:rsidTr="24A2D5C4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24A2D5C4" w:rsidRDefault="008F33FD" w14:paraId="138DEAC7" w14:textId="63CCF67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1AB22195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24A2D5C4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24A2D5C4" w14:paraId="44D8B5A0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24A2D5C4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24A2D5C4" w14:paraId="40523683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24A2D5C4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24A2D5C4" w:rsidRDefault="00BE26C1" w14:paraId="567301D1" w14:textId="4B8010A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4A2D5C4" w:rsidR="0D000A76">
              <w:rPr>
                <w:sz w:val="18"/>
                <w:szCs w:val="18"/>
              </w:rPr>
              <w:t>jährlich</w:t>
            </w:r>
          </w:p>
        </w:tc>
      </w:tr>
      <w:tr w:rsidRPr="00F52EAF" w:rsidR="00BE26C1" w:rsidTr="24A2D5C4" w14:paraId="0C6D74D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24A2D5C4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24A2D5C4" w14:paraId="103BBE1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24A2D5C4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1E05" w:rsidP="00C318F9" w:rsidRDefault="00F71E05" w14:paraId="6076F917" w14:textId="77777777">
      <w:r>
        <w:separator/>
      </w:r>
    </w:p>
  </w:endnote>
  <w:endnote w:type="continuationSeparator" w:id="0">
    <w:p w:rsidR="00F71E05" w:rsidP="00C318F9" w:rsidRDefault="00F71E05" w14:paraId="3552AF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7722F13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445581D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4FA68A1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3427D">
                            <w:rPr>
                              <w:noProof/>
                              <w:sz w:val="22"/>
                              <w:szCs w:val="24"/>
                            </w:rPr>
                            <w:t>19.11.2023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D4F0D33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2DCDB61" w14:textId="4FA68A1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3427D">
                      <w:rPr>
                        <w:noProof/>
                        <w:sz w:val="22"/>
                        <w:szCs w:val="24"/>
                      </w:rPr>
                      <w:t>19.11.2023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1E05" w:rsidP="00C318F9" w:rsidRDefault="00F71E05" w14:paraId="698CD61F" w14:textId="77777777">
      <w:r>
        <w:separator/>
      </w:r>
    </w:p>
  </w:footnote>
  <w:footnote w:type="continuationSeparator" w:id="0">
    <w:p w:rsidR="00F71E05" w:rsidP="00C318F9" w:rsidRDefault="00F71E05" w14:paraId="0E648E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7D48"/>
    <w:rsid w:val="004E21EE"/>
    <w:rsid w:val="004F2F75"/>
    <w:rsid w:val="004F5597"/>
    <w:rsid w:val="00520F4D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44B03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B0771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038C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71E05"/>
    <w:rsid w:val="00F8341E"/>
    <w:rsid w:val="00F90BB3"/>
    <w:rsid w:val="00FB56AA"/>
    <w:rsid w:val="00FD15A6"/>
    <w:rsid w:val="00FD19F5"/>
    <w:rsid w:val="00FE24C0"/>
    <w:rsid w:val="00FF37F1"/>
    <w:rsid w:val="02FBCB2F"/>
    <w:rsid w:val="049DCB20"/>
    <w:rsid w:val="051E509D"/>
    <w:rsid w:val="0B0A2358"/>
    <w:rsid w:val="0D000A76"/>
    <w:rsid w:val="0E3971AF"/>
    <w:rsid w:val="1018A66A"/>
    <w:rsid w:val="135361CC"/>
    <w:rsid w:val="148F8AD6"/>
    <w:rsid w:val="18868BBE"/>
    <w:rsid w:val="196F2AF7"/>
    <w:rsid w:val="1AB22195"/>
    <w:rsid w:val="1BED3278"/>
    <w:rsid w:val="1EA961A6"/>
    <w:rsid w:val="24A2D5C4"/>
    <w:rsid w:val="28285DEF"/>
    <w:rsid w:val="2A4D64AD"/>
    <w:rsid w:val="2C08B317"/>
    <w:rsid w:val="382724CC"/>
    <w:rsid w:val="3E4F9A36"/>
    <w:rsid w:val="3E76BCA6"/>
    <w:rsid w:val="3EDDE0BE"/>
    <w:rsid w:val="3EDFBA40"/>
    <w:rsid w:val="41AE5D68"/>
    <w:rsid w:val="440BE6BC"/>
    <w:rsid w:val="48B694CB"/>
    <w:rsid w:val="4A9EB5CD"/>
    <w:rsid w:val="4AAD3240"/>
    <w:rsid w:val="4B1BB791"/>
    <w:rsid w:val="4C6787D3"/>
    <w:rsid w:val="4DEBA92B"/>
    <w:rsid w:val="5245644D"/>
    <w:rsid w:val="550F1776"/>
    <w:rsid w:val="583BB03C"/>
    <w:rsid w:val="59467655"/>
    <w:rsid w:val="5AC8B2DF"/>
    <w:rsid w:val="5F0D3EF1"/>
    <w:rsid w:val="60047C74"/>
    <w:rsid w:val="60A8CF81"/>
    <w:rsid w:val="6AE6C42F"/>
    <w:rsid w:val="6B456FCB"/>
    <w:rsid w:val="6D4FE4CB"/>
    <w:rsid w:val="6FAD8375"/>
    <w:rsid w:val="712EA776"/>
    <w:rsid w:val="762D5973"/>
    <w:rsid w:val="76EB7EB4"/>
    <w:rsid w:val="782F8026"/>
    <w:rsid w:val="79865A65"/>
    <w:rsid w:val="7C85B6BD"/>
    <w:rsid w:val="7E6A9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A119A3-FFD7-4466-A8F5-BD0CB531082B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4</cp:revision>
  <cp:lastPrinted>2018-08-31T08:07:00Z</cp:lastPrinted>
  <dcterms:created xsi:type="dcterms:W3CDTF">2023-11-19T19:32:00Z</dcterms:created>
  <dcterms:modified xsi:type="dcterms:W3CDTF">2026-01-30T07:05:11Z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