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81B7" w14:textId="77777777" w:rsidR="00432880" w:rsidRPr="002077F6" w:rsidRDefault="00432880" w:rsidP="00BD1B8D">
      <w:pPr>
        <w:jc w:val="center"/>
        <w:rPr>
          <w:b/>
          <w:bCs/>
          <w:sz w:val="28"/>
          <w:szCs w:val="28"/>
          <w:shd w:val="clear" w:color="auto" w:fill="FFFFFF"/>
          <w:lang w:val="en-GB"/>
        </w:rPr>
      </w:pPr>
      <w:r w:rsidRPr="002077F6">
        <w:rPr>
          <w:b/>
          <w:bCs/>
          <w:sz w:val="28"/>
          <w:szCs w:val="28"/>
          <w:shd w:val="clear" w:color="auto" w:fill="FFFFFF"/>
          <w:lang w:val="en-GB"/>
        </w:rPr>
        <w:t>Supplemental Digital Content</w:t>
      </w:r>
    </w:p>
    <w:p w14:paraId="361C8249" w14:textId="2CFB38E1" w:rsidR="004E7706" w:rsidRPr="002077F6" w:rsidRDefault="00A15ACA" w:rsidP="00BD1B8D">
      <w:pPr>
        <w:jc w:val="center"/>
        <w:rPr>
          <w:sz w:val="28"/>
          <w:szCs w:val="28"/>
          <w:shd w:val="clear" w:color="auto" w:fill="FFFFFF"/>
        </w:rPr>
      </w:pPr>
      <w:r w:rsidRPr="00A15ACA">
        <w:rPr>
          <w:b/>
          <w:sz w:val="28"/>
          <w:szCs w:val="28"/>
        </w:rPr>
        <w:t>Substance use treatment completion and criminal justice system contact in Chile: A retrospective, linked data, cohort study</w:t>
      </w:r>
      <w:r w:rsidR="004E7706" w:rsidRPr="002077F6">
        <w:rPr>
          <w:sz w:val="28"/>
          <w:szCs w:val="28"/>
          <w:shd w:val="clear" w:color="auto" w:fill="FFFFFF"/>
        </w:rPr>
        <w:br w:type="page"/>
      </w:r>
    </w:p>
    <w:p w14:paraId="00000002" w14:textId="2878812A" w:rsidR="00F72B9E" w:rsidRDefault="007054B6" w:rsidP="00BD1B8D">
      <w:pPr>
        <w:pStyle w:val="Ttulo3"/>
        <w:spacing w:line="276" w:lineRule="auto"/>
      </w:pPr>
      <w:r w:rsidRPr="002077F6">
        <w:rPr>
          <w:lang w:val="en-GB"/>
        </w:rPr>
        <w:lastRenderedPageBreak/>
        <w:t xml:space="preserve">Section 1. </w:t>
      </w:r>
      <w:r w:rsidRPr="002077F6">
        <w:t>Specifics on the data collection process</w:t>
      </w:r>
    </w:p>
    <w:p w14:paraId="2CAA774B" w14:textId="66205C2F" w:rsidR="0017123D" w:rsidRDefault="0017123D" w:rsidP="0017123D">
      <w:pPr>
        <w:rPr>
          <w:lang w:val="en-GB"/>
        </w:rPr>
      </w:pPr>
      <w:r>
        <w:t xml:space="preserve">We started with a cohort of SENDA patients used in other publications (CITAR?). Then, we managed to link these patients with </w:t>
      </w:r>
      <w:proofErr w:type="spellStart"/>
      <w:r>
        <w:t>Prossecutor’s</w:t>
      </w:r>
      <w:proofErr w:type="spellEnd"/>
      <w:r>
        <w:t xml:space="preserve"> Office data regarding offenses in which patients were participants (as victims or offenders). However, we focused on cases in which patients were found as offenders. </w:t>
      </w:r>
      <w:commentRangeStart w:id="0"/>
      <w:r w:rsidR="000952AB" w:rsidRPr="7BE9DC4A">
        <w:rPr>
          <w:lang w:val="en-GB"/>
        </w:rPr>
        <w:t>We did not require any minimum duration of first SUT enrolment for study inclusion to reduce the risk of selection bias and strengthen the generalizability of results.</w:t>
      </w:r>
      <w:commentRangeEnd w:id="0"/>
      <w:r w:rsidR="000952AB">
        <w:rPr>
          <w:rStyle w:val="Refdecomentario"/>
        </w:rPr>
        <w:commentReference w:id="0"/>
      </w:r>
      <w:r>
        <w:rPr>
          <w:lang w:val="en-GB"/>
        </w:rPr>
        <w:t xml:space="preserve"> Readers must know that dropouts occur when the </w:t>
      </w:r>
      <w:proofErr w:type="spellStart"/>
      <w:r>
        <w:rPr>
          <w:lang w:val="en-GB"/>
        </w:rPr>
        <w:t>patien</w:t>
      </w:r>
      <w:proofErr w:type="spellEnd"/>
      <w:r>
        <w:rPr>
          <w:lang w:val="en-GB"/>
        </w:rPr>
        <w:t xml:space="preserve"> explicitly state his/her will of not continuing, or non-attendance and/or loss of contact with the patient for a period equal or greater than 45 </w:t>
      </w:r>
      <w:proofErr w:type="spellStart"/>
      <w:r>
        <w:rPr>
          <w:lang w:val="en-GB"/>
        </w:rPr>
        <w:t>days.The</w:t>
      </w:r>
      <w:proofErr w:type="spellEnd"/>
      <w:r>
        <w:rPr>
          <w:lang w:val="en-GB"/>
        </w:rPr>
        <w:t xml:space="preserve"> time to event was defined after treatment outcome (completion or dropout). Thus, we avoided survival bias due to a dropout explained by the event (reverse causation).</w:t>
      </w:r>
      <w:r w:rsidR="00D81840">
        <w:rPr>
          <w:lang w:val="en-GB"/>
        </w:rPr>
        <w:t xml:space="preserve"> The process is </w:t>
      </w:r>
      <w:proofErr w:type="gramStart"/>
      <w:r w:rsidR="00D81840">
        <w:rPr>
          <w:lang w:val="en-GB"/>
        </w:rPr>
        <w:t>summarise</w:t>
      </w:r>
      <w:proofErr w:type="gramEnd"/>
      <w:r w:rsidR="00D81840">
        <w:rPr>
          <w:lang w:val="en-GB"/>
        </w:rPr>
        <w:t xml:space="preserve"> in Table SXZ.</w:t>
      </w:r>
    </w:p>
    <w:p w14:paraId="7669AA86" w14:textId="77777777" w:rsidR="0017123D" w:rsidRDefault="0017123D" w:rsidP="0017123D">
      <w:pPr>
        <w:rPr>
          <w:lang w:val="en-GB"/>
        </w:rPr>
      </w:pPr>
    </w:p>
    <w:p w14:paraId="4279AB7D" w14:textId="613959D3" w:rsidR="000952AB" w:rsidRDefault="00D81840" w:rsidP="000952AB">
      <w:r>
        <w:rPr>
          <w:highlight w:val="yellow"/>
        </w:rPr>
        <w:t>Table SXZ</w:t>
      </w:r>
      <w:r w:rsidR="000952AB" w:rsidRPr="7BE9DC4A">
        <w:rPr>
          <w:highlight w:val="yellow"/>
        </w:rPr>
        <w:t>. Sample flow chart</w:t>
      </w:r>
    </w:p>
    <w:tbl>
      <w:tblPr>
        <w:tblStyle w:val="Tablaconcuadrcula"/>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4932"/>
        <w:gridCol w:w="1224"/>
        <w:gridCol w:w="1928"/>
      </w:tblGrid>
      <w:tr w:rsidR="00981808" w:rsidRPr="00981808" w14:paraId="312C008E" w14:textId="77777777" w:rsidTr="00981808">
        <w:trPr>
          <w:trHeight w:val="340"/>
        </w:trPr>
        <w:tc>
          <w:tcPr>
            <w:tcW w:w="703" w:type="dxa"/>
            <w:tcBorders>
              <w:top w:val="single" w:sz="4" w:space="0" w:color="auto"/>
              <w:bottom w:val="single" w:sz="4" w:space="0" w:color="auto"/>
            </w:tcBorders>
          </w:tcPr>
          <w:p w14:paraId="278FC2CE" w14:textId="77777777" w:rsidR="000952AB" w:rsidRPr="00981808" w:rsidRDefault="000952AB" w:rsidP="00981808">
            <w:pPr>
              <w:spacing w:after="0" w:line="240" w:lineRule="auto"/>
              <w:rPr>
                <w:b/>
                <w:bCs/>
                <w:sz w:val="20"/>
                <w:szCs w:val="20"/>
              </w:rPr>
            </w:pPr>
            <w:r w:rsidRPr="00981808">
              <w:rPr>
                <w:b/>
                <w:bCs/>
                <w:sz w:val="20"/>
                <w:szCs w:val="20"/>
              </w:rPr>
              <w:t>Order</w:t>
            </w:r>
          </w:p>
        </w:tc>
        <w:tc>
          <w:tcPr>
            <w:tcW w:w="4932" w:type="dxa"/>
            <w:tcBorders>
              <w:top w:val="single" w:sz="4" w:space="0" w:color="auto"/>
              <w:bottom w:val="single" w:sz="4" w:space="0" w:color="auto"/>
            </w:tcBorders>
          </w:tcPr>
          <w:p w14:paraId="51312C9B" w14:textId="77777777" w:rsidR="000952AB" w:rsidRPr="00981808" w:rsidRDefault="000952AB" w:rsidP="00981808">
            <w:pPr>
              <w:spacing w:after="0" w:line="240" w:lineRule="auto"/>
              <w:rPr>
                <w:b/>
                <w:bCs/>
                <w:sz w:val="20"/>
                <w:szCs w:val="20"/>
              </w:rPr>
            </w:pPr>
            <w:r w:rsidRPr="00981808">
              <w:rPr>
                <w:b/>
                <w:bCs/>
                <w:sz w:val="20"/>
                <w:szCs w:val="20"/>
              </w:rPr>
              <w:t>Description</w:t>
            </w:r>
          </w:p>
        </w:tc>
        <w:tc>
          <w:tcPr>
            <w:tcW w:w="1224" w:type="dxa"/>
            <w:tcBorders>
              <w:top w:val="single" w:sz="4" w:space="0" w:color="auto"/>
              <w:bottom w:val="single" w:sz="4" w:space="0" w:color="auto"/>
            </w:tcBorders>
          </w:tcPr>
          <w:p w14:paraId="668912FE" w14:textId="77777777" w:rsidR="000952AB" w:rsidRPr="00981808" w:rsidRDefault="000952AB" w:rsidP="00981808">
            <w:pPr>
              <w:spacing w:after="0" w:line="240" w:lineRule="auto"/>
              <w:rPr>
                <w:b/>
                <w:bCs/>
                <w:sz w:val="20"/>
                <w:szCs w:val="20"/>
              </w:rPr>
            </w:pPr>
            <w:r w:rsidRPr="00981808">
              <w:rPr>
                <w:b/>
                <w:bCs/>
                <w:sz w:val="20"/>
                <w:szCs w:val="20"/>
              </w:rPr>
              <w:t>Total patients</w:t>
            </w:r>
          </w:p>
        </w:tc>
        <w:tc>
          <w:tcPr>
            <w:tcW w:w="1928" w:type="dxa"/>
            <w:tcBorders>
              <w:top w:val="single" w:sz="4" w:space="0" w:color="auto"/>
              <w:bottom w:val="single" w:sz="4" w:space="0" w:color="auto"/>
            </w:tcBorders>
          </w:tcPr>
          <w:p w14:paraId="33AA8E90" w14:textId="77777777" w:rsidR="000952AB" w:rsidRPr="00981808" w:rsidRDefault="000952AB" w:rsidP="00981808">
            <w:pPr>
              <w:spacing w:after="0" w:line="240" w:lineRule="auto"/>
              <w:rPr>
                <w:b/>
                <w:bCs/>
                <w:sz w:val="20"/>
                <w:szCs w:val="20"/>
              </w:rPr>
            </w:pPr>
            <w:r w:rsidRPr="00981808">
              <w:rPr>
                <w:b/>
                <w:bCs/>
                <w:sz w:val="20"/>
                <w:szCs w:val="20"/>
              </w:rPr>
              <w:t>% Changed from the previous step</w:t>
            </w:r>
          </w:p>
        </w:tc>
      </w:tr>
      <w:tr w:rsidR="00981808" w:rsidRPr="00981808" w14:paraId="5EA5CCC5" w14:textId="77777777" w:rsidTr="00981808">
        <w:trPr>
          <w:trHeight w:val="113"/>
        </w:trPr>
        <w:tc>
          <w:tcPr>
            <w:tcW w:w="703" w:type="dxa"/>
            <w:tcBorders>
              <w:top w:val="single" w:sz="4" w:space="0" w:color="auto"/>
            </w:tcBorders>
          </w:tcPr>
          <w:p w14:paraId="001E240D" w14:textId="77777777" w:rsidR="000952AB" w:rsidRPr="00981808" w:rsidRDefault="000952AB" w:rsidP="00981808">
            <w:pPr>
              <w:spacing w:after="0" w:line="240" w:lineRule="auto"/>
              <w:rPr>
                <w:sz w:val="20"/>
                <w:szCs w:val="20"/>
              </w:rPr>
            </w:pPr>
            <w:r w:rsidRPr="00981808">
              <w:rPr>
                <w:sz w:val="20"/>
                <w:szCs w:val="20"/>
              </w:rPr>
              <w:t>1</w:t>
            </w:r>
          </w:p>
        </w:tc>
        <w:tc>
          <w:tcPr>
            <w:tcW w:w="4932" w:type="dxa"/>
            <w:tcBorders>
              <w:top w:val="single" w:sz="4" w:space="0" w:color="auto"/>
            </w:tcBorders>
          </w:tcPr>
          <w:p w14:paraId="1F59BFBF" w14:textId="77777777" w:rsidR="000952AB" w:rsidRPr="00981808" w:rsidRDefault="000952AB" w:rsidP="00981808">
            <w:pPr>
              <w:spacing w:after="0" w:line="240" w:lineRule="auto"/>
              <w:rPr>
                <w:sz w:val="20"/>
                <w:szCs w:val="20"/>
              </w:rPr>
            </w:pPr>
            <w:r w:rsidRPr="00981808">
              <w:rPr>
                <w:sz w:val="20"/>
                <w:szCs w:val="20"/>
              </w:rPr>
              <w:t>Individuals with ongoing SUT between 2010 and 2019</w:t>
            </w:r>
          </w:p>
        </w:tc>
        <w:tc>
          <w:tcPr>
            <w:tcW w:w="1224" w:type="dxa"/>
            <w:tcBorders>
              <w:top w:val="single" w:sz="4" w:space="0" w:color="auto"/>
            </w:tcBorders>
          </w:tcPr>
          <w:p w14:paraId="511DBEA1" w14:textId="77777777" w:rsidR="000952AB" w:rsidRPr="00981808" w:rsidRDefault="000952AB" w:rsidP="00981808">
            <w:pPr>
              <w:spacing w:after="0" w:line="240" w:lineRule="auto"/>
              <w:rPr>
                <w:sz w:val="20"/>
                <w:szCs w:val="20"/>
              </w:rPr>
            </w:pPr>
            <w:r w:rsidRPr="00981808">
              <w:rPr>
                <w:rFonts w:cs="Times New Roman"/>
                <w:sz w:val="20"/>
                <w:szCs w:val="20"/>
              </w:rPr>
              <w:t>85,048</w:t>
            </w:r>
          </w:p>
        </w:tc>
        <w:tc>
          <w:tcPr>
            <w:tcW w:w="1928" w:type="dxa"/>
            <w:tcBorders>
              <w:top w:val="single" w:sz="4" w:space="0" w:color="auto"/>
            </w:tcBorders>
          </w:tcPr>
          <w:p w14:paraId="7D271035" w14:textId="77777777" w:rsidR="000952AB" w:rsidRPr="00981808" w:rsidRDefault="000952AB" w:rsidP="00981808">
            <w:pPr>
              <w:spacing w:after="0" w:line="240" w:lineRule="auto"/>
              <w:rPr>
                <w:sz w:val="20"/>
                <w:szCs w:val="20"/>
              </w:rPr>
            </w:pPr>
          </w:p>
        </w:tc>
      </w:tr>
      <w:tr w:rsidR="00981808" w:rsidRPr="00981808" w14:paraId="2AFB1FEF" w14:textId="77777777" w:rsidTr="00981808">
        <w:trPr>
          <w:trHeight w:val="113"/>
        </w:trPr>
        <w:tc>
          <w:tcPr>
            <w:tcW w:w="703" w:type="dxa"/>
          </w:tcPr>
          <w:p w14:paraId="19AD83CD" w14:textId="77777777" w:rsidR="000952AB" w:rsidRPr="00981808" w:rsidRDefault="000952AB" w:rsidP="00981808">
            <w:pPr>
              <w:spacing w:after="0" w:line="240" w:lineRule="auto"/>
              <w:rPr>
                <w:sz w:val="20"/>
                <w:szCs w:val="20"/>
              </w:rPr>
            </w:pPr>
            <w:r w:rsidRPr="00981808">
              <w:rPr>
                <w:sz w:val="20"/>
                <w:szCs w:val="20"/>
              </w:rPr>
              <w:t>2</w:t>
            </w:r>
          </w:p>
        </w:tc>
        <w:tc>
          <w:tcPr>
            <w:tcW w:w="4932" w:type="dxa"/>
          </w:tcPr>
          <w:p w14:paraId="30A607F8" w14:textId="77777777" w:rsidR="000952AB" w:rsidRPr="00981808" w:rsidRDefault="000952AB" w:rsidP="00981808">
            <w:pPr>
              <w:spacing w:after="0" w:line="240" w:lineRule="auto"/>
              <w:rPr>
                <w:sz w:val="20"/>
                <w:szCs w:val="20"/>
              </w:rPr>
            </w:pPr>
            <w:r w:rsidRPr="00981808">
              <w:rPr>
                <w:sz w:val="20"/>
                <w:szCs w:val="20"/>
              </w:rPr>
              <w:t>Patients that had records in Prosecutor’s Office</w:t>
            </w:r>
          </w:p>
        </w:tc>
        <w:tc>
          <w:tcPr>
            <w:tcW w:w="1224" w:type="dxa"/>
          </w:tcPr>
          <w:p w14:paraId="6C8C8D48" w14:textId="77777777" w:rsidR="000952AB" w:rsidRPr="00981808" w:rsidRDefault="000952AB" w:rsidP="00981808">
            <w:pPr>
              <w:spacing w:after="0" w:line="240" w:lineRule="auto"/>
              <w:rPr>
                <w:sz w:val="20"/>
                <w:szCs w:val="20"/>
              </w:rPr>
            </w:pPr>
            <w:r w:rsidRPr="00981808">
              <w:rPr>
                <w:rFonts w:ascii="Calibri" w:hAnsi="Calibri" w:cs="Calibri"/>
                <w:color w:val="000000"/>
                <w:sz w:val="20"/>
                <w:szCs w:val="20"/>
              </w:rPr>
              <w:t>74,833</w:t>
            </w:r>
          </w:p>
        </w:tc>
        <w:tc>
          <w:tcPr>
            <w:tcW w:w="1928" w:type="dxa"/>
          </w:tcPr>
          <w:p w14:paraId="6714FB57" w14:textId="77777777" w:rsidR="000952AB" w:rsidRPr="00981808" w:rsidRDefault="000952AB" w:rsidP="00981808">
            <w:pPr>
              <w:spacing w:after="0" w:line="240" w:lineRule="auto"/>
              <w:rPr>
                <w:sz w:val="20"/>
                <w:szCs w:val="20"/>
              </w:rPr>
            </w:pPr>
            <w:r w:rsidRPr="00981808">
              <w:rPr>
                <w:sz w:val="20"/>
                <w:szCs w:val="20"/>
              </w:rPr>
              <w:t>88%</w:t>
            </w:r>
          </w:p>
        </w:tc>
      </w:tr>
      <w:tr w:rsidR="00981808" w:rsidRPr="00981808" w14:paraId="5B041577" w14:textId="77777777" w:rsidTr="00981808">
        <w:trPr>
          <w:trHeight w:val="113"/>
        </w:trPr>
        <w:tc>
          <w:tcPr>
            <w:tcW w:w="703" w:type="dxa"/>
          </w:tcPr>
          <w:p w14:paraId="7F04D9CE" w14:textId="77777777" w:rsidR="000952AB" w:rsidRPr="00981808" w:rsidRDefault="000952AB" w:rsidP="00981808">
            <w:pPr>
              <w:spacing w:after="0" w:line="240" w:lineRule="auto"/>
              <w:rPr>
                <w:sz w:val="20"/>
                <w:szCs w:val="20"/>
              </w:rPr>
            </w:pPr>
            <w:r w:rsidRPr="00981808">
              <w:rPr>
                <w:sz w:val="20"/>
                <w:szCs w:val="20"/>
              </w:rPr>
              <w:t>3</w:t>
            </w:r>
          </w:p>
        </w:tc>
        <w:tc>
          <w:tcPr>
            <w:tcW w:w="4932" w:type="dxa"/>
          </w:tcPr>
          <w:p w14:paraId="7824A6B3" w14:textId="77777777" w:rsidR="000952AB" w:rsidRPr="00981808" w:rsidRDefault="000952AB" w:rsidP="00981808">
            <w:pPr>
              <w:spacing w:after="0" w:line="240" w:lineRule="auto"/>
              <w:rPr>
                <w:sz w:val="20"/>
                <w:szCs w:val="20"/>
              </w:rPr>
            </w:pPr>
            <w:r w:rsidRPr="00981808">
              <w:rPr>
                <w:sz w:val="20"/>
                <w:szCs w:val="20"/>
              </w:rPr>
              <w:t>Exclude records with dates of commission after November 13</w:t>
            </w:r>
            <w:r w:rsidRPr="00981808">
              <w:rPr>
                <w:sz w:val="20"/>
                <w:szCs w:val="20"/>
                <w:vertAlign w:val="superscript"/>
              </w:rPr>
              <w:t>th</w:t>
            </w:r>
            <w:r w:rsidRPr="00981808">
              <w:rPr>
                <w:sz w:val="20"/>
                <w:szCs w:val="20"/>
              </w:rPr>
              <w:t>, 2019 (n= 47)</w:t>
            </w:r>
          </w:p>
        </w:tc>
        <w:tc>
          <w:tcPr>
            <w:tcW w:w="1224" w:type="dxa"/>
          </w:tcPr>
          <w:p w14:paraId="311C0C67" w14:textId="77777777" w:rsidR="000952AB" w:rsidRPr="00981808" w:rsidRDefault="000952AB" w:rsidP="00981808">
            <w:pPr>
              <w:spacing w:after="0" w:line="240" w:lineRule="auto"/>
              <w:rPr>
                <w:sz w:val="20"/>
                <w:szCs w:val="20"/>
              </w:rPr>
            </w:pPr>
            <w:r w:rsidRPr="00981808">
              <w:rPr>
                <w:rFonts w:cs="Times New Roman"/>
                <w:sz w:val="20"/>
                <w:szCs w:val="20"/>
              </w:rPr>
              <w:t>74,786</w:t>
            </w:r>
          </w:p>
        </w:tc>
        <w:tc>
          <w:tcPr>
            <w:tcW w:w="1928" w:type="dxa"/>
          </w:tcPr>
          <w:p w14:paraId="1C148A23" w14:textId="77777777" w:rsidR="000952AB" w:rsidRPr="00981808" w:rsidRDefault="000952AB" w:rsidP="00981808">
            <w:pPr>
              <w:spacing w:after="0" w:line="240" w:lineRule="auto"/>
              <w:rPr>
                <w:sz w:val="20"/>
                <w:szCs w:val="20"/>
              </w:rPr>
            </w:pPr>
            <w:r w:rsidRPr="00981808">
              <w:rPr>
                <w:sz w:val="20"/>
                <w:szCs w:val="20"/>
              </w:rPr>
              <w:t>99.9%</w:t>
            </w:r>
          </w:p>
        </w:tc>
      </w:tr>
      <w:tr w:rsidR="00981808" w:rsidRPr="00981808" w14:paraId="180F13C8" w14:textId="77777777" w:rsidTr="00981808">
        <w:trPr>
          <w:trHeight w:val="113"/>
        </w:trPr>
        <w:tc>
          <w:tcPr>
            <w:tcW w:w="703" w:type="dxa"/>
          </w:tcPr>
          <w:p w14:paraId="46B84B46" w14:textId="77777777" w:rsidR="000952AB" w:rsidRPr="00981808" w:rsidRDefault="000952AB" w:rsidP="00981808">
            <w:pPr>
              <w:spacing w:after="0" w:line="240" w:lineRule="auto"/>
              <w:rPr>
                <w:sz w:val="20"/>
                <w:szCs w:val="20"/>
              </w:rPr>
            </w:pPr>
            <w:r w:rsidRPr="00981808">
              <w:rPr>
                <w:sz w:val="20"/>
                <w:szCs w:val="20"/>
              </w:rPr>
              <w:t>4</w:t>
            </w:r>
          </w:p>
        </w:tc>
        <w:tc>
          <w:tcPr>
            <w:tcW w:w="4932" w:type="dxa"/>
          </w:tcPr>
          <w:p w14:paraId="272C9C7D" w14:textId="77777777" w:rsidR="000952AB" w:rsidRPr="00981808" w:rsidDel="00841584" w:rsidRDefault="000952AB" w:rsidP="00981808">
            <w:pPr>
              <w:spacing w:after="0" w:line="240" w:lineRule="auto"/>
              <w:rPr>
                <w:sz w:val="20"/>
                <w:szCs w:val="20"/>
              </w:rPr>
            </w:pPr>
            <w:r w:rsidRPr="00981808">
              <w:rPr>
                <w:sz w:val="20"/>
                <w:szCs w:val="20"/>
              </w:rPr>
              <w:t>Erased records with missing information, discrepancies in ages between SENDA, and aberrant ages of commission</w:t>
            </w:r>
          </w:p>
        </w:tc>
        <w:tc>
          <w:tcPr>
            <w:tcW w:w="1224" w:type="dxa"/>
          </w:tcPr>
          <w:p w14:paraId="757C3C00"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74,745</w:t>
            </w:r>
          </w:p>
        </w:tc>
        <w:tc>
          <w:tcPr>
            <w:tcW w:w="1928" w:type="dxa"/>
          </w:tcPr>
          <w:p w14:paraId="3A16CEFA" w14:textId="77777777" w:rsidR="000952AB" w:rsidRPr="00981808" w:rsidRDefault="000952AB" w:rsidP="00981808">
            <w:pPr>
              <w:spacing w:after="0" w:line="240" w:lineRule="auto"/>
              <w:rPr>
                <w:sz w:val="20"/>
                <w:szCs w:val="20"/>
              </w:rPr>
            </w:pPr>
            <w:r w:rsidRPr="00981808">
              <w:rPr>
                <w:sz w:val="20"/>
                <w:szCs w:val="20"/>
              </w:rPr>
              <w:t>99.9%</w:t>
            </w:r>
          </w:p>
        </w:tc>
      </w:tr>
      <w:tr w:rsidR="00981808" w:rsidRPr="00981808" w14:paraId="2EFB0A8B" w14:textId="77777777" w:rsidTr="00981808">
        <w:trPr>
          <w:trHeight w:val="113"/>
        </w:trPr>
        <w:tc>
          <w:tcPr>
            <w:tcW w:w="703" w:type="dxa"/>
          </w:tcPr>
          <w:p w14:paraId="157693A9" w14:textId="77777777" w:rsidR="000952AB" w:rsidRPr="00981808" w:rsidRDefault="000952AB" w:rsidP="00981808">
            <w:pPr>
              <w:spacing w:after="0" w:line="240" w:lineRule="auto"/>
              <w:rPr>
                <w:sz w:val="20"/>
                <w:szCs w:val="20"/>
              </w:rPr>
            </w:pPr>
            <w:r w:rsidRPr="00981808">
              <w:rPr>
                <w:sz w:val="20"/>
                <w:szCs w:val="20"/>
              </w:rPr>
              <w:t>5</w:t>
            </w:r>
          </w:p>
        </w:tc>
        <w:tc>
          <w:tcPr>
            <w:tcW w:w="4932" w:type="dxa"/>
          </w:tcPr>
          <w:p w14:paraId="010B701F" w14:textId="77777777" w:rsidR="000952AB" w:rsidRPr="00981808" w:rsidRDefault="000952AB" w:rsidP="00981808">
            <w:pPr>
              <w:spacing w:after="0" w:line="240" w:lineRule="auto"/>
              <w:rPr>
                <w:sz w:val="20"/>
                <w:szCs w:val="20"/>
              </w:rPr>
            </w:pPr>
            <w:r w:rsidRPr="00981808">
              <w:rPr>
                <w:sz w:val="20"/>
                <w:szCs w:val="20"/>
              </w:rPr>
              <w:t>Exclude records with at least one of the conditions: administrative annulment, grouped to another criminal case (16,341), commission dates earlier than January 01, 2010 (n=17,506); duplicated records (n=7)</w:t>
            </w:r>
          </w:p>
        </w:tc>
        <w:tc>
          <w:tcPr>
            <w:tcW w:w="1224" w:type="dxa"/>
          </w:tcPr>
          <w:p w14:paraId="2ED911CE"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74,535</w:t>
            </w:r>
          </w:p>
        </w:tc>
        <w:tc>
          <w:tcPr>
            <w:tcW w:w="1928" w:type="dxa"/>
          </w:tcPr>
          <w:p w14:paraId="588CDCAF" w14:textId="77777777" w:rsidR="000952AB" w:rsidRPr="00981808" w:rsidRDefault="000952AB" w:rsidP="00981808">
            <w:pPr>
              <w:spacing w:after="0" w:line="240" w:lineRule="auto"/>
              <w:rPr>
                <w:sz w:val="20"/>
                <w:szCs w:val="20"/>
              </w:rPr>
            </w:pPr>
            <w:r w:rsidRPr="00981808">
              <w:rPr>
                <w:sz w:val="20"/>
                <w:szCs w:val="20"/>
              </w:rPr>
              <w:t>99.7%</w:t>
            </w:r>
          </w:p>
        </w:tc>
      </w:tr>
      <w:tr w:rsidR="00981808" w:rsidRPr="00981808" w14:paraId="1DA00FF4" w14:textId="77777777" w:rsidTr="00981808">
        <w:trPr>
          <w:trHeight w:val="113"/>
        </w:trPr>
        <w:tc>
          <w:tcPr>
            <w:tcW w:w="703" w:type="dxa"/>
          </w:tcPr>
          <w:p w14:paraId="6FD033EF" w14:textId="77777777" w:rsidR="000952AB" w:rsidRPr="00981808" w:rsidRDefault="000952AB" w:rsidP="00981808">
            <w:pPr>
              <w:spacing w:after="0" w:line="240" w:lineRule="auto"/>
              <w:rPr>
                <w:sz w:val="20"/>
                <w:szCs w:val="20"/>
              </w:rPr>
            </w:pPr>
            <w:r w:rsidRPr="00981808">
              <w:rPr>
                <w:sz w:val="20"/>
                <w:szCs w:val="20"/>
              </w:rPr>
              <w:t>6</w:t>
            </w:r>
          </w:p>
        </w:tc>
        <w:tc>
          <w:tcPr>
            <w:tcW w:w="4932" w:type="dxa"/>
          </w:tcPr>
          <w:p w14:paraId="216555EE" w14:textId="77777777" w:rsidR="000952AB" w:rsidRPr="00981808" w:rsidRDefault="000952AB" w:rsidP="00981808">
            <w:pPr>
              <w:spacing w:after="0" w:line="240" w:lineRule="auto"/>
              <w:rPr>
                <w:sz w:val="20"/>
                <w:szCs w:val="20"/>
              </w:rPr>
            </w:pPr>
            <w:r w:rsidRPr="00981808">
              <w:rPr>
                <w:sz w:val="20"/>
                <w:szCs w:val="20"/>
              </w:rPr>
              <w:t>Exclude records of patients with at least one of the following conditions: found as a victim (n=20,624), if the patient did not receive a sentence (n=23,667)</w:t>
            </w:r>
          </w:p>
        </w:tc>
        <w:tc>
          <w:tcPr>
            <w:tcW w:w="1224" w:type="dxa"/>
          </w:tcPr>
          <w:p w14:paraId="479E59E9"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49,970</w:t>
            </w:r>
          </w:p>
        </w:tc>
        <w:tc>
          <w:tcPr>
            <w:tcW w:w="1928" w:type="dxa"/>
          </w:tcPr>
          <w:p w14:paraId="20EC204E" w14:textId="77777777" w:rsidR="000952AB" w:rsidRPr="00981808" w:rsidRDefault="000952AB" w:rsidP="00981808">
            <w:pPr>
              <w:spacing w:after="0" w:line="240" w:lineRule="auto"/>
              <w:rPr>
                <w:sz w:val="20"/>
                <w:szCs w:val="20"/>
              </w:rPr>
            </w:pPr>
            <w:r w:rsidRPr="00981808">
              <w:rPr>
                <w:sz w:val="20"/>
                <w:szCs w:val="20"/>
              </w:rPr>
              <w:t>67%</w:t>
            </w:r>
          </w:p>
        </w:tc>
      </w:tr>
      <w:tr w:rsidR="00981808" w:rsidRPr="00981808" w14:paraId="05685328" w14:textId="77777777" w:rsidTr="00981808">
        <w:trPr>
          <w:trHeight w:val="113"/>
        </w:trPr>
        <w:tc>
          <w:tcPr>
            <w:tcW w:w="703" w:type="dxa"/>
          </w:tcPr>
          <w:p w14:paraId="2090BF49" w14:textId="77777777" w:rsidR="000952AB" w:rsidRPr="00981808" w:rsidRDefault="000952AB" w:rsidP="00981808">
            <w:pPr>
              <w:spacing w:after="0" w:line="240" w:lineRule="auto"/>
              <w:rPr>
                <w:sz w:val="20"/>
                <w:szCs w:val="20"/>
              </w:rPr>
            </w:pPr>
            <w:r w:rsidRPr="00981808">
              <w:rPr>
                <w:sz w:val="20"/>
                <w:szCs w:val="20"/>
              </w:rPr>
              <w:t>7</w:t>
            </w:r>
          </w:p>
        </w:tc>
        <w:tc>
          <w:tcPr>
            <w:tcW w:w="4932" w:type="dxa"/>
          </w:tcPr>
          <w:p w14:paraId="6C071D79" w14:textId="77777777" w:rsidR="000952AB" w:rsidRPr="00981808" w:rsidRDefault="000952AB" w:rsidP="00981808">
            <w:pPr>
              <w:spacing w:after="0" w:line="240" w:lineRule="auto"/>
              <w:rPr>
                <w:sz w:val="20"/>
                <w:szCs w:val="20"/>
              </w:rPr>
            </w:pPr>
            <w:r w:rsidRPr="00981808">
              <w:rPr>
                <w:sz w:val="20"/>
                <w:szCs w:val="20"/>
              </w:rPr>
              <w:t>Joined SENDAs database, but discarded records with missing dates of birth (n= 7)</w:t>
            </w:r>
          </w:p>
        </w:tc>
        <w:tc>
          <w:tcPr>
            <w:tcW w:w="1224" w:type="dxa"/>
          </w:tcPr>
          <w:p w14:paraId="68028F82"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85,041</w:t>
            </w:r>
          </w:p>
        </w:tc>
        <w:tc>
          <w:tcPr>
            <w:tcW w:w="1928" w:type="dxa"/>
          </w:tcPr>
          <w:p w14:paraId="45486570" w14:textId="77777777" w:rsidR="000952AB" w:rsidRPr="00981808" w:rsidRDefault="000952AB" w:rsidP="00981808">
            <w:pPr>
              <w:spacing w:after="0" w:line="240" w:lineRule="auto"/>
              <w:rPr>
                <w:sz w:val="20"/>
                <w:szCs w:val="20"/>
              </w:rPr>
            </w:pPr>
            <w:r w:rsidRPr="00981808">
              <w:rPr>
                <w:sz w:val="20"/>
                <w:szCs w:val="20"/>
              </w:rPr>
              <w:t>99.9%</w:t>
            </w:r>
          </w:p>
        </w:tc>
      </w:tr>
      <w:tr w:rsidR="00981808" w:rsidRPr="00981808" w14:paraId="1F0B1E75" w14:textId="77777777" w:rsidTr="00981808">
        <w:trPr>
          <w:trHeight w:val="113"/>
        </w:trPr>
        <w:tc>
          <w:tcPr>
            <w:tcW w:w="703" w:type="dxa"/>
          </w:tcPr>
          <w:p w14:paraId="0E4AD45D" w14:textId="77777777" w:rsidR="000952AB" w:rsidRPr="00981808" w:rsidRDefault="000952AB" w:rsidP="00981808">
            <w:pPr>
              <w:spacing w:after="0" w:line="240" w:lineRule="auto"/>
              <w:rPr>
                <w:sz w:val="20"/>
                <w:szCs w:val="20"/>
              </w:rPr>
            </w:pPr>
            <w:r w:rsidRPr="00981808">
              <w:rPr>
                <w:sz w:val="20"/>
                <w:szCs w:val="20"/>
              </w:rPr>
              <w:t>8</w:t>
            </w:r>
          </w:p>
        </w:tc>
        <w:tc>
          <w:tcPr>
            <w:tcW w:w="4932" w:type="dxa"/>
          </w:tcPr>
          <w:p w14:paraId="67C1BB6A" w14:textId="77777777" w:rsidR="000952AB" w:rsidRPr="00981808" w:rsidRDefault="000952AB" w:rsidP="00981808">
            <w:pPr>
              <w:spacing w:after="0" w:line="240" w:lineRule="auto"/>
              <w:rPr>
                <w:sz w:val="20"/>
                <w:szCs w:val="20"/>
              </w:rPr>
            </w:pPr>
            <w:r w:rsidRPr="00981808">
              <w:rPr>
                <w:sz w:val="20"/>
                <w:szCs w:val="20"/>
              </w:rPr>
              <w:t>Discarded patients where the first treatment corresponded to external referrals (n=), or ongoing treatments at the date of retrieval (November 13</w:t>
            </w:r>
            <w:r w:rsidRPr="00981808">
              <w:rPr>
                <w:sz w:val="20"/>
                <w:szCs w:val="20"/>
                <w:vertAlign w:val="superscript"/>
              </w:rPr>
              <w:t>th</w:t>
            </w:r>
            <w:r w:rsidRPr="00981808">
              <w:rPr>
                <w:sz w:val="20"/>
                <w:szCs w:val="20"/>
              </w:rPr>
              <w:t>, 2019) (n=8,657)</w:t>
            </w:r>
          </w:p>
        </w:tc>
        <w:tc>
          <w:tcPr>
            <w:tcW w:w="1224" w:type="dxa"/>
          </w:tcPr>
          <w:p w14:paraId="0E3FC43A"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70,863</w:t>
            </w:r>
          </w:p>
        </w:tc>
        <w:tc>
          <w:tcPr>
            <w:tcW w:w="1928" w:type="dxa"/>
          </w:tcPr>
          <w:p w14:paraId="3F579C11" w14:textId="77777777" w:rsidR="000952AB" w:rsidRPr="00981808" w:rsidRDefault="000952AB" w:rsidP="00981808">
            <w:pPr>
              <w:spacing w:after="0" w:line="240" w:lineRule="auto"/>
              <w:rPr>
                <w:sz w:val="20"/>
                <w:szCs w:val="20"/>
              </w:rPr>
            </w:pPr>
            <w:r w:rsidRPr="00981808">
              <w:rPr>
                <w:sz w:val="20"/>
                <w:szCs w:val="20"/>
              </w:rPr>
              <w:t>83%</w:t>
            </w:r>
          </w:p>
        </w:tc>
      </w:tr>
      <w:tr w:rsidR="00981808" w:rsidRPr="00981808" w14:paraId="70DDF52D" w14:textId="77777777" w:rsidTr="00981808">
        <w:trPr>
          <w:trHeight w:val="113"/>
        </w:trPr>
        <w:tc>
          <w:tcPr>
            <w:tcW w:w="703" w:type="dxa"/>
            <w:tcBorders>
              <w:bottom w:val="single" w:sz="4" w:space="0" w:color="auto"/>
            </w:tcBorders>
          </w:tcPr>
          <w:p w14:paraId="089C1FA9" w14:textId="77777777" w:rsidR="000952AB" w:rsidRPr="00981808" w:rsidRDefault="000952AB" w:rsidP="00981808">
            <w:pPr>
              <w:spacing w:after="0" w:line="240" w:lineRule="auto"/>
              <w:rPr>
                <w:sz w:val="20"/>
                <w:szCs w:val="20"/>
              </w:rPr>
            </w:pPr>
            <w:r w:rsidRPr="00981808">
              <w:rPr>
                <w:sz w:val="20"/>
                <w:szCs w:val="20"/>
              </w:rPr>
              <w:t>9</w:t>
            </w:r>
          </w:p>
        </w:tc>
        <w:tc>
          <w:tcPr>
            <w:tcW w:w="4932" w:type="dxa"/>
            <w:tcBorders>
              <w:bottom w:val="single" w:sz="4" w:space="0" w:color="auto"/>
            </w:tcBorders>
          </w:tcPr>
          <w:p w14:paraId="68774FDD" w14:textId="2B8F61AC" w:rsidR="000952AB" w:rsidRPr="00981808" w:rsidRDefault="000952AB" w:rsidP="00981808">
            <w:pPr>
              <w:spacing w:after="0" w:line="240" w:lineRule="auto"/>
              <w:rPr>
                <w:sz w:val="20"/>
                <w:szCs w:val="20"/>
              </w:rPr>
            </w:pPr>
            <w:r w:rsidRPr="00981808">
              <w:rPr>
                <w:sz w:val="20"/>
                <w:szCs w:val="20"/>
              </w:rPr>
              <w:t>Excluded patients without treatment outcomes (n=</w:t>
            </w:r>
            <w:r w:rsidR="0017123D">
              <w:rPr>
                <w:sz w:val="20"/>
                <w:szCs w:val="20"/>
              </w:rPr>
              <w:t>9</w:t>
            </w:r>
            <w:r w:rsidRPr="00981808">
              <w:rPr>
                <w:sz w:val="20"/>
                <w:szCs w:val="20"/>
              </w:rPr>
              <w:t>)</w:t>
            </w:r>
          </w:p>
        </w:tc>
        <w:tc>
          <w:tcPr>
            <w:tcW w:w="1224" w:type="dxa"/>
            <w:tcBorders>
              <w:bottom w:val="single" w:sz="4" w:space="0" w:color="auto"/>
            </w:tcBorders>
          </w:tcPr>
          <w:p w14:paraId="443FB756" w14:textId="77777777" w:rsidR="000952AB" w:rsidRPr="00981808" w:rsidRDefault="000952AB" w:rsidP="00981808">
            <w:pPr>
              <w:spacing w:after="0" w:line="240" w:lineRule="auto"/>
              <w:rPr>
                <w:rFonts w:cs="Times New Roman"/>
                <w:sz w:val="20"/>
                <w:szCs w:val="20"/>
              </w:rPr>
            </w:pPr>
            <w:r w:rsidRPr="00981808">
              <w:rPr>
                <w:rFonts w:cs="Times New Roman"/>
                <w:sz w:val="20"/>
                <w:szCs w:val="20"/>
              </w:rPr>
              <w:t>70,854</w:t>
            </w:r>
          </w:p>
        </w:tc>
        <w:tc>
          <w:tcPr>
            <w:tcW w:w="1928" w:type="dxa"/>
            <w:tcBorders>
              <w:bottom w:val="single" w:sz="4" w:space="0" w:color="auto"/>
            </w:tcBorders>
          </w:tcPr>
          <w:p w14:paraId="5B694737" w14:textId="77777777" w:rsidR="000952AB" w:rsidRPr="00981808" w:rsidRDefault="000952AB" w:rsidP="00981808">
            <w:pPr>
              <w:spacing w:after="0" w:line="240" w:lineRule="auto"/>
              <w:rPr>
                <w:sz w:val="20"/>
                <w:szCs w:val="20"/>
              </w:rPr>
            </w:pPr>
            <w:r w:rsidRPr="00981808">
              <w:rPr>
                <w:sz w:val="20"/>
                <w:szCs w:val="20"/>
              </w:rPr>
              <w:t>99.9%</w:t>
            </w:r>
          </w:p>
        </w:tc>
      </w:tr>
    </w:tbl>
    <w:p w14:paraId="7D3C7197" w14:textId="77777777" w:rsidR="000952AB" w:rsidRDefault="000952AB" w:rsidP="00060E2B"/>
    <w:p w14:paraId="080B3935" w14:textId="2C151DAF" w:rsidR="003102F7" w:rsidRDefault="003102F7">
      <w:r>
        <w:br w:type="page"/>
      </w:r>
    </w:p>
    <w:p w14:paraId="4120900D" w14:textId="654F7105" w:rsidR="003102F7" w:rsidRDefault="003102F7" w:rsidP="003102F7">
      <w:pPr>
        <w:pStyle w:val="Ttulo3"/>
        <w:spacing w:line="276" w:lineRule="auto"/>
      </w:pPr>
      <w:r w:rsidRPr="002077F6">
        <w:rPr>
          <w:lang w:val="en-GB"/>
        </w:rPr>
        <w:lastRenderedPageBreak/>
        <w:t xml:space="preserve">Section </w:t>
      </w:r>
      <w:r>
        <w:rPr>
          <w:lang w:val="en-GB"/>
        </w:rPr>
        <w:t>2</w:t>
      </w:r>
      <w:r w:rsidRPr="002077F6">
        <w:rPr>
          <w:lang w:val="en-GB"/>
        </w:rPr>
        <w:t xml:space="preserve">. </w:t>
      </w:r>
      <w:r>
        <w:t>Proportional hazards test, model specification and selection criteria</w:t>
      </w:r>
    </w:p>
    <w:p w14:paraId="7E5F6FCC" w14:textId="77777777" w:rsidR="00C23C68" w:rsidRDefault="00C23C68" w:rsidP="00060E2B">
      <w:pPr>
        <w:spacing w:after="0" w:line="240" w:lineRule="auto"/>
        <w:rPr>
          <w:rFonts w:ascii="Times New Roman" w:eastAsia="Times New Roman" w:hAnsi="Times New Roman" w:cs="Times New Roman"/>
          <w:lang w:val="en-GB" w:eastAsia="es-CL"/>
        </w:rPr>
      </w:pPr>
    </w:p>
    <w:p w14:paraId="0A8963B6" w14:textId="674956EB" w:rsidR="000A68E9" w:rsidRPr="000A68E9" w:rsidRDefault="000A68E9" w:rsidP="00060E2B">
      <w:pPr>
        <w:spacing w:after="0" w:line="240" w:lineRule="auto"/>
        <w:rPr>
          <w:rFonts w:eastAsia="Times New Roman" w:cstheme="minorHAnsi"/>
          <w:lang w:val="en-GB" w:eastAsia="es-CL"/>
        </w:rPr>
      </w:pPr>
      <w:r w:rsidRPr="000A68E9">
        <w:rPr>
          <w:rFonts w:eastAsia="Times New Roman" w:cstheme="minorHAnsi"/>
          <w:lang w:val="en-GB" w:eastAsia="es-CL"/>
        </w:rPr>
        <w:t>We divide this section into proportional hazards, model specification, selection criteria, and added a summary of the survival models.</w:t>
      </w:r>
    </w:p>
    <w:p w14:paraId="43355611" w14:textId="77777777" w:rsidR="000A68E9" w:rsidRDefault="000A68E9" w:rsidP="00060E2B">
      <w:pPr>
        <w:spacing w:after="0" w:line="240" w:lineRule="auto"/>
        <w:rPr>
          <w:rFonts w:ascii="Times New Roman" w:eastAsia="Times New Roman" w:hAnsi="Times New Roman" w:cs="Times New Roman"/>
          <w:lang w:val="en-GB" w:eastAsia="es-CL"/>
        </w:rPr>
      </w:pPr>
    </w:p>
    <w:p w14:paraId="08D82935" w14:textId="7F3485A6" w:rsidR="0017123D" w:rsidRPr="0017123D" w:rsidRDefault="0017123D" w:rsidP="00060E2B">
      <w:pPr>
        <w:spacing w:after="0" w:line="240" w:lineRule="auto"/>
        <w:rPr>
          <w:b/>
          <w:bCs/>
          <w:lang w:val="en-GB"/>
        </w:rPr>
      </w:pPr>
      <w:r w:rsidRPr="0017123D">
        <w:rPr>
          <w:b/>
          <w:bCs/>
          <w:lang w:val="en-GB"/>
        </w:rPr>
        <w:t>Proportional hazards test</w:t>
      </w:r>
    </w:p>
    <w:p w14:paraId="49A4EB7C" w14:textId="7B095D0A" w:rsidR="00936E54" w:rsidRPr="00936E54" w:rsidRDefault="00936E54" w:rsidP="00EA64D9">
      <w:pPr>
        <w:spacing w:after="0" w:line="276" w:lineRule="auto"/>
      </w:pPr>
      <w:r w:rsidRPr="00936E54">
        <w:t xml:space="preserve">First, we used Schoenfeld’s global goodness of fit test of proportional hazards. The test indicated a significant deviation from expected proportionality in </w:t>
      </w:r>
      <w:r w:rsidR="0080305C">
        <w:t xml:space="preserve">the </w:t>
      </w:r>
      <w:r w:rsidR="007C5EDA">
        <w:t xml:space="preserve">modelling of time </w:t>
      </w:r>
      <w:proofErr w:type="gramStart"/>
      <w:r w:rsidR="007C5EDA">
        <w:t xml:space="preserve">to  </w:t>
      </w:r>
      <w:r w:rsidR="007C5EDA" w:rsidRPr="007C5EDA">
        <w:t>any</w:t>
      </w:r>
      <w:proofErr w:type="gramEnd"/>
      <w:r w:rsidR="007C5EDA" w:rsidRPr="007C5EDA">
        <w:t xml:space="preserve"> contact with the criminal justice system </w:t>
      </w:r>
      <w:r w:rsidRPr="00936E54">
        <w:t>(X²(</w:t>
      </w:r>
      <w:proofErr w:type="spellStart"/>
      <w:r w:rsidRPr="00936E54">
        <w:t>df</w:t>
      </w:r>
      <w:proofErr w:type="spellEnd"/>
      <w:r w:rsidRPr="00936E54">
        <w:t>=</w:t>
      </w:r>
      <w:r w:rsidR="007C5EDA">
        <w:t>51</w:t>
      </w:r>
      <w:r w:rsidRPr="00936E54">
        <w:t xml:space="preserve">)= </w:t>
      </w:r>
      <w:r w:rsidR="007C5EDA">
        <w:t>233</w:t>
      </w:r>
      <w:r w:rsidRPr="00936E54">
        <w:t>.</w:t>
      </w:r>
      <w:r w:rsidR="007C5EDA">
        <w:t>36</w:t>
      </w:r>
      <w:r w:rsidRPr="00936E54">
        <w:t>, p&lt;0.001)</w:t>
      </w:r>
      <w:r w:rsidR="0080305C">
        <w:t xml:space="preserve">, and time to </w:t>
      </w:r>
      <w:r w:rsidR="0080305C" w:rsidRPr="0080305C">
        <w:t>contact leading to imprisonment</w:t>
      </w:r>
      <w:r w:rsidR="0080305C">
        <w:t xml:space="preserve"> </w:t>
      </w:r>
      <w:r w:rsidR="0080305C" w:rsidRPr="00936E54">
        <w:t>(X²(</w:t>
      </w:r>
      <w:proofErr w:type="spellStart"/>
      <w:r w:rsidR="0080305C" w:rsidRPr="00936E54">
        <w:t>df</w:t>
      </w:r>
      <w:proofErr w:type="spellEnd"/>
      <w:r w:rsidR="0080305C" w:rsidRPr="00936E54">
        <w:t>=</w:t>
      </w:r>
      <w:r w:rsidR="0080305C">
        <w:t>51</w:t>
      </w:r>
      <w:r w:rsidR="0080305C" w:rsidRPr="00936E54">
        <w:t xml:space="preserve">)= </w:t>
      </w:r>
      <w:r w:rsidR="0080305C" w:rsidRPr="0080305C">
        <w:t>160.56</w:t>
      </w:r>
      <w:r w:rsidR="0080305C" w:rsidRPr="00936E54">
        <w:t>, p&lt;0.001)</w:t>
      </w:r>
      <w:r w:rsidRPr="00936E54">
        <w:t xml:space="preserve">. </w:t>
      </w:r>
      <w:r w:rsidR="007C5EDA">
        <w:t>Thus, e</w:t>
      </w:r>
      <w:r w:rsidRPr="00936E54">
        <w:t xml:space="preserve">vidence </w:t>
      </w:r>
      <w:r w:rsidR="007C5EDA">
        <w:t>do</w:t>
      </w:r>
      <w:r w:rsidRPr="00936E54">
        <w:t xml:space="preserve"> </w:t>
      </w:r>
      <w:r w:rsidR="007C5EDA">
        <w:t xml:space="preserve">not support </w:t>
      </w:r>
      <w:r w:rsidRPr="00936E54">
        <w:t>the proportional hazards assumption.</w:t>
      </w:r>
    </w:p>
    <w:p w14:paraId="7DE0B05B" w14:textId="77777777" w:rsidR="0080305C" w:rsidRDefault="0080305C" w:rsidP="00060E2B">
      <w:pPr>
        <w:spacing w:after="0" w:line="240" w:lineRule="auto"/>
        <w:rPr>
          <w:lang w:val="en-GB"/>
        </w:rPr>
      </w:pPr>
    </w:p>
    <w:p w14:paraId="6C56856E" w14:textId="5F16A3D8" w:rsidR="0080305C" w:rsidRDefault="0080305C" w:rsidP="00060E2B">
      <w:pPr>
        <w:spacing w:after="0" w:line="240" w:lineRule="auto"/>
        <w:rPr>
          <w:b/>
          <w:bCs/>
          <w:lang w:val="en-GB"/>
        </w:rPr>
      </w:pPr>
      <w:r>
        <w:rPr>
          <w:b/>
          <w:bCs/>
          <w:lang w:val="en-GB"/>
        </w:rPr>
        <w:t>Model specification</w:t>
      </w:r>
    </w:p>
    <w:p w14:paraId="0C4D3CAF" w14:textId="5A86054C" w:rsidR="000952AB" w:rsidRDefault="00355C53" w:rsidP="000952AB">
      <w:pPr>
        <w:rPr>
          <w:lang w:val="en-GB"/>
        </w:rPr>
      </w:pPr>
      <w:r>
        <w:rPr>
          <w:lang w:val="en-GB"/>
        </w:rPr>
        <w:t>W</w:t>
      </w:r>
      <w:r w:rsidRPr="00355C53">
        <w:rPr>
          <w:lang w:val="en-GB"/>
        </w:rPr>
        <w:t xml:space="preserve">e </w:t>
      </w:r>
      <w:r>
        <w:rPr>
          <w:lang w:val="en-GB"/>
        </w:rPr>
        <w:t xml:space="preserve">tested different specifications, from 1 to 10 degrees of freedom </w:t>
      </w:r>
      <w:r w:rsidR="005C0D87">
        <w:rPr>
          <w:lang w:val="en-GB"/>
        </w:rPr>
        <w:t>to model</w:t>
      </w:r>
      <w:r>
        <w:rPr>
          <w:lang w:val="en-GB"/>
        </w:rPr>
        <w:t xml:space="preserve"> time-dependent baseline distribution functions</w:t>
      </w:r>
      <w:r w:rsidR="005C0D87">
        <w:rPr>
          <w:lang w:val="en-GB"/>
        </w:rPr>
        <w:t xml:space="preserve"> (i.e., </w:t>
      </w:r>
      <w:r w:rsidR="005C0D87" w:rsidRPr="005C0D87">
        <w:rPr>
          <w:lang w:val="en-GB"/>
        </w:rPr>
        <w:t>restricted cubic spline on log cumulative hazard scale</w:t>
      </w:r>
      <w:r w:rsidR="005C0D87">
        <w:rPr>
          <w:lang w:val="en-GB"/>
        </w:rPr>
        <w:t>)</w:t>
      </w:r>
      <w:r>
        <w:rPr>
          <w:lang w:val="en-GB"/>
        </w:rPr>
        <w:t xml:space="preserve">, and </w:t>
      </w:r>
      <w:r w:rsidR="005C0D87">
        <w:rPr>
          <w:lang w:val="en-GB"/>
        </w:rPr>
        <w:t xml:space="preserve">from 1 to 7 degrees of freedom to model </w:t>
      </w:r>
      <w:r>
        <w:rPr>
          <w:lang w:val="en-GB"/>
        </w:rPr>
        <w:t xml:space="preserve">time-dependent </w:t>
      </w:r>
      <w:r w:rsidR="00314C6B">
        <w:rPr>
          <w:lang w:val="en-GB"/>
        </w:rPr>
        <w:t>effects</w:t>
      </w:r>
      <w:r>
        <w:rPr>
          <w:lang w:val="en-GB"/>
        </w:rPr>
        <w:t xml:space="preserve"> of </w:t>
      </w:r>
      <w:r w:rsidR="005C0D87">
        <w:rPr>
          <w:lang w:val="en-GB"/>
        </w:rPr>
        <w:t>treatment outcomes (both early and late discharge, vs. treatment completion)</w:t>
      </w:r>
      <w:r>
        <w:rPr>
          <w:lang w:val="en-GB"/>
        </w:rPr>
        <w:t>.</w:t>
      </w:r>
      <w:r w:rsidR="005C0D87">
        <w:rPr>
          <w:lang w:val="en-GB"/>
        </w:rPr>
        <w:t xml:space="preserve"> Then, we</w:t>
      </w:r>
      <w:r>
        <w:rPr>
          <w:lang w:val="en-GB"/>
        </w:rPr>
        <w:t xml:space="preserve"> </w:t>
      </w:r>
      <w:r w:rsidRPr="00355C53">
        <w:rPr>
          <w:lang w:val="en-GB"/>
        </w:rPr>
        <w:t>selected the models that showed the best trade-off between lower complexity and better fit. This is why we also considered the BIC. If a model with fewer parameters had greater or equal AIC (or differences lower than 4) but also had better BIC (</w:t>
      </w:r>
      <w:r w:rsidR="00CA1B2A">
        <w:rPr>
          <w:lang w:val="en-GB"/>
        </w:rPr>
        <w:t>&lt;</w:t>
      </w:r>
      <w:r w:rsidRPr="00355C53">
        <w:rPr>
          <w:lang w:val="en-GB"/>
        </w:rPr>
        <w:t>=3), we favoured the model with fewer parameters.</w:t>
      </w:r>
    </w:p>
    <w:p w14:paraId="09BF950C" w14:textId="0875E645" w:rsidR="00314C6B" w:rsidRPr="00314C6B" w:rsidRDefault="00314C6B" w:rsidP="00314C6B">
      <w:pPr>
        <w:rPr>
          <w:lang w:val="en-GB"/>
        </w:rPr>
      </w:pPr>
      <w:r w:rsidRPr="00314C6B">
        <w:rPr>
          <w:lang w:val="en-GB"/>
        </w:rPr>
        <w:t xml:space="preserve">Supplemental Table ZX. Akaike and Bayesian Information Criteria for survival models </w:t>
      </w:r>
      <w:r>
        <w:rPr>
          <w:lang w:val="en-GB"/>
        </w:rPr>
        <w:t>of the time to any contact with the justice system</w:t>
      </w:r>
      <w:r w:rsidRPr="00314C6B">
        <w:rPr>
          <w:lang w:val="en-GB"/>
        </w:rPr>
        <w:t xml:space="preserve"> with different survival probability distributions</w:t>
      </w:r>
    </w:p>
    <w:tbl>
      <w:tblPr>
        <w:tblW w:w="452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120"/>
        <w:gridCol w:w="1200"/>
        <w:gridCol w:w="1200"/>
      </w:tblGrid>
      <w:tr w:rsidR="00314C6B" w:rsidRPr="00314C6B" w14:paraId="2737E0D1" w14:textId="77777777" w:rsidTr="00314C6B">
        <w:trPr>
          <w:trHeight w:val="57"/>
          <w:jc w:val="center"/>
        </w:trPr>
        <w:tc>
          <w:tcPr>
            <w:tcW w:w="2120" w:type="dxa"/>
            <w:tcBorders>
              <w:top w:val="single" w:sz="4" w:space="0" w:color="auto"/>
              <w:bottom w:val="single" w:sz="4" w:space="0" w:color="auto"/>
            </w:tcBorders>
            <w:shd w:val="clear" w:color="auto" w:fill="auto"/>
            <w:noWrap/>
            <w:vAlign w:val="bottom"/>
            <w:hideMark/>
          </w:tcPr>
          <w:p w14:paraId="45615154" w14:textId="4A0A7D6F" w:rsidR="00314C6B" w:rsidRPr="00314C6B" w:rsidRDefault="00314C6B" w:rsidP="00314C6B">
            <w:pPr>
              <w:spacing w:after="0" w:line="240" w:lineRule="auto"/>
              <w:rPr>
                <w:rFonts w:ascii="Calibri" w:eastAsia="Times New Roman" w:hAnsi="Calibri" w:cs="Calibri"/>
                <w:b/>
                <w:bCs/>
                <w:color w:val="000000"/>
                <w:sz w:val="18"/>
                <w:szCs w:val="18"/>
                <w:lang w:val="es-CL" w:eastAsia="es-CL"/>
              </w:rPr>
            </w:pPr>
            <w:proofErr w:type="spellStart"/>
            <w:r w:rsidRPr="00314C6B">
              <w:rPr>
                <w:rFonts w:ascii="Calibri" w:eastAsia="Times New Roman" w:hAnsi="Calibri" w:cs="Calibri"/>
                <w:b/>
                <w:bCs/>
                <w:color w:val="000000"/>
                <w:sz w:val="18"/>
                <w:szCs w:val="18"/>
                <w:lang w:val="es-CL" w:eastAsia="es-CL"/>
              </w:rPr>
              <w:t>Model</w:t>
            </w:r>
            <w:proofErr w:type="spellEnd"/>
            <w:r w:rsidRPr="00314C6B">
              <w:rPr>
                <w:rFonts w:ascii="Calibri" w:eastAsia="Times New Roman" w:hAnsi="Calibri" w:cs="Calibri"/>
                <w:b/>
                <w:bCs/>
                <w:color w:val="000000"/>
                <w:sz w:val="18"/>
                <w:szCs w:val="18"/>
                <w:lang w:val="es-CL" w:eastAsia="es-CL"/>
              </w:rPr>
              <w:t xml:space="preserve"> </w:t>
            </w:r>
            <w:proofErr w:type="spellStart"/>
            <w:r w:rsidRPr="00314C6B">
              <w:rPr>
                <w:rFonts w:ascii="Calibri" w:eastAsia="Times New Roman" w:hAnsi="Calibri" w:cs="Calibri"/>
                <w:b/>
                <w:bCs/>
                <w:color w:val="000000"/>
                <w:sz w:val="18"/>
                <w:szCs w:val="18"/>
                <w:lang w:val="es-CL" w:eastAsia="es-CL"/>
              </w:rPr>
              <w:t>Specification</w:t>
            </w:r>
            <w:proofErr w:type="spellEnd"/>
          </w:p>
        </w:tc>
        <w:tc>
          <w:tcPr>
            <w:tcW w:w="1200" w:type="dxa"/>
            <w:tcBorders>
              <w:top w:val="single" w:sz="4" w:space="0" w:color="auto"/>
              <w:bottom w:val="single" w:sz="4" w:space="0" w:color="auto"/>
            </w:tcBorders>
            <w:shd w:val="clear" w:color="auto" w:fill="auto"/>
            <w:noWrap/>
            <w:vAlign w:val="bottom"/>
            <w:hideMark/>
          </w:tcPr>
          <w:p w14:paraId="4179CC92" w14:textId="77777777" w:rsidR="00314C6B" w:rsidRPr="00314C6B" w:rsidRDefault="00314C6B" w:rsidP="00314C6B">
            <w:pPr>
              <w:spacing w:after="0" w:line="240" w:lineRule="auto"/>
              <w:rPr>
                <w:rFonts w:ascii="Calibri" w:eastAsia="Times New Roman" w:hAnsi="Calibri" w:cs="Calibri"/>
                <w:b/>
                <w:bCs/>
                <w:color w:val="000000"/>
                <w:sz w:val="18"/>
                <w:szCs w:val="18"/>
                <w:lang w:val="es-CL" w:eastAsia="es-CL"/>
              </w:rPr>
            </w:pPr>
            <w:r w:rsidRPr="00314C6B">
              <w:rPr>
                <w:rFonts w:ascii="Calibri" w:eastAsia="Times New Roman" w:hAnsi="Calibri" w:cs="Calibri"/>
                <w:b/>
                <w:bCs/>
                <w:color w:val="000000"/>
                <w:sz w:val="18"/>
                <w:szCs w:val="18"/>
                <w:lang w:val="es-CL" w:eastAsia="es-CL"/>
              </w:rPr>
              <w:t>AIC</w:t>
            </w:r>
          </w:p>
        </w:tc>
        <w:tc>
          <w:tcPr>
            <w:tcW w:w="1200" w:type="dxa"/>
            <w:tcBorders>
              <w:top w:val="single" w:sz="4" w:space="0" w:color="auto"/>
              <w:bottom w:val="single" w:sz="4" w:space="0" w:color="auto"/>
            </w:tcBorders>
            <w:shd w:val="clear" w:color="auto" w:fill="auto"/>
            <w:noWrap/>
            <w:vAlign w:val="bottom"/>
            <w:hideMark/>
          </w:tcPr>
          <w:p w14:paraId="78A9DAB2" w14:textId="77777777" w:rsidR="00314C6B" w:rsidRPr="00314C6B" w:rsidRDefault="00314C6B" w:rsidP="00314C6B">
            <w:pPr>
              <w:spacing w:after="0" w:line="240" w:lineRule="auto"/>
              <w:rPr>
                <w:rFonts w:ascii="Calibri" w:eastAsia="Times New Roman" w:hAnsi="Calibri" w:cs="Calibri"/>
                <w:b/>
                <w:bCs/>
                <w:color w:val="000000"/>
                <w:sz w:val="18"/>
                <w:szCs w:val="18"/>
                <w:lang w:val="es-CL" w:eastAsia="es-CL"/>
              </w:rPr>
            </w:pPr>
            <w:r w:rsidRPr="00314C6B">
              <w:rPr>
                <w:rFonts w:ascii="Calibri" w:eastAsia="Times New Roman" w:hAnsi="Calibri" w:cs="Calibri"/>
                <w:b/>
                <w:bCs/>
                <w:color w:val="000000"/>
                <w:sz w:val="18"/>
                <w:szCs w:val="18"/>
                <w:lang w:val="es-CL" w:eastAsia="es-CL"/>
              </w:rPr>
              <w:t>BIC</w:t>
            </w:r>
          </w:p>
        </w:tc>
      </w:tr>
      <w:tr w:rsidR="00314C6B" w:rsidRPr="00314C6B" w14:paraId="69FEC3BC" w14:textId="77777777" w:rsidTr="00314C6B">
        <w:trPr>
          <w:trHeight w:val="57"/>
          <w:jc w:val="center"/>
        </w:trPr>
        <w:tc>
          <w:tcPr>
            <w:tcW w:w="2120" w:type="dxa"/>
            <w:tcBorders>
              <w:top w:val="single" w:sz="4" w:space="0" w:color="auto"/>
            </w:tcBorders>
            <w:shd w:val="clear" w:color="auto" w:fill="auto"/>
            <w:noWrap/>
            <w:vAlign w:val="bottom"/>
            <w:hideMark/>
          </w:tcPr>
          <w:p w14:paraId="25B8790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tcBorders>
              <w:top w:val="single" w:sz="4" w:space="0" w:color="auto"/>
            </w:tcBorders>
            <w:shd w:val="clear" w:color="auto" w:fill="auto"/>
            <w:noWrap/>
            <w:vAlign w:val="bottom"/>
            <w:hideMark/>
          </w:tcPr>
          <w:p w14:paraId="31081035" w14:textId="3E051FE5"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135187</w:t>
            </w:r>
            <w:r w:rsidR="00644B3A">
              <w:rPr>
                <w:rFonts w:ascii="Calibri" w:eastAsia="Times New Roman" w:hAnsi="Calibri" w:cs="Calibri"/>
                <w:color w:val="000000"/>
                <w:sz w:val="18"/>
                <w:szCs w:val="18"/>
                <w:lang w:val="es-CL" w:eastAsia="es-CL"/>
              </w:rPr>
              <w:t>.0</w:t>
            </w:r>
          </w:p>
        </w:tc>
        <w:tc>
          <w:tcPr>
            <w:tcW w:w="1200" w:type="dxa"/>
            <w:tcBorders>
              <w:top w:val="single" w:sz="4" w:space="0" w:color="auto"/>
            </w:tcBorders>
            <w:shd w:val="clear" w:color="auto" w:fill="auto"/>
            <w:noWrap/>
            <w:vAlign w:val="bottom"/>
            <w:hideMark/>
          </w:tcPr>
          <w:p w14:paraId="1D62951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135691.7</w:t>
            </w:r>
          </w:p>
        </w:tc>
      </w:tr>
      <w:tr w:rsidR="00314C6B" w:rsidRPr="00314C6B" w14:paraId="5DE641B5" w14:textId="77777777" w:rsidTr="00314C6B">
        <w:trPr>
          <w:trHeight w:val="57"/>
          <w:jc w:val="center"/>
        </w:trPr>
        <w:tc>
          <w:tcPr>
            <w:tcW w:w="2120" w:type="dxa"/>
            <w:shd w:val="clear" w:color="auto" w:fill="auto"/>
            <w:noWrap/>
            <w:vAlign w:val="bottom"/>
            <w:hideMark/>
          </w:tcPr>
          <w:p w14:paraId="6DA7F37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5F33F2D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135187.6</w:t>
            </w:r>
          </w:p>
        </w:tc>
        <w:tc>
          <w:tcPr>
            <w:tcW w:w="1200" w:type="dxa"/>
            <w:shd w:val="clear" w:color="auto" w:fill="auto"/>
            <w:noWrap/>
            <w:vAlign w:val="bottom"/>
            <w:hideMark/>
          </w:tcPr>
          <w:p w14:paraId="66F847C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135700.4</w:t>
            </w:r>
          </w:p>
        </w:tc>
      </w:tr>
      <w:tr w:rsidR="00314C6B" w:rsidRPr="00314C6B" w14:paraId="32B2695D" w14:textId="77777777" w:rsidTr="00314C6B">
        <w:trPr>
          <w:trHeight w:val="57"/>
          <w:jc w:val="center"/>
        </w:trPr>
        <w:tc>
          <w:tcPr>
            <w:tcW w:w="2120" w:type="dxa"/>
            <w:shd w:val="clear" w:color="auto" w:fill="auto"/>
            <w:noWrap/>
            <w:vAlign w:val="bottom"/>
            <w:hideMark/>
          </w:tcPr>
          <w:p w14:paraId="6573A13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1FFD448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135189.7</w:t>
            </w:r>
          </w:p>
        </w:tc>
        <w:tc>
          <w:tcPr>
            <w:tcW w:w="1200" w:type="dxa"/>
            <w:shd w:val="clear" w:color="auto" w:fill="auto"/>
            <w:noWrap/>
            <w:vAlign w:val="bottom"/>
            <w:hideMark/>
          </w:tcPr>
          <w:p w14:paraId="523ABEB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135726.5</w:t>
            </w:r>
          </w:p>
        </w:tc>
      </w:tr>
      <w:tr w:rsidR="00314C6B" w:rsidRPr="00314C6B" w14:paraId="1E96666C" w14:textId="77777777" w:rsidTr="00314C6B">
        <w:trPr>
          <w:trHeight w:val="57"/>
          <w:jc w:val="center"/>
        </w:trPr>
        <w:tc>
          <w:tcPr>
            <w:tcW w:w="2120" w:type="dxa"/>
            <w:shd w:val="clear" w:color="auto" w:fill="auto"/>
            <w:noWrap/>
            <w:vAlign w:val="bottom"/>
            <w:hideMark/>
          </w:tcPr>
          <w:p w14:paraId="0180DF3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47FF1C7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135189.8</w:t>
            </w:r>
          </w:p>
        </w:tc>
        <w:tc>
          <w:tcPr>
            <w:tcW w:w="1200" w:type="dxa"/>
            <w:shd w:val="clear" w:color="auto" w:fill="auto"/>
            <w:noWrap/>
            <w:vAlign w:val="bottom"/>
            <w:hideMark/>
          </w:tcPr>
          <w:p w14:paraId="20F2D30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135710.6</w:t>
            </w:r>
          </w:p>
        </w:tc>
      </w:tr>
      <w:tr w:rsidR="00314C6B" w:rsidRPr="00314C6B" w14:paraId="42AAB1D4" w14:textId="77777777" w:rsidTr="00314C6B">
        <w:trPr>
          <w:trHeight w:val="57"/>
          <w:jc w:val="center"/>
        </w:trPr>
        <w:tc>
          <w:tcPr>
            <w:tcW w:w="2120" w:type="dxa"/>
            <w:shd w:val="clear" w:color="auto" w:fill="auto"/>
            <w:noWrap/>
            <w:vAlign w:val="bottom"/>
            <w:hideMark/>
          </w:tcPr>
          <w:p w14:paraId="0AE3FD8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6781D1A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135190.3</w:t>
            </w:r>
          </w:p>
        </w:tc>
        <w:tc>
          <w:tcPr>
            <w:tcW w:w="1200" w:type="dxa"/>
            <w:shd w:val="clear" w:color="auto" w:fill="auto"/>
            <w:noWrap/>
            <w:vAlign w:val="bottom"/>
            <w:hideMark/>
          </w:tcPr>
          <w:p w14:paraId="7A55A51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135735.1</w:t>
            </w:r>
          </w:p>
        </w:tc>
      </w:tr>
      <w:tr w:rsidR="00314C6B" w:rsidRPr="00314C6B" w14:paraId="3DAFE864" w14:textId="77777777" w:rsidTr="00314C6B">
        <w:trPr>
          <w:trHeight w:val="57"/>
          <w:jc w:val="center"/>
        </w:trPr>
        <w:tc>
          <w:tcPr>
            <w:tcW w:w="2120" w:type="dxa"/>
            <w:shd w:val="clear" w:color="auto" w:fill="auto"/>
            <w:noWrap/>
            <w:vAlign w:val="bottom"/>
            <w:hideMark/>
          </w:tcPr>
          <w:p w14:paraId="2974E97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052D065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135190.3</w:t>
            </w:r>
          </w:p>
        </w:tc>
        <w:tc>
          <w:tcPr>
            <w:tcW w:w="1200" w:type="dxa"/>
            <w:shd w:val="clear" w:color="auto" w:fill="auto"/>
            <w:noWrap/>
            <w:vAlign w:val="bottom"/>
            <w:hideMark/>
          </w:tcPr>
          <w:p w14:paraId="2B5A2E5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135687.1</w:t>
            </w:r>
          </w:p>
        </w:tc>
      </w:tr>
      <w:tr w:rsidR="00314C6B" w:rsidRPr="00314C6B" w14:paraId="73DA7DE7" w14:textId="77777777" w:rsidTr="00314C6B">
        <w:trPr>
          <w:trHeight w:val="57"/>
          <w:jc w:val="center"/>
        </w:trPr>
        <w:tc>
          <w:tcPr>
            <w:tcW w:w="2120" w:type="dxa"/>
            <w:shd w:val="clear" w:color="auto" w:fill="auto"/>
            <w:noWrap/>
            <w:vAlign w:val="bottom"/>
            <w:hideMark/>
          </w:tcPr>
          <w:p w14:paraId="20730DA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78E0C5B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135190.4</w:t>
            </w:r>
          </w:p>
        </w:tc>
        <w:tc>
          <w:tcPr>
            <w:tcW w:w="1200" w:type="dxa"/>
            <w:shd w:val="clear" w:color="auto" w:fill="auto"/>
            <w:noWrap/>
            <w:vAlign w:val="bottom"/>
            <w:hideMark/>
          </w:tcPr>
          <w:p w14:paraId="620EFBB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135719.2</w:t>
            </w:r>
          </w:p>
        </w:tc>
      </w:tr>
      <w:tr w:rsidR="00314C6B" w:rsidRPr="00314C6B" w14:paraId="07592839" w14:textId="77777777" w:rsidTr="00314C6B">
        <w:trPr>
          <w:trHeight w:val="57"/>
          <w:jc w:val="center"/>
        </w:trPr>
        <w:tc>
          <w:tcPr>
            <w:tcW w:w="2120" w:type="dxa"/>
            <w:shd w:val="clear" w:color="auto" w:fill="auto"/>
            <w:noWrap/>
            <w:vAlign w:val="bottom"/>
            <w:hideMark/>
          </w:tcPr>
          <w:p w14:paraId="201D077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14B5614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200" w:type="dxa"/>
            <w:shd w:val="clear" w:color="auto" w:fill="auto"/>
            <w:noWrap/>
            <w:vAlign w:val="bottom"/>
            <w:hideMark/>
          </w:tcPr>
          <w:p w14:paraId="0D6218AC" w14:textId="2FDA4FA6"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135746</w:t>
            </w:r>
            <w:r w:rsidR="00644B3A">
              <w:rPr>
                <w:rFonts w:ascii="Calibri" w:eastAsia="Times New Roman" w:hAnsi="Calibri" w:cs="Calibri"/>
                <w:color w:val="000000"/>
                <w:sz w:val="18"/>
                <w:szCs w:val="18"/>
                <w:lang w:val="es-CL" w:eastAsia="es-CL"/>
              </w:rPr>
              <w:t>.0</w:t>
            </w:r>
          </w:p>
        </w:tc>
      </w:tr>
      <w:tr w:rsidR="00314C6B" w:rsidRPr="00314C6B" w14:paraId="6F52CB8E" w14:textId="77777777" w:rsidTr="00314C6B">
        <w:trPr>
          <w:trHeight w:val="57"/>
          <w:jc w:val="center"/>
        </w:trPr>
        <w:tc>
          <w:tcPr>
            <w:tcW w:w="2120" w:type="dxa"/>
            <w:shd w:val="clear" w:color="auto" w:fill="auto"/>
            <w:noWrap/>
            <w:vAlign w:val="bottom"/>
            <w:hideMark/>
          </w:tcPr>
          <w:p w14:paraId="0268CCD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09879F3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200" w:type="dxa"/>
            <w:shd w:val="clear" w:color="auto" w:fill="auto"/>
            <w:noWrap/>
            <w:vAlign w:val="bottom"/>
            <w:hideMark/>
          </w:tcPr>
          <w:p w14:paraId="32F4AB0C" w14:textId="0CFBC111"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135722</w:t>
            </w:r>
            <w:r w:rsidR="00644B3A">
              <w:rPr>
                <w:rFonts w:ascii="Calibri" w:eastAsia="Times New Roman" w:hAnsi="Calibri" w:cs="Calibri"/>
                <w:color w:val="000000"/>
                <w:sz w:val="18"/>
                <w:szCs w:val="18"/>
                <w:lang w:val="es-CL" w:eastAsia="es-CL"/>
              </w:rPr>
              <w:t>.0</w:t>
            </w:r>
          </w:p>
        </w:tc>
      </w:tr>
      <w:tr w:rsidR="00314C6B" w:rsidRPr="00314C6B" w14:paraId="323EF8C0" w14:textId="77777777" w:rsidTr="00314C6B">
        <w:trPr>
          <w:trHeight w:val="57"/>
          <w:jc w:val="center"/>
        </w:trPr>
        <w:tc>
          <w:tcPr>
            <w:tcW w:w="2120" w:type="dxa"/>
            <w:shd w:val="clear" w:color="auto" w:fill="auto"/>
            <w:noWrap/>
            <w:vAlign w:val="bottom"/>
            <w:hideMark/>
          </w:tcPr>
          <w:p w14:paraId="5658003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090DC06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200" w:type="dxa"/>
            <w:shd w:val="clear" w:color="auto" w:fill="auto"/>
            <w:noWrap/>
            <w:vAlign w:val="bottom"/>
            <w:hideMark/>
          </w:tcPr>
          <w:p w14:paraId="6F9B41F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135705.9</w:t>
            </w:r>
          </w:p>
        </w:tc>
      </w:tr>
      <w:tr w:rsidR="00314C6B" w:rsidRPr="00314C6B" w14:paraId="313C277C" w14:textId="77777777" w:rsidTr="00314C6B">
        <w:trPr>
          <w:trHeight w:val="57"/>
          <w:jc w:val="center"/>
        </w:trPr>
        <w:tc>
          <w:tcPr>
            <w:tcW w:w="2120" w:type="dxa"/>
            <w:shd w:val="clear" w:color="auto" w:fill="auto"/>
            <w:noWrap/>
            <w:vAlign w:val="bottom"/>
            <w:hideMark/>
          </w:tcPr>
          <w:p w14:paraId="34D9AB0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1D82034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135193.2</w:t>
            </w:r>
          </w:p>
        </w:tc>
        <w:tc>
          <w:tcPr>
            <w:tcW w:w="1200" w:type="dxa"/>
            <w:shd w:val="clear" w:color="auto" w:fill="auto"/>
            <w:noWrap/>
            <w:vAlign w:val="bottom"/>
            <w:hideMark/>
          </w:tcPr>
          <w:p w14:paraId="1FC3AFC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135681.9</w:t>
            </w:r>
          </w:p>
        </w:tc>
      </w:tr>
      <w:tr w:rsidR="00314C6B" w:rsidRPr="00314C6B" w14:paraId="17B01A75" w14:textId="77777777" w:rsidTr="00314C6B">
        <w:trPr>
          <w:trHeight w:val="57"/>
          <w:jc w:val="center"/>
        </w:trPr>
        <w:tc>
          <w:tcPr>
            <w:tcW w:w="2120" w:type="dxa"/>
            <w:shd w:val="clear" w:color="auto" w:fill="auto"/>
            <w:noWrap/>
            <w:vAlign w:val="bottom"/>
            <w:hideMark/>
          </w:tcPr>
          <w:p w14:paraId="6BC39BF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4A43E78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135193.7</w:t>
            </w:r>
          </w:p>
        </w:tc>
        <w:tc>
          <w:tcPr>
            <w:tcW w:w="1200" w:type="dxa"/>
            <w:shd w:val="clear" w:color="auto" w:fill="auto"/>
            <w:noWrap/>
            <w:vAlign w:val="bottom"/>
            <w:hideMark/>
          </w:tcPr>
          <w:p w14:paraId="2A158C3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135754.6</w:t>
            </w:r>
          </w:p>
        </w:tc>
      </w:tr>
      <w:tr w:rsidR="00314C6B" w:rsidRPr="00314C6B" w14:paraId="207C49C4" w14:textId="77777777" w:rsidTr="00314C6B">
        <w:trPr>
          <w:trHeight w:val="57"/>
          <w:jc w:val="center"/>
        </w:trPr>
        <w:tc>
          <w:tcPr>
            <w:tcW w:w="2120" w:type="dxa"/>
            <w:shd w:val="clear" w:color="auto" w:fill="auto"/>
            <w:noWrap/>
            <w:vAlign w:val="bottom"/>
            <w:hideMark/>
          </w:tcPr>
          <w:p w14:paraId="59F3A82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738611F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135195.2</w:t>
            </w:r>
          </w:p>
        </w:tc>
        <w:tc>
          <w:tcPr>
            <w:tcW w:w="1200" w:type="dxa"/>
            <w:shd w:val="clear" w:color="auto" w:fill="auto"/>
            <w:noWrap/>
            <w:vAlign w:val="bottom"/>
            <w:hideMark/>
          </w:tcPr>
          <w:p w14:paraId="796B327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135764.1</w:t>
            </w:r>
          </w:p>
        </w:tc>
      </w:tr>
      <w:tr w:rsidR="00314C6B" w:rsidRPr="00314C6B" w14:paraId="49445FA4" w14:textId="77777777" w:rsidTr="00314C6B">
        <w:trPr>
          <w:trHeight w:val="57"/>
          <w:jc w:val="center"/>
        </w:trPr>
        <w:tc>
          <w:tcPr>
            <w:tcW w:w="2120" w:type="dxa"/>
            <w:shd w:val="clear" w:color="auto" w:fill="auto"/>
            <w:noWrap/>
            <w:vAlign w:val="bottom"/>
            <w:hideMark/>
          </w:tcPr>
          <w:p w14:paraId="5B2696C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7273416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135195.9</w:t>
            </w:r>
          </w:p>
        </w:tc>
        <w:tc>
          <w:tcPr>
            <w:tcW w:w="1200" w:type="dxa"/>
            <w:shd w:val="clear" w:color="auto" w:fill="auto"/>
            <w:noWrap/>
            <w:vAlign w:val="bottom"/>
            <w:hideMark/>
          </w:tcPr>
          <w:p w14:paraId="4AA223C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135780.7</w:t>
            </w:r>
          </w:p>
        </w:tc>
      </w:tr>
      <w:tr w:rsidR="00314C6B" w:rsidRPr="00314C6B" w14:paraId="73CE0CF8" w14:textId="77777777" w:rsidTr="00314C6B">
        <w:trPr>
          <w:trHeight w:val="57"/>
          <w:jc w:val="center"/>
        </w:trPr>
        <w:tc>
          <w:tcPr>
            <w:tcW w:w="2120" w:type="dxa"/>
            <w:shd w:val="clear" w:color="auto" w:fill="auto"/>
            <w:noWrap/>
            <w:vAlign w:val="bottom"/>
            <w:hideMark/>
          </w:tcPr>
          <w:p w14:paraId="5F15ED3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6739701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135195.9</w:t>
            </w:r>
          </w:p>
        </w:tc>
        <w:tc>
          <w:tcPr>
            <w:tcW w:w="1200" w:type="dxa"/>
            <w:shd w:val="clear" w:color="auto" w:fill="auto"/>
            <w:noWrap/>
            <w:vAlign w:val="bottom"/>
            <w:hideMark/>
          </w:tcPr>
          <w:p w14:paraId="218E869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135772.7</w:t>
            </w:r>
          </w:p>
        </w:tc>
      </w:tr>
      <w:tr w:rsidR="00314C6B" w:rsidRPr="00314C6B" w14:paraId="28CBDFA4" w14:textId="77777777" w:rsidTr="00314C6B">
        <w:trPr>
          <w:trHeight w:val="57"/>
          <w:jc w:val="center"/>
        </w:trPr>
        <w:tc>
          <w:tcPr>
            <w:tcW w:w="2120" w:type="dxa"/>
            <w:shd w:val="clear" w:color="auto" w:fill="auto"/>
            <w:noWrap/>
            <w:vAlign w:val="bottom"/>
            <w:hideMark/>
          </w:tcPr>
          <w:p w14:paraId="42D4763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6BC6DF15" w14:textId="4405295E"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w:t>
            </w:r>
            <w:r w:rsidR="00644B3A">
              <w:rPr>
                <w:rFonts w:ascii="Calibri" w:eastAsia="Times New Roman" w:hAnsi="Calibri" w:cs="Calibri"/>
                <w:color w:val="000000"/>
                <w:sz w:val="18"/>
                <w:szCs w:val="18"/>
                <w:lang w:val="es-CL" w:eastAsia="es-CL"/>
              </w:rPr>
              <w:t>.0</w:t>
            </w:r>
          </w:p>
        </w:tc>
        <w:tc>
          <w:tcPr>
            <w:tcW w:w="1200" w:type="dxa"/>
            <w:shd w:val="clear" w:color="auto" w:fill="auto"/>
            <w:noWrap/>
            <w:vAlign w:val="bottom"/>
            <w:hideMark/>
          </w:tcPr>
          <w:p w14:paraId="47692C0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135700.8</w:t>
            </w:r>
          </w:p>
        </w:tc>
      </w:tr>
      <w:tr w:rsidR="00314C6B" w:rsidRPr="00314C6B" w14:paraId="3FE819E9" w14:textId="77777777" w:rsidTr="00314C6B">
        <w:trPr>
          <w:trHeight w:val="57"/>
          <w:jc w:val="center"/>
        </w:trPr>
        <w:tc>
          <w:tcPr>
            <w:tcW w:w="2120" w:type="dxa"/>
            <w:shd w:val="clear" w:color="auto" w:fill="auto"/>
            <w:noWrap/>
            <w:vAlign w:val="bottom"/>
            <w:hideMark/>
          </w:tcPr>
          <w:p w14:paraId="304F662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710EBC4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135196.1</w:t>
            </w:r>
          </w:p>
        </w:tc>
        <w:tc>
          <w:tcPr>
            <w:tcW w:w="1200" w:type="dxa"/>
            <w:shd w:val="clear" w:color="auto" w:fill="auto"/>
            <w:noWrap/>
            <w:vAlign w:val="bottom"/>
            <w:hideMark/>
          </w:tcPr>
          <w:p w14:paraId="5D5924D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135716.8</w:t>
            </w:r>
          </w:p>
        </w:tc>
      </w:tr>
      <w:tr w:rsidR="00314C6B" w:rsidRPr="00314C6B" w14:paraId="0141E0B9" w14:textId="77777777" w:rsidTr="00314C6B">
        <w:trPr>
          <w:trHeight w:val="57"/>
          <w:jc w:val="center"/>
        </w:trPr>
        <w:tc>
          <w:tcPr>
            <w:tcW w:w="2120" w:type="dxa"/>
            <w:shd w:val="clear" w:color="auto" w:fill="auto"/>
            <w:noWrap/>
            <w:vAlign w:val="bottom"/>
            <w:hideMark/>
          </w:tcPr>
          <w:p w14:paraId="4636E18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4275CDE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135196.5</w:t>
            </w:r>
          </w:p>
        </w:tc>
        <w:tc>
          <w:tcPr>
            <w:tcW w:w="1200" w:type="dxa"/>
            <w:shd w:val="clear" w:color="auto" w:fill="auto"/>
            <w:noWrap/>
            <w:vAlign w:val="bottom"/>
            <w:hideMark/>
          </w:tcPr>
          <w:p w14:paraId="3C681D8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135789.4</w:t>
            </w:r>
          </w:p>
        </w:tc>
      </w:tr>
      <w:tr w:rsidR="00314C6B" w:rsidRPr="00314C6B" w14:paraId="04D25B91" w14:textId="77777777" w:rsidTr="00314C6B">
        <w:trPr>
          <w:trHeight w:val="57"/>
          <w:jc w:val="center"/>
        </w:trPr>
        <w:tc>
          <w:tcPr>
            <w:tcW w:w="2120" w:type="dxa"/>
            <w:shd w:val="clear" w:color="auto" w:fill="auto"/>
            <w:noWrap/>
            <w:vAlign w:val="bottom"/>
            <w:hideMark/>
          </w:tcPr>
          <w:p w14:paraId="5756C56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36E053C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135196.5</w:t>
            </w:r>
          </w:p>
        </w:tc>
        <w:tc>
          <w:tcPr>
            <w:tcW w:w="1200" w:type="dxa"/>
            <w:shd w:val="clear" w:color="auto" w:fill="auto"/>
            <w:noWrap/>
            <w:vAlign w:val="bottom"/>
            <w:hideMark/>
          </w:tcPr>
          <w:p w14:paraId="56FB615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135741.3</w:t>
            </w:r>
          </w:p>
        </w:tc>
      </w:tr>
      <w:tr w:rsidR="00314C6B" w:rsidRPr="00314C6B" w14:paraId="7FE66FE7" w14:textId="77777777" w:rsidTr="00314C6B">
        <w:trPr>
          <w:trHeight w:val="57"/>
          <w:jc w:val="center"/>
        </w:trPr>
        <w:tc>
          <w:tcPr>
            <w:tcW w:w="2120" w:type="dxa"/>
            <w:shd w:val="clear" w:color="auto" w:fill="auto"/>
            <w:noWrap/>
            <w:vAlign w:val="bottom"/>
            <w:hideMark/>
          </w:tcPr>
          <w:p w14:paraId="150F810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0ED68C1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135197.9</w:t>
            </w:r>
          </w:p>
        </w:tc>
        <w:tc>
          <w:tcPr>
            <w:tcW w:w="1200" w:type="dxa"/>
            <w:shd w:val="clear" w:color="auto" w:fill="auto"/>
            <w:noWrap/>
            <w:vAlign w:val="bottom"/>
            <w:hideMark/>
          </w:tcPr>
          <w:p w14:paraId="57CA1DC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135678.6</w:t>
            </w:r>
          </w:p>
        </w:tc>
      </w:tr>
      <w:tr w:rsidR="00314C6B" w:rsidRPr="00314C6B" w14:paraId="5BCA047F" w14:textId="77777777" w:rsidTr="00314C6B">
        <w:trPr>
          <w:trHeight w:val="57"/>
          <w:jc w:val="center"/>
        </w:trPr>
        <w:tc>
          <w:tcPr>
            <w:tcW w:w="2120" w:type="dxa"/>
            <w:shd w:val="clear" w:color="auto" w:fill="auto"/>
            <w:noWrap/>
            <w:vAlign w:val="bottom"/>
            <w:hideMark/>
          </w:tcPr>
          <w:p w14:paraId="465FEBB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68E30D5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135198.2</w:t>
            </w:r>
          </w:p>
        </w:tc>
        <w:tc>
          <w:tcPr>
            <w:tcW w:w="1200" w:type="dxa"/>
            <w:shd w:val="clear" w:color="auto" w:fill="auto"/>
            <w:noWrap/>
            <w:vAlign w:val="bottom"/>
            <w:hideMark/>
          </w:tcPr>
          <w:p w14:paraId="6982D8F4" w14:textId="5750A9FF"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135775</w:t>
            </w:r>
            <w:r w:rsidR="00644B3A">
              <w:rPr>
                <w:rFonts w:ascii="Calibri" w:eastAsia="Times New Roman" w:hAnsi="Calibri" w:cs="Calibri"/>
                <w:color w:val="000000"/>
                <w:sz w:val="18"/>
                <w:szCs w:val="18"/>
                <w:lang w:val="es-CL" w:eastAsia="es-CL"/>
              </w:rPr>
              <w:t>.0</w:t>
            </w:r>
          </w:p>
        </w:tc>
      </w:tr>
      <w:tr w:rsidR="00314C6B" w:rsidRPr="00314C6B" w14:paraId="20668383" w14:textId="77777777" w:rsidTr="00314C6B">
        <w:trPr>
          <w:trHeight w:val="57"/>
          <w:jc w:val="center"/>
        </w:trPr>
        <w:tc>
          <w:tcPr>
            <w:tcW w:w="2120" w:type="dxa"/>
            <w:shd w:val="clear" w:color="auto" w:fill="auto"/>
            <w:noWrap/>
            <w:vAlign w:val="bottom"/>
            <w:hideMark/>
          </w:tcPr>
          <w:p w14:paraId="701B5FA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6530F8C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135198.5</w:t>
            </w:r>
          </w:p>
        </w:tc>
        <w:tc>
          <w:tcPr>
            <w:tcW w:w="1200" w:type="dxa"/>
            <w:shd w:val="clear" w:color="auto" w:fill="auto"/>
            <w:noWrap/>
            <w:vAlign w:val="bottom"/>
            <w:hideMark/>
          </w:tcPr>
          <w:p w14:paraId="22C5FC2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135759.3</w:t>
            </w:r>
          </w:p>
        </w:tc>
      </w:tr>
      <w:tr w:rsidR="00314C6B" w:rsidRPr="00314C6B" w14:paraId="1E02C6E7" w14:textId="77777777" w:rsidTr="00314C6B">
        <w:trPr>
          <w:trHeight w:val="57"/>
          <w:jc w:val="center"/>
        </w:trPr>
        <w:tc>
          <w:tcPr>
            <w:tcW w:w="2120" w:type="dxa"/>
            <w:shd w:val="clear" w:color="auto" w:fill="auto"/>
            <w:noWrap/>
            <w:vAlign w:val="bottom"/>
            <w:hideMark/>
          </w:tcPr>
          <w:p w14:paraId="17D0064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lastRenderedPageBreak/>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228E2C9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135199.3</w:t>
            </w:r>
          </w:p>
        </w:tc>
        <w:tc>
          <w:tcPr>
            <w:tcW w:w="1200" w:type="dxa"/>
            <w:shd w:val="clear" w:color="auto" w:fill="auto"/>
            <w:noWrap/>
            <w:vAlign w:val="bottom"/>
            <w:hideMark/>
          </w:tcPr>
          <w:p w14:paraId="435138F4" w14:textId="293F734E"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135736</w:t>
            </w:r>
            <w:r w:rsidR="00644B3A">
              <w:rPr>
                <w:rFonts w:ascii="Calibri" w:eastAsia="Times New Roman" w:hAnsi="Calibri" w:cs="Calibri"/>
                <w:color w:val="000000"/>
                <w:sz w:val="18"/>
                <w:szCs w:val="18"/>
                <w:lang w:val="es-CL" w:eastAsia="es-CL"/>
              </w:rPr>
              <w:t>.0</w:t>
            </w:r>
          </w:p>
        </w:tc>
      </w:tr>
      <w:tr w:rsidR="00314C6B" w:rsidRPr="00314C6B" w14:paraId="58C634E3" w14:textId="77777777" w:rsidTr="00314C6B">
        <w:trPr>
          <w:trHeight w:val="57"/>
          <w:jc w:val="center"/>
        </w:trPr>
        <w:tc>
          <w:tcPr>
            <w:tcW w:w="2120" w:type="dxa"/>
            <w:shd w:val="clear" w:color="auto" w:fill="auto"/>
            <w:noWrap/>
            <w:vAlign w:val="bottom"/>
            <w:hideMark/>
          </w:tcPr>
          <w:p w14:paraId="6B9552B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=9)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5A9375F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135199.5</w:t>
            </w:r>
          </w:p>
        </w:tc>
        <w:tc>
          <w:tcPr>
            <w:tcW w:w="1200" w:type="dxa"/>
            <w:shd w:val="clear" w:color="auto" w:fill="auto"/>
            <w:noWrap/>
            <w:vAlign w:val="bottom"/>
            <w:hideMark/>
          </w:tcPr>
          <w:p w14:paraId="66229BF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135800.4</w:t>
            </w:r>
          </w:p>
        </w:tc>
      </w:tr>
      <w:tr w:rsidR="00314C6B" w:rsidRPr="00314C6B" w14:paraId="410AD1DA" w14:textId="77777777" w:rsidTr="00314C6B">
        <w:trPr>
          <w:trHeight w:val="57"/>
          <w:jc w:val="center"/>
        </w:trPr>
        <w:tc>
          <w:tcPr>
            <w:tcW w:w="2120" w:type="dxa"/>
            <w:shd w:val="clear" w:color="auto" w:fill="auto"/>
            <w:noWrap/>
            <w:vAlign w:val="bottom"/>
            <w:hideMark/>
          </w:tcPr>
          <w:p w14:paraId="46E7C05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43CB3F5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200" w:type="dxa"/>
            <w:shd w:val="clear" w:color="auto" w:fill="auto"/>
            <w:noWrap/>
            <w:vAlign w:val="bottom"/>
            <w:hideMark/>
          </w:tcPr>
          <w:p w14:paraId="674AF0F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135753.2</w:t>
            </w:r>
          </w:p>
        </w:tc>
      </w:tr>
      <w:tr w:rsidR="00314C6B" w:rsidRPr="00314C6B" w14:paraId="35519FCE" w14:textId="77777777" w:rsidTr="00314C6B">
        <w:trPr>
          <w:trHeight w:val="57"/>
          <w:jc w:val="center"/>
        </w:trPr>
        <w:tc>
          <w:tcPr>
            <w:tcW w:w="2120" w:type="dxa"/>
            <w:shd w:val="clear" w:color="auto" w:fill="auto"/>
            <w:noWrap/>
            <w:vAlign w:val="bottom"/>
            <w:hideMark/>
          </w:tcPr>
          <w:p w14:paraId="572172C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=10)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393D53A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200" w:type="dxa"/>
            <w:shd w:val="clear" w:color="auto" w:fill="auto"/>
            <w:noWrap/>
            <w:vAlign w:val="bottom"/>
            <w:hideMark/>
          </w:tcPr>
          <w:p w14:paraId="00BEDDD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135809.3</w:t>
            </w:r>
          </w:p>
        </w:tc>
      </w:tr>
      <w:tr w:rsidR="00314C6B" w:rsidRPr="00314C6B" w14:paraId="55348EA1" w14:textId="77777777" w:rsidTr="00314C6B">
        <w:trPr>
          <w:trHeight w:val="57"/>
          <w:jc w:val="center"/>
        </w:trPr>
        <w:tc>
          <w:tcPr>
            <w:tcW w:w="2120" w:type="dxa"/>
            <w:shd w:val="clear" w:color="auto" w:fill="auto"/>
            <w:noWrap/>
            <w:vAlign w:val="bottom"/>
            <w:hideMark/>
          </w:tcPr>
          <w:p w14:paraId="176C70B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362DCBE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135200.4</w:t>
            </w:r>
          </w:p>
        </w:tc>
        <w:tc>
          <w:tcPr>
            <w:tcW w:w="1200" w:type="dxa"/>
            <w:shd w:val="clear" w:color="auto" w:fill="auto"/>
            <w:noWrap/>
            <w:vAlign w:val="bottom"/>
            <w:hideMark/>
          </w:tcPr>
          <w:p w14:paraId="15F438D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135769.3</w:t>
            </w:r>
          </w:p>
        </w:tc>
      </w:tr>
      <w:tr w:rsidR="00314C6B" w:rsidRPr="00314C6B" w14:paraId="4CD1BA38" w14:textId="77777777" w:rsidTr="00314C6B">
        <w:trPr>
          <w:trHeight w:val="57"/>
          <w:jc w:val="center"/>
        </w:trPr>
        <w:tc>
          <w:tcPr>
            <w:tcW w:w="2120" w:type="dxa"/>
            <w:shd w:val="clear" w:color="auto" w:fill="auto"/>
            <w:noWrap/>
            <w:vAlign w:val="bottom"/>
            <w:hideMark/>
          </w:tcPr>
          <w:p w14:paraId="5C50951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1A75AFE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135200.6</w:t>
            </w:r>
          </w:p>
        </w:tc>
        <w:tc>
          <w:tcPr>
            <w:tcW w:w="1200" w:type="dxa"/>
            <w:shd w:val="clear" w:color="auto" w:fill="auto"/>
            <w:noWrap/>
            <w:vAlign w:val="bottom"/>
            <w:hideMark/>
          </w:tcPr>
          <w:p w14:paraId="2FEA5BD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135713.4</w:t>
            </w:r>
          </w:p>
        </w:tc>
      </w:tr>
      <w:tr w:rsidR="00314C6B" w:rsidRPr="00314C6B" w14:paraId="2B012B60" w14:textId="77777777" w:rsidTr="00314C6B">
        <w:trPr>
          <w:trHeight w:val="57"/>
          <w:jc w:val="center"/>
        </w:trPr>
        <w:tc>
          <w:tcPr>
            <w:tcW w:w="2120" w:type="dxa"/>
            <w:shd w:val="clear" w:color="auto" w:fill="auto"/>
            <w:noWrap/>
            <w:vAlign w:val="bottom"/>
            <w:hideMark/>
          </w:tcPr>
          <w:p w14:paraId="24E1C6E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0497FCC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135200.7</w:t>
            </w:r>
          </w:p>
        </w:tc>
        <w:tc>
          <w:tcPr>
            <w:tcW w:w="1200" w:type="dxa"/>
            <w:shd w:val="clear" w:color="auto" w:fill="auto"/>
            <w:noWrap/>
            <w:vAlign w:val="bottom"/>
            <w:hideMark/>
          </w:tcPr>
          <w:p w14:paraId="55C96A5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135697.5</w:t>
            </w:r>
          </w:p>
        </w:tc>
      </w:tr>
      <w:tr w:rsidR="00314C6B" w:rsidRPr="00314C6B" w14:paraId="529CFFCC" w14:textId="77777777" w:rsidTr="00314C6B">
        <w:trPr>
          <w:trHeight w:val="57"/>
          <w:jc w:val="center"/>
        </w:trPr>
        <w:tc>
          <w:tcPr>
            <w:tcW w:w="2120" w:type="dxa"/>
            <w:shd w:val="clear" w:color="auto" w:fill="auto"/>
            <w:noWrap/>
            <w:vAlign w:val="bottom"/>
            <w:hideMark/>
          </w:tcPr>
          <w:p w14:paraId="66E9DC5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=8)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34B5CC1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135200.9</w:t>
            </w:r>
          </w:p>
        </w:tc>
        <w:tc>
          <w:tcPr>
            <w:tcW w:w="1200" w:type="dxa"/>
            <w:shd w:val="clear" w:color="auto" w:fill="auto"/>
            <w:noWrap/>
            <w:vAlign w:val="bottom"/>
            <w:hideMark/>
          </w:tcPr>
          <w:p w14:paraId="3D6479A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135793.8</w:t>
            </w:r>
          </w:p>
        </w:tc>
      </w:tr>
      <w:tr w:rsidR="00314C6B" w:rsidRPr="00314C6B" w14:paraId="78EFD39E" w14:textId="77777777" w:rsidTr="00314C6B">
        <w:trPr>
          <w:trHeight w:val="57"/>
          <w:jc w:val="center"/>
        </w:trPr>
        <w:tc>
          <w:tcPr>
            <w:tcW w:w="2120" w:type="dxa"/>
            <w:shd w:val="clear" w:color="auto" w:fill="auto"/>
            <w:noWrap/>
            <w:vAlign w:val="bottom"/>
            <w:hideMark/>
          </w:tcPr>
          <w:p w14:paraId="6C0E0B0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71CAD8A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135203.7</w:t>
            </w:r>
          </w:p>
        </w:tc>
        <w:tc>
          <w:tcPr>
            <w:tcW w:w="1200" w:type="dxa"/>
            <w:shd w:val="clear" w:color="auto" w:fill="auto"/>
            <w:noWrap/>
            <w:vAlign w:val="bottom"/>
            <w:hideMark/>
          </w:tcPr>
          <w:p w14:paraId="0DE72E8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135732.5</w:t>
            </w:r>
          </w:p>
        </w:tc>
      </w:tr>
      <w:tr w:rsidR="00314C6B" w:rsidRPr="00314C6B" w14:paraId="26FF754E" w14:textId="77777777" w:rsidTr="00314C6B">
        <w:trPr>
          <w:trHeight w:val="57"/>
          <w:jc w:val="center"/>
        </w:trPr>
        <w:tc>
          <w:tcPr>
            <w:tcW w:w="2120" w:type="dxa"/>
            <w:shd w:val="clear" w:color="auto" w:fill="auto"/>
            <w:noWrap/>
            <w:vAlign w:val="bottom"/>
            <w:hideMark/>
          </w:tcPr>
          <w:p w14:paraId="23963C8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559DB34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135204.3</w:t>
            </w:r>
          </w:p>
        </w:tc>
        <w:tc>
          <w:tcPr>
            <w:tcW w:w="1200" w:type="dxa"/>
            <w:shd w:val="clear" w:color="auto" w:fill="auto"/>
            <w:noWrap/>
            <w:vAlign w:val="bottom"/>
            <w:hideMark/>
          </w:tcPr>
          <w:p w14:paraId="1DF3A4A1" w14:textId="2218E99B"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135677</w:t>
            </w:r>
            <w:r w:rsidR="00644B3A">
              <w:rPr>
                <w:rFonts w:ascii="Calibri" w:eastAsia="Times New Roman" w:hAnsi="Calibri" w:cs="Calibri"/>
                <w:color w:val="000000"/>
                <w:sz w:val="18"/>
                <w:szCs w:val="18"/>
                <w:lang w:val="es-CL" w:eastAsia="es-CL"/>
              </w:rPr>
              <w:t>.0</w:t>
            </w:r>
          </w:p>
        </w:tc>
      </w:tr>
      <w:tr w:rsidR="00314C6B" w:rsidRPr="00314C6B" w14:paraId="77E25007" w14:textId="77777777" w:rsidTr="00314C6B">
        <w:trPr>
          <w:trHeight w:val="57"/>
          <w:jc w:val="center"/>
        </w:trPr>
        <w:tc>
          <w:tcPr>
            <w:tcW w:w="2120" w:type="dxa"/>
            <w:shd w:val="clear" w:color="auto" w:fill="auto"/>
            <w:noWrap/>
            <w:vAlign w:val="bottom"/>
            <w:hideMark/>
          </w:tcPr>
          <w:p w14:paraId="3143E96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155D295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135205.3</w:t>
            </w:r>
          </w:p>
        </w:tc>
        <w:tc>
          <w:tcPr>
            <w:tcW w:w="1200" w:type="dxa"/>
            <w:shd w:val="clear" w:color="auto" w:fill="auto"/>
            <w:noWrap/>
            <w:vAlign w:val="bottom"/>
            <w:hideMark/>
          </w:tcPr>
          <w:p w14:paraId="3207FF8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135750.1</w:t>
            </w:r>
          </w:p>
        </w:tc>
      </w:tr>
      <w:tr w:rsidR="00314C6B" w:rsidRPr="00314C6B" w14:paraId="72DA56ED" w14:textId="77777777" w:rsidTr="00314C6B">
        <w:trPr>
          <w:trHeight w:val="57"/>
          <w:jc w:val="center"/>
        </w:trPr>
        <w:tc>
          <w:tcPr>
            <w:tcW w:w="2120" w:type="dxa"/>
            <w:shd w:val="clear" w:color="auto" w:fill="auto"/>
            <w:noWrap/>
            <w:vAlign w:val="bottom"/>
            <w:hideMark/>
          </w:tcPr>
          <w:p w14:paraId="40251E0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=7)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6AFD7AD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135205.9</w:t>
            </w:r>
          </w:p>
        </w:tc>
        <w:tc>
          <w:tcPr>
            <w:tcW w:w="1200" w:type="dxa"/>
            <w:shd w:val="clear" w:color="auto" w:fill="auto"/>
            <w:noWrap/>
            <w:vAlign w:val="bottom"/>
            <w:hideMark/>
          </w:tcPr>
          <w:p w14:paraId="195F29F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135790.7</w:t>
            </w:r>
          </w:p>
        </w:tc>
      </w:tr>
      <w:tr w:rsidR="00314C6B" w:rsidRPr="00314C6B" w14:paraId="6D337849" w14:textId="77777777" w:rsidTr="00314C6B">
        <w:trPr>
          <w:trHeight w:val="57"/>
          <w:jc w:val="center"/>
        </w:trPr>
        <w:tc>
          <w:tcPr>
            <w:tcW w:w="2120" w:type="dxa"/>
            <w:shd w:val="clear" w:color="auto" w:fill="auto"/>
            <w:noWrap/>
            <w:vAlign w:val="bottom"/>
            <w:hideMark/>
          </w:tcPr>
          <w:p w14:paraId="3D45ACA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34FD1B2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135206.8</w:t>
            </w:r>
          </w:p>
        </w:tc>
        <w:tc>
          <w:tcPr>
            <w:tcW w:w="1200" w:type="dxa"/>
            <w:shd w:val="clear" w:color="auto" w:fill="auto"/>
            <w:noWrap/>
            <w:vAlign w:val="bottom"/>
            <w:hideMark/>
          </w:tcPr>
          <w:p w14:paraId="6D0829A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135767.6</w:t>
            </w:r>
          </w:p>
        </w:tc>
      </w:tr>
      <w:tr w:rsidR="00314C6B" w:rsidRPr="00314C6B" w14:paraId="0E28E45A" w14:textId="77777777" w:rsidTr="00314C6B">
        <w:trPr>
          <w:trHeight w:val="57"/>
          <w:jc w:val="center"/>
        </w:trPr>
        <w:tc>
          <w:tcPr>
            <w:tcW w:w="2120" w:type="dxa"/>
            <w:shd w:val="clear" w:color="auto" w:fill="auto"/>
            <w:noWrap/>
            <w:vAlign w:val="bottom"/>
            <w:hideMark/>
          </w:tcPr>
          <w:p w14:paraId="6A9A696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40CA690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135206.9</w:t>
            </w:r>
          </w:p>
        </w:tc>
        <w:tc>
          <w:tcPr>
            <w:tcW w:w="1200" w:type="dxa"/>
            <w:shd w:val="clear" w:color="auto" w:fill="auto"/>
            <w:noWrap/>
            <w:vAlign w:val="bottom"/>
            <w:hideMark/>
          </w:tcPr>
          <w:p w14:paraId="302B74B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135711.6</w:t>
            </w:r>
          </w:p>
        </w:tc>
      </w:tr>
      <w:tr w:rsidR="00314C6B" w:rsidRPr="00314C6B" w14:paraId="31CAE1E1" w14:textId="77777777" w:rsidTr="00314C6B">
        <w:trPr>
          <w:trHeight w:val="57"/>
          <w:jc w:val="center"/>
        </w:trPr>
        <w:tc>
          <w:tcPr>
            <w:tcW w:w="2120" w:type="dxa"/>
            <w:shd w:val="clear" w:color="auto" w:fill="auto"/>
            <w:noWrap/>
            <w:vAlign w:val="bottom"/>
            <w:hideMark/>
          </w:tcPr>
          <w:p w14:paraId="51CD04B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4139FCC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135207.2</w:t>
            </w:r>
          </w:p>
        </w:tc>
        <w:tc>
          <w:tcPr>
            <w:tcW w:w="1200" w:type="dxa"/>
            <w:shd w:val="clear" w:color="auto" w:fill="auto"/>
            <w:noWrap/>
            <w:vAlign w:val="bottom"/>
            <w:hideMark/>
          </w:tcPr>
          <w:p w14:paraId="68A234A7" w14:textId="3B1E31DD"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135696</w:t>
            </w:r>
            <w:r w:rsidR="00644B3A">
              <w:rPr>
                <w:rFonts w:ascii="Calibri" w:eastAsia="Times New Roman" w:hAnsi="Calibri" w:cs="Calibri"/>
                <w:color w:val="000000"/>
                <w:sz w:val="18"/>
                <w:szCs w:val="18"/>
                <w:lang w:val="es-CL" w:eastAsia="es-CL"/>
              </w:rPr>
              <w:t>.0</w:t>
            </w:r>
          </w:p>
        </w:tc>
      </w:tr>
      <w:tr w:rsidR="00314C6B" w:rsidRPr="00314C6B" w14:paraId="0378D37B" w14:textId="77777777" w:rsidTr="00314C6B">
        <w:trPr>
          <w:trHeight w:val="57"/>
          <w:jc w:val="center"/>
        </w:trPr>
        <w:tc>
          <w:tcPr>
            <w:tcW w:w="2120" w:type="dxa"/>
            <w:shd w:val="clear" w:color="auto" w:fill="auto"/>
            <w:noWrap/>
            <w:vAlign w:val="bottom"/>
            <w:hideMark/>
          </w:tcPr>
          <w:p w14:paraId="4F484E3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23ECF61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135209.8</w:t>
            </w:r>
          </w:p>
        </w:tc>
        <w:tc>
          <w:tcPr>
            <w:tcW w:w="1200" w:type="dxa"/>
            <w:shd w:val="clear" w:color="auto" w:fill="auto"/>
            <w:noWrap/>
            <w:vAlign w:val="bottom"/>
            <w:hideMark/>
          </w:tcPr>
          <w:p w14:paraId="54A9719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135730.6</w:t>
            </w:r>
          </w:p>
        </w:tc>
      </w:tr>
      <w:tr w:rsidR="00314C6B" w:rsidRPr="00314C6B" w14:paraId="31CFEAEF" w14:textId="77777777" w:rsidTr="00314C6B">
        <w:trPr>
          <w:trHeight w:val="57"/>
          <w:jc w:val="center"/>
        </w:trPr>
        <w:tc>
          <w:tcPr>
            <w:tcW w:w="2120" w:type="dxa"/>
            <w:shd w:val="clear" w:color="auto" w:fill="auto"/>
            <w:noWrap/>
            <w:vAlign w:val="bottom"/>
            <w:hideMark/>
          </w:tcPr>
          <w:p w14:paraId="4D55CCA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=6)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6F9A157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135210.4</w:t>
            </w:r>
          </w:p>
        </w:tc>
        <w:tc>
          <w:tcPr>
            <w:tcW w:w="1200" w:type="dxa"/>
            <w:shd w:val="clear" w:color="auto" w:fill="auto"/>
            <w:noWrap/>
            <w:vAlign w:val="bottom"/>
            <w:hideMark/>
          </w:tcPr>
          <w:p w14:paraId="053733E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135787.3</w:t>
            </w:r>
          </w:p>
        </w:tc>
      </w:tr>
      <w:tr w:rsidR="00314C6B" w:rsidRPr="00314C6B" w14:paraId="186E1428" w14:textId="77777777" w:rsidTr="00314C6B">
        <w:trPr>
          <w:trHeight w:val="57"/>
          <w:jc w:val="center"/>
        </w:trPr>
        <w:tc>
          <w:tcPr>
            <w:tcW w:w="2120" w:type="dxa"/>
            <w:shd w:val="clear" w:color="auto" w:fill="auto"/>
            <w:noWrap/>
            <w:vAlign w:val="bottom"/>
            <w:hideMark/>
          </w:tcPr>
          <w:p w14:paraId="1074928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6325949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135210.9</w:t>
            </w:r>
          </w:p>
        </w:tc>
        <w:tc>
          <w:tcPr>
            <w:tcW w:w="1200" w:type="dxa"/>
            <w:shd w:val="clear" w:color="auto" w:fill="auto"/>
            <w:noWrap/>
            <w:vAlign w:val="bottom"/>
            <w:hideMark/>
          </w:tcPr>
          <w:p w14:paraId="33C1448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135779.8</w:t>
            </w:r>
          </w:p>
        </w:tc>
      </w:tr>
      <w:tr w:rsidR="00314C6B" w:rsidRPr="00314C6B" w14:paraId="6F6C0F2F" w14:textId="77777777" w:rsidTr="00314C6B">
        <w:trPr>
          <w:trHeight w:val="57"/>
          <w:jc w:val="center"/>
        </w:trPr>
        <w:tc>
          <w:tcPr>
            <w:tcW w:w="2120" w:type="dxa"/>
            <w:shd w:val="clear" w:color="auto" w:fill="auto"/>
            <w:noWrap/>
            <w:vAlign w:val="bottom"/>
            <w:hideMark/>
          </w:tcPr>
          <w:p w14:paraId="52080FB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1A4F700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135211.4</w:t>
            </w:r>
          </w:p>
        </w:tc>
        <w:tc>
          <w:tcPr>
            <w:tcW w:w="1200" w:type="dxa"/>
            <w:shd w:val="clear" w:color="auto" w:fill="auto"/>
            <w:noWrap/>
            <w:vAlign w:val="bottom"/>
            <w:hideMark/>
          </w:tcPr>
          <w:p w14:paraId="748A0EF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135764.2</w:t>
            </w:r>
          </w:p>
        </w:tc>
      </w:tr>
      <w:tr w:rsidR="00314C6B" w:rsidRPr="00314C6B" w14:paraId="60156449" w14:textId="77777777" w:rsidTr="00314C6B">
        <w:trPr>
          <w:trHeight w:val="57"/>
          <w:jc w:val="center"/>
        </w:trPr>
        <w:tc>
          <w:tcPr>
            <w:tcW w:w="2120" w:type="dxa"/>
            <w:shd w:val="clear" w:color="auto" w:fill="auto"/>
            <w:noWrap/>
            <w:vAlign w:val="bottom"/>
            <w:hideMark/>
          </w:tcPr>
          <w:p w14:paraId="1F8F83F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=5)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5FC6B1B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135212.6</w:t>
            </w:r>
          </w:p>
        </w:tc>
        <w:tc>
          <w:tcPr>
            <w:tcW w:w="1200" w:type="dxa"/>
            <w:shd w:val="clear" w:color="auto" w:fill="auto"/>
            <w:noWrap/>
            <w:vAlign w:val="bottom"/>
            <w:hideMark/>
          </w:tcPr>
          <w:p w14:paraId="649C6D2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135749.4</w:t>
            </w:r>
          </w:p>
        </w:tc>
      </w:tr>
      <w:tr w:rsidR="00314C6B" w:rsidRPr="00314C6B" w14:paraId="7EE98889" w14:textId="77777777" w:rsidTr="00314C6B">
        <w:trPr>
          <w:trHeight w:val="57"/>
          <w:jc w:val="center"/>
        </w:trPr>
        <w:tc>
          <w:tcPr>
            <w:tcW w:w="2120" w:type="dxa"/>
            <w:shd w:val="clear" w:color="auto" w:fill="auto"/>
            <w:noWrap/>
            <w:vAlign w:val="bottom"/>
            <w:hideMark/>
          </w:tcPr>
          <w:p w14:paraId="2FB537E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562EB4F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135213.4</w:t>
            </w:r>
          </w:p>
        </w:tc>
        <w:tc>
          <w:tcPr>
            <w:tcW w:w="1200" w:type="dxa"/>
            <w:shd w:val="clear" w:color="auto" w:fill="auto"/>
            <w:noWrap/>
            <w:vAlign w:val="bottom"/>
            <w:hideMark/>
          </w:tcPr>
          <w:p w14:paraId="58E25BD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135774.3</w:t>
            </w:r>
          </w:p>
        </w:tc>
      </w:tr>
      <w:tr w:rsidR="00314C6B" w:rsidRPr="00314C6B" w14:paraId="0E0B65E2" w14:textId="77777777" w:rsidTr="00314C6B">
        <w:trPr>
          <w:trHeight w:val="57"/>
          <w:jc w:val="center"/>
        </w:trPr>
        <w:tc>
          <w:tcPr>
            <w:tcW w:w="2120" w:type="dxa"/>
            <w:shd w:val="clear" w:color="auto" w:fill="auto"/>
            <w:noWrap/>
            <w:vAlign w:val="bottom"/>
            <w:hideMark/>
          </w:tcPr>
          <w:p w14:paraId="6027FCA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7913BF4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135214.3</w:t>
            </w:r>
          </w:p>
        </w:tc>
        <w:tc>
          <w:tcPr>
            <w:tcW w:w="1200" w:type="dxa"/>
            <w:shd w:val="clear" w:color="auto" w:fill="auto"/>
            <w:noWrap/>
            <w:vAlign w:val="bottom"/>
            <w:hideMark/>
          </w:tcPr>
          <w:p w14:paraId="059DB3E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135759.1</w:t>
            </w:r>
          </w:p>
        </w:tc>
      </w:tr>
      <w:tr w:rsidR="00314C6B" w:rsidRPr="00314C6B" w14:paraId="085F8A94" w14:textId="77777777" w:rsidTr="00314C6B">
        <w:trPr>
          <w:trHeight w:val="57"/>
          <w:jc w:val="center"/>
        </w:trPr>
        <w:tc>
          <w:tcPr>
            <w:tcW w:w="2120" w:type="dxa"/>
            <w:shd w:val="clear" w:color="auto" w:fill="auto"/>
            <w:noWrap/>
            <w:vAlign w:val="bottom"/>
            <w:hideMark/>
          </w:tcPr>
          <w:p w14:paraId="6650551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32DCF97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135216.6</w:t>
            </w:r>
          </w:p>
        </w:tc>
        <w:tc>
          <w:tcPr>
            <w:tcW w:w="1200" w:type="dxa"/>
            <w:shd w:val="clear" w:color="auto" w:fill="auto"/>
            <w:noWrap/>
            <w:vAlign w:val="bottom"/>
            <w:hideMark/>
          </w:tcPr>
          <w:p w14:paraId="625C421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135769.4</w:t>
            </w:r>
          </w:p>
        </w:tc>
      </w:tr>
      <w:tr w:rsidR="00314C6B" w:rsidRPr="00314C6B" w14:paraId="6D31278D" w14:textId="77777777" w:rsidTr="00314C6B">
        <w:trPr>
          <w:trHeight w:val="57"/>
          <w:jc w:val="center"/>
        </w:trPr>
        <w:tc>
          <w:tcPr>
            <w:tcW w:w="2120" w:type="dxa"/>
            <w:shd w:val="clear" w:color="auto" w:fill="auto"/>
            <w:noWrap/>
            <w:vAlign w:val="bottom"/>
            <w:hideMark/>
          </w:tcPr>
          <w:p w14:paraId="545401A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35D0D5E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135216.7</w:t>
            </w:r>
          </w:p>
        </w:tc>
        <w:tc>
          <w:tcPr>
            <w:tcW w:w="1200" w:type="dxa"/>
            <w:shd w:val="clear" w:color="auto" w:fill="auto"/>
            <w:noWrap/>
            <w:vAlign w:val="bottom"/>
            <w:hideMark/>
          </w:tcPr>
          <w:p w14:paraId="27AB2ED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135753.5</w:t>
            </w:r>
          </w:p>
        </w:tc>
      </w:tr>
      <w:tr w:rsidR="00314C6B" w:rsidRPr="00314C6B" w14:paraId="731837E3" w14:textId="77777777" w:rsidTr="00314C6B">
        <w:trPr>
          <w:trHeight w:val="57"/>
          <w:jc w:val="center"/>
        </w:trPr>
        <w:tc>
          <w:tcPr>
            <w:tcW w:w="2120" w:type="dxa"/>
            <w:shd w:val="clear" w:color="auto" w:fill="auto"/>
            <w:noWrap/>
            <w:vAlign w:val="bottom"/>
            <w:hideMark/>
          </w:tcPr>
          <w:p w14:paraId="11C73B9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2345008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135221.2</w:t>
            </w:r>
          </w:p>
        </w:tc>
        <w:tc>
          <w:tcPr>
            <w:tcW w:w="1200" w:type="dxa"/>
            <w:shd w:val="clear" w:color="auto" w:fill="auto"/>
            <w:noWrap/>
            <w:vAlign w:val="bottom"/>
            <w:hideMark/>
          </w:tcPr>
          <w:p w14:paraId="2931B5CD" w14:textId="224D6FBD"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135750</w:t>
            </w:r>
            <w:r w:rsidR="00644B3A">
              <w:rPr>
                <w:rFonts w:ascii="Calibri" w:eastAsia="Times New Roman" w:hAnsi="Calibri" w:cs="Calibri"/>
                <w:color w:val="000000"/>
                <w:sz w:val="18"/>
                <w:szCs w:val="18"/>
                <w:lang w:val="es-CL" w:eastAsia="es-CL"/>
              </w:rPr>
              <w:t>.0</w:t>
            </w:r>
          </w:p>
        </w:tc>
      </w:tr>
      <w:tr w:rsidR="00314C6B" w:rsidRPr="00314C6B" w14:paraId="78C1B0F5" w14:textId="77777777" w:rsidTr="00314C6B">
        <w:trPr>
          <w:trHeight w:val="57"/>
          <w:jc w:val="center"/>
        </w:trPr>
        <w:tc>
          <w:tcPr>
            <w:tcW w:w="2120" w:type="dxa"/>
            <w:shd w:val="clear" w:color="auto" w:fill="auto"/>
            <w:noWrap/>
            <w:vAlign w:val="bottom"/>
            <w:hideMark/>
          </w:tcPr>
          <w:p w14:paraId="0324E51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3974A2B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135223.1</w:t>
            </w:r>
          </w:p>
        </w:tc>
        <w:tc>
          <w:tcPr>
            <w:tcW w:w="1200" w:type="dxa"/>
            <w:shd w:val="clear" w:color="auto" w:fill="auto"/>
            <w:noWrap/>
            <w:vAlign w:val="bottom"/>
            <w:hideMark/>
          </w:tcPr>
          <w:p w14:paraId="4A92B1F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135743.9</w:t>
            </w:r>
          </w:p>
        </w:tc>
      </w:tr>
      <w:tr w:rsidR="00314C6B" w:rsidRPr="00314C6B" w14:paraId="09CAD00F" w14:textId="77777777" w:rsidTr="00314C6B">
        <w:trPr>
          <w:trHeight w:val="57"/>
          <w:jc w:val="center"/>
        </w:trPr>
        <w:tc>
          <w:tcPr>
            <w:tcW w:w="2120" w:type="dxa"/>
            <w:shd w:val="clear" w:color="auto" w:fill="auto"/>
            <w:noWrap/>
            <w:vAlign w:val="bottom"/>
            <w:hideMark/>
          </w:tcPr>
          <w:p w14:paraId="39AEA69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7C3A6F08" w14:textId="2984FA44"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135225</w:t>
            </w:r>
            <w:r w:rsidR="00644B3A">
              <w:rPr>
                <w:rFonts w:ascii="Calibri" w:eastAsia="Times New Roman" w:hAnsi="Calibri" w:cs="Calibri"/>
                <w:color w:val="000000"/>
                <w:sz w:val="18"/>
                <w:szCs w:val="18"/>
                <w:lang w:val="es-CL" w:eastAsia="es-CL"/>
              </w:rPr>
              <w:t>.0</w:t>
            </w:r>
          </w:p>
        </w:tc>
        <w:tc>
          <w:tcPr>
            <w:tcW w:w="1200" w:type="dxa"/>
            <w:shd w:val="clear" w:color="auto" w:fill="auto"/>
            <w:noWrap/>
            <w:vAlign w:val="bottom"/>
            <w:hideMark/>
          </w:tcPr>
          <w:p w14:paraId="68C2873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135721.8</w:t>
            </w:r>
          </w:p>
        </w:tc>
      </w:tr>
      <w:tr w:rsidR="00314C6B" w:rsidRPr="00314C6B" w14:paraId="42364743" w14:textId="77777777" w:rsidTr="00314C6B">
        <w:trPr>
          <w:trHeight w:val="57"/>
          <w:jc w:val="center"/>
        </w:trPr>
        <w:tc>
          <w:tcPr>
            <w:tcW w:w="2120" w:type="dxa"/>
            <w:shd w:val="clear" w:color="auto" w:fill="auto"/>
            <w:noWrap/>
            <w:vAlign w:val="bottom"/>
            <w:hideMark/>
          </w:tcPr>
          <w:p w14:paraId="449C78F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41D940F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135225.7</w:t>
            </w:r>
          </w:p>
        </w:tc>
        <w:tc>
          <w:tcPr>
            <w:tcW w:w="1200" w:type="dxa"/>
            <w:shd w:val="clear" w:color="auto" w:fill="auto"/>
            <w:noWrap/>
            <w:vAlign w:val="bottom"/>
            <w:hideMark/>
          </w:tcPr>
          <w:p w14:paraId="469E4E7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135690.4</w:t>
            </w:r>
          </w:p>
        </w:tc>
      </w:tr>
      <w:tr w:rsidR="00314C6B" w:rsidRPr="00314C6B" w14:paraId="33893713" w14:textId="77777777" w:rsidTr="00314C6B">
        <w:trPr>
          <w:trHeight w:val="57"/>
          <w:jc w:val="center"/>
        </w:trPr>
        <w:tc>
          <w:tcPr>
            <w:tcW w:w="2120" w:type="dxa"/>
            <w:shd w:val="clear" w:color="auto" w:fill="auto"/>
            <w:noWrap/>
            <w:vAlign w:val="bottom"/>
            <w:hideMark/>
          </w:tcPr>
          <w:p w14:paraId="3758A91C"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5F5C73D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135228.6</w:t>
            </w:r>
          </w:p>
        </w:tc>
        <w:tc>
          <w:tcPr>
            <w:tcW w:w="1200" w:type="dxa"/>
            <w:shd w:val="clear" w:color="auto" w:fill="auto"/>
            <w:noWrap/>
            <w:vAlign w:val="bottom"/>
            <w:hideMark/>
          </w:tcPr>
          <w:p w14:paraId="78D58CD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135709.3</w:t>
            </w:r>
          </w:p>
        </w:tc>
      </w:tr>
      <w:tr w:rsidR="00314C6B" w:rsidRPr="00314C6B" w14:paraId="7A9C579B" w14:textId="77777777" w:rsidTr="00314C6B">
        <w:trPr>
          <w:trHeight w:val="57"/>
          <w:jc w:val="center"/>
        </w:trPr>
        <w:tc>
          <w:tcPr>
            <w:tcW w:w="2120" w:type="dxa"/>
            <w:shd w:val="clear" w:color="auto" w:fill="auto"/>
            <w:noWrap/>
            <w:vAlign w:val="bottom"/>
            <w:hideMark/>
          </w:tcPr>
          <w:p w14:paraId="3212B07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=4)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12079F0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135231.7</w:t>
            </w:r>
          </w:p>
        </w:tc>
        <w:tc>
          <w:tcPr>
            <w:tcW w:w="1200" w:type="dxa"/>
            <w:shd w:val="clear" w:color="auto" w:fill="auto"/>
            <w:noWrap/>
            <w:vAlign w:val="bottom"/>
            <w:hideMark/>
          </w:tcPr>
          <w:p w14:paraId="496D211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135744.5</w:t>
            </w:r>
          </w:p>
        </w:tc>
      </w:tr>
      <w:tr w:rsidR="00314C6B" w:rsidRPr="00314C6B" w14:paraId="0290CB45" w14:textId="77777777" w:rsidTr="00314C6B">
        <w:trPr>
          <w:trHeight w:val="57"/>
          <w:jc w:val="center"/>
        </w:trPr>
        <w:tc>
          <w:tcPr>
            <w:tcW w:w="2120" w:type="dxa"/>
            <w:shd w:val="clear" w:color="auto" w:fill="auto"/>
            <w:noWrap/>
            <w:vAlign w:val="bottom"/>
            <w:hideMark/>
          </w:tcPr>
          <w:p w14:paraId="5AD9E21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73C3BE9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135247.2</w:t>
            </w:r>
          </w:p>
        </w:tc>
        <w:tc>
          <w:tcPr>
            <w:tcW w:w="1200" w:type="dxa"/>
            <w:shd w:val="clear" w:color="auto" w:fill="auto"/>
            <w:noWrap/>
            <w:vAlign w:val="bottom"/>
            <w:hideMark/>
          </w:tcPr>
          <w:p w14:paraId="3774453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135751.9</w:t>
            </w:r>
          </w:p>
        </w:tc>
      </w:tr>
      <w:tr w:rsidR="00314C6B" w:rsidRPr="00314C6B" w14:paraId="1144246A" w14:textId="77777777" w:rsidTr="00314C6B">
        <w:trPr>
          <w:trHeight w:val="57"/>
          <w:jc w:val="center"/>
        </w:trPr>
        <w:tc>
          <w:tcPr>
            <w:tcW w:w="2120" w:type="dxa"/>
            <w:shd w:val="clear" w:color="auto" w:fill="auto"/>
            <w:noWrap/>
            <w:vAlign w:val="bottom"/>
            <w:hideMark/>
          </w:tcPr>
          <w:p w14:paraId="07D2B99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3A2666B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135257.3</w:t>
            </w:r>
          </w:p>
        </w:tc>
        <w:tc>
          <w:tcPr>
            <w:tcW w:w="1200" w:type="dxa"/>
            <w:shd w:val="clear" w:color="auto" w:fill="auto"/>
            <w:noWrap/>
            <w:vAlign w:val="bottom"/>
            <w:hideMark/>
          </w:tcPr>
          <w:p w14:paraId="6E3F664A" w14:textId="23A22D5D"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135714</w:t>
            </w:r>
            <w:r w:rsidR="00644B3A">
              <w:rPr>
                <w:rFonts w:ascii="Calibri" w:eastAsia="Times New Roman" w:hAnsi="Calibri" w:cs="Calibri"/>
                <w:color w:val="000000"/>
                <w:sz w:val="18"/>
                <w:szCs w:val="18"/>
                <w:lang w:val="es-CL" w:eastAsia="es-CL"/>
              </w:rPr>
              <w:t>.0</w:t>
            </w:r>
          </w:p>
        </w:tc>
      </w:tr>
      <w:tr w:rsidR="00314C6B" w:rsidRPr="00314C6B" w14:paraId="2C993D90" w14:textId="77777777" w:rsidTr="00314C6B">
        <w:trPr>
          <w:trHeight w:val="57"/>
          <w:jc w:val="center"/>
        </w:trPr>
        <w:tc>
          <w:tcPr>
            <w:tcW w:w="2120" w:type="dxa"/>
            <w:shd w:val="clear" w:color="auto" w:fill="auto"/>
            <w:noWrap/>
            <w:vAlign w:val="bottom"/>
            <w:hideMark/>
          </w:tcPr>
          <w:p w14:paraId="7E35AFF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6CACEFD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135259.3</w:t>
            </w:r>
          </w:p>
        </w:tc>
        <w:tc>
          <w:tcPr>
            <w:tcW w:w="1200" w:type="dxa"/>
            <w:shd w:val="clear" w:color="auto" w:fill="auto"/>
            <w:noWrap/>
            <w:vAlign w:val="bottom"/>
            <w:hideMark/>
          </w:tcPr>
          <w:p w14:paraId="417B2723" w14:textId="4DC2CC5B"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135748</w:t>
            </w:r>
            <w:r w:rsidR="00644B3A">
              <w:rPr>
                <w:rFonts w:ascii="Calibri" w:eastAsia="Times New Roman" w:hAnsi="Calibri" w:cs="Calibri"/>
                <w:color w:val="000000"/>
                <w:sz w:val="18"/>
                <w:szCs w:val="18"/>
                <w:lang w:val="es-CL" w:eastAsia="es-CL"/>
              </w:rPr>
              <w:t>.0</w:t>
            </w:r>
          </w:p>
        </w:tc>
      </w:tr>
      <w:tr w:rsidR="00314C6B" w:rsidRPr="00314C6B" w14:paraId="2A1F4A1C" w14:textId="77777777" w:rsidTr="00314C6B">
        <w:trPr>
          <w:trHeight w:val="57"/>
          <w:jc w:val="center"/>
        </w:trPr>
        <w:tc>
          <w:tcPr>
            <w:tcW w:w="2120" w:type="dxa"/>
            <w:shd w:val="clear" w:color="auto" w:fill="auto"/>
            <w:noWrap/>
            <w:vAlign w:val="bottom"/>
            <w:hideMark/>
          </w:tcPr>
          <w:p w14:paraId="0DDB7A9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=3)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37FB561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135259.9</w:t>
            </w:r>
          </w:p>
        </w:tc>
        <w:tc>
          <w:tcPr>
            <w:tcW w:w="1200" w:type="dxa"/>
            <w:shd w:val="clear" w:color="auto" w:fill="auto"/>
            <w:noWrap/>
            <w:vAlign w:val="bottom"/>
            <w:hideMark/>
          </w:tcPr>
          <w:p w14:paraId="40236D2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135732.6</w:t>
            </w:r>
          </w:p>
        </w:tc>
      </w:tr>
      <w:tr w:rsidR="00314C6B" w:rsidRPr="00314C6B" w14:paraId="5CC440E7" w14:textId="77777777" w:rsidTr="00314C6B">
        <w:trPr>
          <w:trHeight w:val="57"/>
          <w:jc w:val="center"/>
        </w:trPr>
        <w:tc>
          <w:tcPr>
            <w:tcW w:w="2120" w:type="dxa"/>
            <w:shd w:val="clear" w:color="auto" w:fill="auto"/>
            <w:noWrap/>
            <w:vAlign w:val="bottom"/>
            <w:hideMark/>
          </w:tcPr>
          <w:p w14:paraId="0D6ADEF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57F7F4C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135266.7</w:t>
            </w:r>
          </w:p>
        </w:tc>
        <w:tc>
          <w:tcPr>
            <w:tcW w:w="1200" w:type="dxa"/>
            <w:shd w:val="clear" w:color="auto" w:fill="auto"/>
            <w:noWrap/>
            <w:vAlign w:val="bottom"/>
            <w:hideMark/>
          </w:tcPr>
          <w:p w14:paraId="5E75803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135795.5</w:t>
            </w:r>
          </w:p>
        </w:tc>
      </w:tr>
      <w:tr w:rsidR="00314C6B" w:rsidRPr="00314C6B" w14:paraId="005CBAFC" w14:textId="77777777" w:rsidTr="00314C6B">
        <w:trPr>
          <w:trHeight w:val="57"/>
          <w:jc w:val="center"/>
        </w:trPr>
        <w:tc>
          <w:tcPr>
            <w:tcW w:w="2120" w:type="dxa"/>
            <w:shd w:val="clear" w:color="auto" w:fill="auto"/>
            <w:noWrap/>
            <w:vAlign w:val="bottom"/>
            <w:hideMark/>
          </w:tcPr>
          <w:p w14:paraId="6FFABAF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00E3F997" w14:textId="6CCCD8DB"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135267</w:t>
            </w:r>
            <w:r w:rsidR="00644B3A">
              <w:rPr>
                <w:rFonts w:ascii="Calibri" w:eastAsia="Times New Roman" w:hAnsi="Calibri" w:cs="Calibri"/>
                <w:color w:val="000000"/>
                <w:sz w:val="18"/>
                <w:szCs w:val="18"/>
                <w:lang w:val="es-CL" w:eastAsia="es-CL"/>
              </w:rPr>
              <w:t>.0</w:t>
            </w:r>
          </w:p>
        </w:tc>
        <w:tc>
          <w:tcPr>
            <w:tcW w:w="1200" w:type="dxa"/>
            <w:shd w:val="clear" w:color="auto" w:fill="auto"/>
            <w:noWrap/>
            <w:vAlign w:val="bottom"/>
            <w:hideMark/>
          </w:tcPr>
          <w:p w14:paraId="44EAD791"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135811.8</w:t>
            </w:r>
          </w:p>
        </w:tc>
      </w:tr>
      <w:tr w:rsidR="00314C6B" w:rsidRPr="00314C6B" w14:paraId="3A01C4C9" w14:textId="77777777" w:rsidTr="00314C6B">
        <w:trPr>
          <w:trHeight w:val="57"/>
          <w:jc w:val="center"/>
        </w:trPr>
        <w:tc>
          <w:tcPr>
            <w:tcW w:w="2120" w:type="dxa"/>
            <w:shd w:val="clear" w:color="auto" w:fill="auto"/>
            <w:noWrap/>
            <w:vAlign w:val="bottom"/>
            <w:hideMark/>
          </w:tcPr>
          <w:p w14:paraId="007E044E"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7D77E4F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135271.6</w:t>
            </w:r>
          </w:p>
        </w:tc>
        <w:tc>
          <w:tcPr>
            <w:tcW w:w="1200" w:type="dxa"/>
            <w:shd w:val="clear" w:color="auto" w:fill="auto"/>
            <w:noWrap/>
            <w:vAlign w:val="bottom"/>
            <w:hideMark/>
          </w:tcPr>
          <w:p w14:paraId="7B990FD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135784.4</w:t>
            </w:r>
          </w:p>
        </w:tc>
      </w:tr>
      <w:tr w:rsidR="00314C6B" w:rsidRPr="00314C6B" w14:paraId="71EE0CAB" w14:textId="77777777" w:rsidTr="00314C6B">
        <w:trPr>
          <w:trHeight w:val="57"/>
          <w:jc w:val="center"/>
        </w:trPr>
        <w:tc>
          <w:tcPr>
            <w:tcW w:w="2120" w:type="dxa"/>
            <w:shd w:val="clear" w:color="auto" w:fill="auto"/>
            <w:noWrap/>
            <w:vAlign w:val="bottom"/>
            <w:hideMark/>
          </w:tcPr>
          <w:p w14:paraId="70E71B7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6D15E39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135285.9</w:t>
            </w:r>
          </w:p>
        </w:tc>
        <w:tc>
          <w:tcPr>
            <w:tcW w:w="1200" w:type="dxa"/>
            <w:shd w:val="clear" w:color="auto" w:fill="auto"/>
            <w:noWrap/>
            <w:vAlign w:val="bottom"/>
            <w:hideMark/>
          </w:tcPr>
          <w:p w14:paraId="7BC93B1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135782.6</w:t>
            </w:r>
          </w:p>
        </w:tc>
      </w:tr>
      <w:tr w:rsidR="00314C6B" w:rsidRPr="00314C6B" w14:paraId="208A2092" w14:textId="77777777" w:rsidTr="00314C6B">
        <w:trPr>
          <w:trHeight w:val="57"/>
          <w:jc w:val="center"/>
        </w:trPr>
        <w:tc>
          <w:tcPr>
            <w:tcW w:w="2120" w:type="dxa"/>
            <w:shd w:val="clear" w:color="auto" w:fill="auto"/>
            <w:noWrap/>
            <w:vAlign w:val="bottom"/>
            <w:hideMark/>
          </w:tcPr>
          <w:p w14:paraId="5468F86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5A0F549F"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135313.8</w:t>
            </w:r>
          </w:p>
        </w:tc>
        <w:tc>
          <w:tcPr>
            <w:tcW w:w="1200" w:type="dxa"/>
            <w:shd w:val="clear" w:color="auto" w:fill="auto"/>
            <w:noWrap/>
            <w:vAlign w:val="bottom"/>
            <w:hideMark/>
          </w:tcPr>
          <w:p w14:paraId="192E4E9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135794.5</w:t>
            </w:r>
          </w:p>
        </w:tc>
      </w:tr>
      <w:tr w:rsidR="00314C6B" w:rsidRPr="00314C6B" w14:paraId="5CD2FD3D" w14:textId="77777777" w:rsidTr="00314C6B">
        <w:trPr>
          <w:trHeight w:val="57"/>
          <w:jc w:val="center"/>
        </w:trPr>
        <w:tc>
          <w:tcPr>
            <w:tcW w:w="2120" w:type="dxa"/>
            <w:shd w:val="clear" w:color="auto" w:fill="auto"/>
            <w:noWrap/>
            <w:vAlign w:val="bottom"/>
            <w:hideMark/>
          </w:tcPr>
          <w:p w14:paraId="6E104479"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=6)</w:t>
            </w:r>
          </w:p>
        </w:tc>
        <w:tc>
          <w:tcPr>
            <w:tcW w:w="1200" w:type="dxa"/>
            <w:shd w:val="clear" w:color="auto" w:fill="auto"/>
            <w:noWrap/>
            <w:vAlign w:val="bottom"/>
            <w:hideMark/>
          </w:tcPr>
          <w:p w14:paraId="011FC21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135425.7</w:t>
            </w:r>
          </w:p>
        </w:tc>
        <w:tc>
          <w:tcPr>
            <w:tcW w:w="1200" w:type="dxa"/>
            <w:shd w:val="clear" w:color="auto" w:fill="auto"/>
            <w:noWrap/>
            <w:vAlign w:val="bottom"/>
            <w:hideMark/>
          </w:tcPr>
          <w:p w14:paraId="3A65574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135946.4</w:t>
            </w:r>
          </w:p>
        </w:tc>
      </w:tr>
      <w:tr w:rsidR="00314C6B" w:rsidRPr="00314C6B" w14:paraId="7C864AC8" w14:textId="77777777" w:rsidTr="00314C6B">
        <w:trPr>
          <w:trHeight w:val="57"/>
          <w:jc w:val="center"/>
        </w:trPr>
        <w:tc>
          <w:tcPr>
            <w:tcW w:w="2120" w:type="dxa"/>
            <w:shd w:val="clear" w:color="auto" w:fill="auto"/>
            <w:noWrap/>
            <w:vAlign w:val="bottom"/>
            <w:hideMark/>
          </w:tcPr>
          <w:p w14:paraId="2549F16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=7)</w:t>
            </w:r>
          </w:p>
        </w:tc>
        <w:tc>
          <w:tcPr>
            <w:tcW w:w="1200" w:type="dxa"/>
            <w:shd w:val="clear" w:color="auto" w:fill="auto"/>
            <w:noWrap/>
            <w:vAlign w:val="bottom"/>
            <w:hideMark/>
          </w:tcPr>
          <w:p w14:paraId="20BF4AB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135426.1</w:t>
            </w:r>
          </w:p>
        </w:tc>
        <w:tc>
          <w:tcPr>
            <w:tcW w:w="1200" w:type="dxa"/>
            <w:shd w:val="clear" w:color="auto" w:fill="auto"/>
            <w:noWrap/>
            <w:vAlign w:val="bottom"/>
            <w:hideMark/>
          </w:tcPr>
          <w:p w14:paraId="65A16AA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135962.9</w:t>
            </w:r>
          </w:p>
        </w:tc>
      </w:tr>
      <w:tr w:rsidR="00314C6B" w:rsidRPr="00314C6B" w14:paraId="5558D8A6" w14:textId="77777777" w:rsidTr="00314C6B">
        <w:trPr>
          <w:trHeight w:val="57"/>
          <w:jc w:val="center"/>
        </w:trPr>
        <w:tc>
          <w:tcPr>
            <w:tcW w:w="2120" w:type="dxa"/>
            <w:shd w:val="clear" w:color="auto" w:fill="auto"/>
            <w:noWrap/>
            <w:vAlign w:val="bottom"/>
            <w:hideMark/>
          </w:tcPr>
          <w:p w14:paraId="46EFD5F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=5)</w:t>
            </w:r>
          </w:p>
        </w:tc>
        <w:tc>
          <w:tcPr>
            <w:tcW w:w="1200" w:type="dxa"/>
            <w:shd w:val="clear" w:color="auto" w:fill="auto"/>
            <w:noWrap/>
            <w:vAlign w:val="bottom"/>
            <w:hideMark/>
          </w:tcPr>
          <w:p w14:paraId="79F1242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135430.7</w:t>
            </w:r>
          </w:p>
        </w:tc>
        <w:tc>
          <w:tcPr>
            <w:tcW w:w="1200" w:type="dxa"/>
            <w:shd w:val="clear" w:color="auto" w:fill="auto"/>
            <w:noWrap/>
            <w:vAlign w:val="bottom"/>
            <w:hideMark/>
          </w:tcPr>
          <w:p w14:paraId="3304AC7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135935.4</w:t>
            </w:r>
          </w:p>
        </w:tc>
      </w:tr>
      <w:tr w:rsidR="00314C6B" w:rsidRPr="00314C6B" w14:paraId="4E974C7F" w14:textId="77777777" w:rsidTr="00314C6B">
        <w:trPr>
          <w:trHeight w:val="57"/>
          <w:jc w:val="center"/>
        </w:trPr>
        <w:tc>
          <w:tcPr>
            <w:tcW w:w="2120" w:type="dxa"/>
            <w:shd w:val="clear" w:color="auto" w:fill="auto"/>
            <w:noWrap/>
            <w:vAlign w:val="bottom"/>
            <w:hideMark/>
          </w:tcPr>
          <w:p w14:paraId="4C7C317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5382A847"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135439.3</w:t>
            </w:r>
          </w:p>
        </w:tc>
        <w:tc>
          <w:tcPr>
            <w:tcW w:w="1200" w:type="dxa"/>
            <w:shd w:val="clear" w:color="auto" w:fill="auto"/>
            <w:noWrap/>
            <w:vAlign w:val="bottom"/>
            <w:hideMark/>
          </w:tcPr>
          <w:p w14:paraId="567E83E8" w14:textId="1656A448"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135904</w:t>
            </w:r>
            <w:r w:rsidR="00644B3A">
              <w:rPr>
                <w:rFonts w:ascii="Calibri" w:eastAsia="Times New Roman" w:hAnsi="Calibri" w:cs="Calibri"/>
                <w:color w:val="000000"/>
                <w:sz w:val="18"/>
                <w:szCs w:val="18"/>
                <w:lang w:val="es-CL" w:eastAsia="es-CL"/>
              </w:rPr>
              <w:t>.0</w:t>
            </w:r>
          </w:p>
        </w:tc>
      </w:tr>
      <w:tr w:rsidR="00314C6B" w:rsidRPr="00314C6B" w14:paraId="4F8CA122" w14:textId="77777777" w:rsidTr="00314C6B">
        <w:trPr>
          <w:trHeight w:val="57"/>
          <w:jc w:val="center"/>
        </w:trPr>
        <w:tc>
          <w:tcPr>
            <w:tcW w:w="2120" w:type="dxa"/>
            <w:shd w:val="clear" w:color="auto" w:fill="auto"/>
            <w:noWrap/>
            <w:vAlign w:val="bottom"/>
            <w:hideMark/>
          </w:tcPr>
          <w:p w14:paraId="1D5E8F9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=2)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4FB7331A"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135439.5</w:t>
            </w:r>
          </w:p>
        </w:tc>
        <w:tc>
          <w:tcPr>
            <w:tcW w:w="1200" w:type="dxa"/>
            <w:shd w:val="clear" w:color="auto" w:fill="auto"/>
            <w:noWrap/>
            <w:vAlign w:val="bottom"/>
            <w:hideMark/>
          </w:tcPr>
          <w:p w14:paraId="42303C7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135888.1</w:t>
            </w:r>
          </w:p>
        </w:tc>
      </w:tr>
      <w:tr w:rsidR="00314C6B" w:rsidRPr="00314C6B" w14:paraId="59F465D8" w14:textId="77777777" w:rsidTr="00314C6B">
        <w:trPr>
          <w:trHeight w:val="57"/>
          <w:jc w:val="center"/>
        </w:trPr>
        <w:tc>
          <w:tcPr>
            <w:tcW w:w="2120" w:type="dxa"/>
            <w:shd w:val="clear" w:color="auto" w:fill="auto"/>
            <w:noWrap/>
            <w:vAlign w:val="bottom"/>
            <w:hideMark/>
          </w:tcPr>
          <w:p w14:paraId="610E7183"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=4)</w:t>
            </w:r>
          </w:p>
        </w:tc>
        <w:tc>
          <w:tcPr>
            <w:tcW w:w="1200" w:type="dxa"/>
            <w:shd w:val="clear" w:color="auto" w:fill="auto"/>
            <w:noWrap/>
            <w:vAlign w:val="bottom"/>
            <w:hideMark/>
          </w:tcPr>
          <w:p w14:paraId="02259878"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135444.4</w:t>
            </w:r>
          </w:p>
        </w:tc>
        <w:tc>
          <w:tcPr>
            <w:tcW w:w="1200" w:type="dxa"/>
            <w:shd w:val="clear" w:color="auto" w:fill="auto"/>
            <w:noWrap/>
            <w:vAlign w:val="bottom"/>
            <w:hideMark/>
          </w:tcPr>
          <w:p w14:paraId="7756D9F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135933.1</w:t>
            </w:r>
          </w:p>
        </w:tc>
      </w:tr>
      <w:tr w:rsidR="00314C6B" w:rsidRPr="00314C6B" w14:paraId="41598A4B" w14:textId="77777777" w:rsidTr="00314C6B">
        <w:trPr>
          <w:trHeight w:val="57"/>
          <w:jc w:val="center"/>
        </w:trPr>
        <w:tc>
          <w:tcPr>
            <w:tcW w:w="2120" w:type="dxa"/>
            <w:shd w:val="clear" w:color="auto" w:fill="auto"/>
            <w:noWrap/>
            <w:vAlign w:val="bottom"/>
            <w:hideMark/>
          </w:tcPr>
          <w:p w14:paraId="0FF3F826"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=3)</w:t>
            </w:r>
          </w:p>
        </w:tc>
        <w:tc>
          <w:tcPr>
            <w:tcW w:w="1200" w:type="dxa"/>
            <w:shd w:val="clear" w:color="auto" w:fill="auto"/>
            <w:noWrap/>
            <w:vAlign w:val="bottom"/>
            <w:hideMark/>
          </w:tcPr>
          <w:p w14:paraId="1D8373C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135466.7</w:t>
            </w:r>
          </w:p>
        </w:tc>
        <w:tc>
          <w:tcPr>
            <w:tcW w:w="1200" w:type="dxa"/>
            <w:shd w:val="clear" w:color="auto" w:fill="auto"/>
            <w:noWrap/>
            <w:vAlign w:val="bottom"/>
            <w:hideMark/>
          </w:tcPr>
          <w:p w14:paraId="56FCF540"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135939.4</w:t>
            </w:r>
          </w:p>
        </w:tc>
      </w:tr>
      <w:tr w:rsidR="00314C6B" w:rsidRPr="00314C6B" w14:paraId="4A9170A9" w14:textId="77777777" w:rsidTr="00314C6B">
        <w:trPr>
          <w:trHeight w:val="57"/>
          <w:jc w:val="center"/>
        </w:trPr>
        <w:tc>
          <w:tcPr>
            <w:tcW w:w="2120" w:type="dxa"/>
            <w:shd w:val="clear" w:color="auto" w:fill="auto"/>
            <w:noWrap/>
            <w:vAlign w:val="bottom"/>
            <w:hideMark/>
          </w:tcPr>
          <w:p w14:paraId="231B244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=2)</w:t>
            </w:r>
          </w:p>
        </w:tc>
        <w:tc>
          <w:tcPr>
            <w:tcW w:w="1200" w:type="dxa"/>
            <w:shd w:val="clear" w:color="auto" w:fill="auto"/>
            <w:noWrap/>
            <w:vAlign w:val="bottom"/>
            <w:hideMark/>
          </w:tcPr>
          <w:p w14:paraId="634AB69D"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135593.9</w:t>
            </w:r>
          </w:p>
        </w:tc>
        <w:tc>
          <w:tcPr>
            <w:tcW w:w="1200" w:type="dxa"/>
            <w:shd w:val="clear" w:color="auto" w:fill="auto"/>
            <w:noWrap/>
            <w:vAlign w:val="bottom"/>
            <w:hideMark/>
          </w:tcPr>
          <w:p w14:paraId="444C9F8B"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136050.6</w:t>
            </w:r>
          </w:p>
        </w:tc>
      </w:tr>
      <w:tr w:rsidR="00314C6B" w:rsidRPr="00314C6B" w14:paraId="2FC3DD97" w14:textId="77777777" w:rsidTr="00314C6B">
        <w:trPr>
          <w:trHeight w:val="57"/>
          <w:jc w:val="center"/>
        </w:trPr>
        <w:tc>
          <w:tcPr>
            <w:tcW w:w="2120" w:type="dxa"/>
            <w:shd w:val="clear" w:color="auto" w:fill="auto"/>
            <w:noWrap/>
            <w:vAlign w:val="bottom"/>
            <w:hideMark/>
          </w:tcPr>
          <w:p w14:paraId="489BE314"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proofErr w:type="spellStart"/>
            <w:r w:rsidRPr="00314C6B">
              <w:rPr>
                <w:rFonts w:ascii="Calibri" w:eastAsia="Times New Roman" w:hAnsi="Calibri" w:cs="Calibri"/>
                <w:color w:val="000000"/>
                <w:sz w:val="18"/>
                <w:szCs w:val="18"/>
                <w:lang w:val="es-CL" w:eastAsia="es-CL"/>
              </w:rPr>
              <w:t>rp</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 xml:space="preserve">=1) </w:t>
            </w:r>
            <w:proofErr w:type="spellStart"/>
            <w:r w:rsidRPr="00314C6B">
              <w:rPr>
                <w:rFonts w:ascii="Calibri" w:eastAsia="Times New Roman" w:hAnsi="Calibri" w:cs="Calibri"/>
                <w:color w:val="000000"/>
                <w:sz w:val="18"/>
                <w:szCs w:val="18"/>
                <w:lang w:val="es-CL" w:eastAsia="es-CL"/>
              </w:rPr>
              <w:t>tvc</w:t>
            </w:r>
            <w:proofErr w:type="spellEnd"/>
            <w:r w:rsidRPr="00314C6B">
              <w:rPr>
                <w:rFonts w:ascii="Calibri" w:eastAsia="Times New Roman" w:hAnsi="Calibri" w:cs="Calibri"/>
                <w:color w:val="000000"/>
                <w:sz w:val="18"/>
                <w:szCs w:val="18"/>
                <w:lang w:val="es-CL" w:eastAsia="es-CL"/>
              </w:rPr>
              <w:t xml:space="preserve"> (</w:t>
            </w:r>
            <w:proofErr w:type="spellStart"/>
            <w:r w:rsidRPr="00314C6B">
              <w:rPr>
                <w:rFonts w:ascii="Calibri" w:eastAsia="Times New Roman" w:hAnsi="Calibri" w:cs="Calibri"/>
                <w:color w:val="000000"/>
                <w:sz w:val="18"/>
                <w:szCs w:val="18"/>
                <w:lang w:val="es-CL" w:eastAsia="es-CL"/>
              </w:rPr>
              <w:t>df</w:t>
            </w:r>
            <w:proofErr w:type="spellEnd"/>
            <w:r w:rsidRPr="00314C6B">
              <w:rPr>
                <w:rFonts w:ascii="Calibri" w:eastAsia="Times New Roman" w:hAnsi="Calibri" w:cs="Calibri"/>
                <w:color w:val="000000"/>
                <w:sz w:val="18"/>
                <w:szCs w:val="18"/>
                <w:lang w:val="es-CL" w:eastAsia="es-CL"/>
              </w:rPr>
              <w:t>=1)</w:t>
            </w:r>
          </w:p>
        </w:tc>
        <w:tc>
          <w:tcPr>
            <w:tcW w:w="1200" w:type="dxa"/>
            <w:shd w:val="clear" w:color="auto" w:fill="auto"/>
            <w:noWrap/>
            <w:vAlign w:val="bottom"/>
            <w:hideMark/>
          </w:tcPr>
          <w:p w14:paraId="1F634E62"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136344.2</w:t>
            </w:r>
          </w:p>
        </w:tc>
        <w:tc>
          <w:tcPr>
            <w:tcW w:w="1200" w:type="dxa"/>
            <w:shd w:val="clear" w:color="auto" w:fill="auto"/>
            <w:noWrap/>
            <w:vAlign w:val="bottom"/>
            <w:hideMark/>
          </w:tcPr>
          <w:p w14:paraId="3FC2D075" w14:textId="77777777" w:rsidR="00314C6B" w:rsidRPr="00314C6B" w:rsidRDefault="00314C6B" w:rsidP="00314C6B">
            <w:pPr>
              <w:spacing w:after="0" w:line="240" w:lineRule="auto"/>
              <w:rPr>
                <w:rFonts w:ascii="Calibri" w:eastAsia="Times New Roman" w:hAnsi="Calibri" w:cs="Calibri"/>
                <w:color w:val="000000"/>
                <w:sz w:val="18"/>
                <w:szCs w:val="18"/>
                <w:lang w:val="es-CL" w:eastAsia="es-CL"/>
              </w:rPr>
            </w:pPr>
            <w:r w:rsidRPr="00314C6B">
              <w:rPr>
                <w:rFonts w:ascii="Calibri" w:eastAsia="Times New Roman" w:hAnsi="Calibri" w:cs="Calibri"/>
                <w:color w:val="000000"/>
                <w:sz w:val="18"/>
                <w:szCs w:val="18"/>
                <w:lang w:val="es-CL" w:eastAsia="es-CL"/>
              </w:rPr>
              <w:t>136784.9</w:t>
            </w:r>
          </w:p>
        </w:tc>
      </w:tr>
    </w:tbl>
    <w:p w14:paraId="39968045" w14:textId="225FC95B" w:rsidR="00314C6B" w:rsidRPr="00314C6B" w:rsidRDefault="00314C6B" w:rsidP="00314C6B">
      <w:pPr>
        <w:ind w:left="720"/>
        <w:rPr>
          <w:i/>
          <w:iCs/>
          <w:lang w:val="en-GB"/>
        </w:rPr>
      </w:pPr>
      <w:r w:rsidRPr="00314C6B">
        <w:rPr>
          <w:i/>
          <w:iCs/>
          <w:sz w:val="20"/>
          <w:szCs w:val="20"/>
          <w:lang w:val="en-GB"/>
        </w:rPr>
        <w:t xml:space="preserve">RP = Restricted cubic splines in the baseline cumulative hazards; </w:t>
      </w:r>
      <w:proofErr w:type="spellStart"/>
      <w:r w:rsidRPr="00314C6B">
        <w:rPr>
          <w:i/>
          <w:iCs/>
          <w:sz w:val="20"/>
          <w:szCs w:val="20"/>
          <w:lang w:val="en-GB"/>
        </w:rPr>
        <w:t>tvc</w:t>
      </w:r>
      <w:proofErr w:type="spellEnd"/>
      <w:r w:rsidRPr="00314C6B">
        <w:rPr>
          <w:i/>
          <w:iCs/>
          <w:sz w:val="20"/>
          <w:szCs w:val="20"/>
          <w:lang w:val="en-GB"/>
        </w:rPr>
        <w:t>= Restricted cubic splines in time-varying coefficients.</w:t>
      </w:r>
    </w:p>
    <w:p w14:paraId="60E5931C" w14:textId="77777777" w:rsidR="00EA64D9" w:rsidRDefault="00EA64D9" w:rsidP="00314C6B">
      <w:pPr>
        <w:rPr>
          <w:lang w:val="en-GB"/>
        </w:rPr>
      </w:pPr>
    </w:p>
    <w:p w14:paraId="5C48C427" w14:textId="7585DA69" w:rsidR="00EA64D9" w:rsidRPr="00EA64D9" w:rsidRDefault="00EA64D9" w:rsidP="00EA64D9">
      <w:pPr>
        <w:rPr>
          <w:lang w:val="en-GB"/>
        </w:rPr>
      </w:pPr>
      <w:r w:rsidRPr="00EA64D9">
        <w:rPr>
          <w:lang w:val="en-GB"/>
        </w:rPr>
        <w:t xml:space="preserve">The </w:t>
      </w:r>
      <w:r w:rsidR="003B73DD">
        <w:rPr>
          <w:lang w:val="en-GB"/>
        </w:rPr>
        <w:t xml:space="preserve">best </w:t>
      </w:r>
      <w:r w:rsidRPr="00EA64D9">
        <w:rPr>
          <w:lang w:val="en-GB"/>
        </w:rPr>
        <w:t>model</w:t>
      </w:r>
      <w:r w:rsidR="003B73DD">
        <w:rPr>
          <w:lang w:val="en-GB"/>
        </w:rPr>
        <w:t xml:space="preserve"> </w:t>
      </w:r>
      <w:r w:rsidRPr="00EA64D9">
        <w:rPr>
          <w:lang w:val="en-GB"/>
        </w:rPr>
        <w:t>ha</w:t>
      </w:r>
      <w:r w:rsidR="003B73DD">
        <w:rPr>
          <w:lang w:val="en-GB"/>
        </w:rPr>
        <w:t>d</w:t>
      </w:r>
      <w:r w:rsidRPr="00EA64D9">
        <w:rPr>
          <w:lang w:val="en-GB"/>
        </w:rPr>
        <w:t xml:space="preserve"> 8 degrees of freedom in the baseline hazard function (with potentially 7 nodes, possibly located at </w:t>
      </w:r>
      <w:r w:rsidR="00BE4902" w:rsidRPr="00BE4902">
        <w:rPr>
          <w:lang w:val="en-GB"/>
        </w:rPr>
        <w:t>12.5th, 25th, 37.5th, 50th, 62.5th, 75th, and 87.5th percentiles of the log-time distribution</w:t>
      </w:r>
      <w:r w:rsidRPr="00EA64D9">
        <w:rPr>
          <w:lang w:val="en-GB"/>
        </w:rPr>
        <w:t>)</w:t>
      </w:r>
      <w:r w:rsidR="00807D44">
        <w:rPr>
          <w:lang w:val="en-GB"/>
        </w:rPr>
        <w:t xml:space="preserve">, and an effect that represents a </w:t>
      </w:r>
      <w:proofErr w:type="spellStart"/>
      <w:r w:rsidR="00807D44">
        <w:rPr>
          <w:lang w:val="en-GB"/>
        </w:rPr>
        <w:t>monothonic</w:t>
      </w:r>
      <w:proofErr w:type="spellEnd"/>
      <w:r w:rsidR="00807D44">
        <w:rPr>
          <w:lang w:val="en-GB"/>
        </w:rPr>
        <w:t xml:space="preserve"> </w:t>
      </w:r>
      <w:r w:rsidR="00D418FD">
        <w:rPr>
          <w:lang w:val="en-GB"/>
        </w:rPr>
        <w:t xml:space="preserve">increase or </w:t>
      </w:r>
      <w:r w:rsidR="00807D44">
        <w:rPr>
          <w:lang w:val="en-GB"/>
        </w:rPr>
        <w:t xml:space="preserve">decrease (1 </w:t>
      </w:r>
      <w:proofErr w:type="spellStart"/>
      <w:r w:rsidR="00807D44">
        <w:rPr>
          <w:lang w:val="en-GB"/>
        </w:rPr>
        <w:t>d.f.</w:t>
      </w:r>
      <w:proofErr w:type="spellEnd"/>
      <w:r w:rsidR="00807D44">
        <w:rPr>
          <w:lang w:val="en-GB"/>
        </w:rPr>
        <w:t>) of treatment outcomes (shape)</w:t>
      </w:r>
      <w:r w:rsidR="00D418FD">
        <w:rPr>
          <w:lang w:val="en-GB"/>
        </w:rPr>
        <w:t xml:space="preserve"> over follow-up time</w:t>
      </w:r>
      <w:r w:rsidRPr="00EA64D9">
        <w:rPr>
          <w:lang w:val="en-GB"/>
        </w:rPr>
        <w:t>.</w:t>
      </w:r>
    </w:p>
    <w:p w14:paraId="6912F778" w14:textId="26313165" w:rsidR="00D418FD" w:rsidRDefault="00D418FD" w:rsidP="00EA64D9">
      <w:pPr>
        <w:rPr>
          <w:lang w:val="en-GB"/>
        </w:rPr>
      </w:pPr>
      <w:r w:rsidRPr="00D418FD">
        <w:rPr>
          <w:lang w:val="en-GB"/>
        </w:rPr>
        <w:lastRenderedPageBreak/>
        <w:t>Table S</w:t>
      </w:r>
      <w:r>
        <w:rPr>
          <w:lang w:val="en-GB"/>
        </w:rPr>
        <w:t>XZ</w:t>
      </w:r>
      <w:r w:rsidRPr="00D418FD">
        <w:rPr>
          <w:lang w:val="en-GB"/>
        </w:rPr>
        <w:t xml:space="preserve">. </w:t>
      </w:r>
      <w:r>
        <w:rPr>
          <w:lang w:val="en-GB"/>
        </w:rPr>
        <w:t>A</w:t>
      </w:r>
      <w:r w:rsidRPr="00D418FD">
        <w:rPr>
          <w:lang w:val="en-GB"/>
        </w:rPr>
        <w:t>djusted coefficients</w:t>
      </w:r>
      <w:r>
        <w:rPr>
          <w:lang w:val="en-GB"/>
        </w:rPr>
        <w:t>, time to any contact with the justice system</w:t>
      </w:r>
    </w:p>
    <w:tbl>
      <w:tblPr>
        <w:tblW w:w="8486"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686"/>
        <w:gridCol w:w="1200"/>
        <w:gridCol w:w="1200"/>
        <w:gridCol w:w="1200"/>
        <w:gridCol w:w="1200"/>
      </w:tblGrid>
      <w:tr w:rsidR="00D418FD" w:rsidRPr="00D418FD" w14:paraId="6756FD74" w14:textId="77777777" w:rsidTr="00D418FD">
        <w:trPr>
          <w:trHeight w:val="300"/>
        </w:trPr>
        <w:tc>
          <w:tcPr>
            <w:tcW w:w="3686" w:type="dxa"/>
            <w:tcBorders>
              <w:top w:val="single" w:sz="4" w:space="0" w:color="auto"/>
              <w:bottom w:val="single" w:sz="4" w:space="0" w:color="auto"/>
            </w:tcBorders>
            <w:shd w:val="clear" w:color="auto" w:fill="auto"/>
            <w:noWrap/>
            <w:vAlign w:val="bottom"/>
            <w:hideMark/>
          </w:tcPr>
          <w:p w14:paraId="586AB030" w14:textId="2C9B0050" w:rsidR="00D418FD" w:rsidRPr="00D418FD" w:rsidRDefault="00D418FD" w:rsidP="00D418FD">
            <w:pPr>
              <w:spacing w:after="0" w:line="240" w:lineRule="auto"/>
              <w:rPr>
                <w:rFonts w:ascii="Calibri" w:eastAsia="Times New Roman" w:hAnsi="Calibri" w:cs="Calibri"/>
                <w:b/>
                <w:bCs/>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Term</w:t>
            </w:r>
            <w:proofErr w:type="spellEnd"/>
            <w:r>
              <w:rPr>
                <w:rFonts w:ascii="Calibri" w:eastAsia="Times New Roman" w:hAnsi="Calibri" w:cs="Calibri"/>
                <w:b/>
                <w:bCs/>
                <w:color w:val="000000"/>
                <w:sz w:val="22"/>
                <w:szCs w:val="22"/>
                <w:lang w:val="es-CL" w:eastAsia="es-CL"/>
              </w:rPr>
              <w:t xml:space="preserve"> (</w:t>
            </w:r>
            <w:proofErr w:type="spellStart"/>
            <w:r>
              <w:rPr>
                <w:rFonts w:ascii="Calibri" w:eastAsia="Times New Roman" w:hAnsi="Calibri" w:cs="Calibri"/>
                <w:b/>
                <w:bCs/>
                <w:color w:val="000000"/>
                <w:sz w:val="22"/>
                <w:szCs w:val="22"/>
                <w:lang w:val="es-CL" w:eastAsia="es-CL"/>
              </w:rPr>
              <w:t>exp</w:t>
            </w:r>
            <w:proofErr w:type="spellEnd"/>
            <w:r>
              <w:rPr>
                <w:rFonts w:ascii="Calibri" w:eastAsia="Times New Roman" w:hAnsi="Calibri" w:cs="Calibri"/>
                <w:b/>
                <w:bCs/>
                <w:color w:val="000000"/>
                <w:sz w:val="22"/>
                <w:szCs w:val="22"/>
                <w:lang w:val="es-CL" w:eastAsia="es-CL"/>
              </w:rPr>
              <w:t>)</w:t>
            </w:r>
          </w:p>
        </w:tc>
        <w:tc>
          <w:tcPr>
            <w:tcW w:w="1200" w:type="dxa"/>
            <w:tcBorders>
              <w:top w:val="single" w:sz="4" w:space="0" w:color="auto"/>
              <w:bottom w:val="single" w:sz="4" w:space="0" w:color="auto"/>
            </w:tcBorders>
            <w:shd w:val="clear" w:color="auto" w:fill="auto"/>
            <w:noWrap/>
            <w:vAlign w:val="bottom"/>
            <w:hideMark/>
          </w:tcPr>
          <w:p w14:paraId="0FF6059F" w14:textId="77777777" w:rsidR="00D418FD" w:rsidRPr="00D418FD" w:rsidRDefault="00D418FD" w:rsidP="003B73DD">
            <w:pPr>
              <w:spacing w:after="0" w:line="240" w:lineRule="auto"/>
              <w:jc w:val="both"/>
              <w:rPr>
                <w:rFonts w:ascii="Calibri" w:eastAsia="Times New Roman" w:hAnsi="Calibri" w:cs="Calibri"/>
                <w:b/>
                <w:bCs/>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Estimate</w:t>
            </w:r>
            <w:proofErr w:type="spellEnd"/>
          </w:p>
        </w:tc>
        <w:tc>
          <w:tcPr>
            <w:tcW w:w="1200" w:type="dxa"/>
            <w:tcBorders>
              <w:top w:val="single" w:sz="4" w:space="0" w:color="auto"/>
              <w:bottom w:val="single" w:sz="4" w:space="0" w:color="auto"/>
            </w:tcBorders>
            <w:shd w:val="clear" w:color="auto" w:fill="auto"/>
            <w:noWrap/>
            <w:vAlign w:val="bottom"/>
            <w:hideMark/>
          </w:tcPr>
          <w:p w14:paraId="6C42529E" w14:textId="77777777" w:rsidR="00D418FD" w:rsidRPr="00D418FD" w:rsidRDefault="00D418FD" w:rsidP="003B73DD">
            <w:pPr>
              <w:spacing w:after="0" w:line="240" w:lineRule="auto"/>
              <w:jc w:val="both"/>
              <w:rPr>
                <w:rFonts w:ascii="Calibri" w:eastAsia="Times New Roman" w:hAnsi="Calibri" w:cs="Calibri"/>
                <w:b/>
                <w:bCs/>
                <w:color w:val="000000"/>
                <w:sz w:val="22"/>
                <w:szCs w:val="22"/>
                <w:lang w:val="es-CL" w:eastAsia="es-CL"/>
              </w:rPr>
            </w:pPr>
            <w:r w:rsidRPr="00D418FD">
              <w:rPr>
                <w:rFonts w:ascii="Calibri" w:eastAsia="Times New Roman" w:hAnsi="Calibri" w:cs="Calibri"/>
                <w:b/>
                <w:bCs/>
                <w:color w:val="000000"/>
                <w:sz w:val="22"/>
                <w:szCs w:val="22"/>
                <w:lang w:val="es-CL" w:eastAsia="es-CL"/>
              </w:rPr>
              <w:t>95%CI lo</w:t>
            </w:r>
          </w:p>
        </w:tc>
        <w:tc>
          <w:tcPr>
            <w:tcW w:w="1200" w:type="dxa"/>
            <w:tcBorders>
              <w:top w:val="single" w:sz="4" w:space="0" w:color="auto"/>
              <w:bottom w:val="single" w:sz="4" w:space="0" w:color="auto"/>
            </w:tcBorders>
            <w:shd w:val="clear" w:color="auto" w:fill="auto"/>
            <w:noWrap/>
            <w:vAlign w:val="bottom"/>
            <w:hideMark/>
          </w:tcPr>
          <w:p w14:paraId="47685788" w14:textId="77777777" w:rsidR="00D418FD" w:rsidRPr="00D418FD" w:rsidRDefault="00D418FD" w:rsidP="003B73DD">
            <w:pPr>
              <w:spacing w:after="0" w:line="240" w:lineRule="auto"/>
              <w:jc w:val="both"/>
              <w:rPr>
                <w:rFonts w:ascii="Calibri" w:eastAsia="Times New Roman" w:hAnsi="Calibri" w:cs="Calibri"/>
                <w:b/>
                <w:bCs/>
                <w:color w:val="000000"/>
                <w:sz w:val="22"/>
                <w:szCs w:val="22"/>
                <w:lang w:val="es-CL" w:eastAsia="es-CL"/>
              </w:rPr>
            </w:pPr>
            <w:r w:rsidRPr="00D418FD">
              <w:rPr>
                <w:rFonts w:ascii="Calibri" w:eastAsia="Times New Roman" w:hAnsi="Calibri" w:cs="Calibri"/>
                <w:b/>
                <w:bCs/>
                <w:color w:val="000000"/>
                <w:sz w:val="22"/>
                <w:szCs w:val="22"/>
                <w:lang w:val="es-CL" w:eastAsia="es-CL"/>
              </w:rPr>
              <w:t>95%CI up</w:t>
            </w:r>
          </w:p>
        </w:tc>
        <w:tc>
          <w:tcPr>
            <w:tcW w:w="1200" w:type="dxa"/>
            <w:tcBorders>
              <w:top w:val="single" w:sz="4" w:space="0" w:color="auto"/>
              <w:bottom w:val="single" w:sz="4" w:space="0" w:color="auto"/>
            </w:tcBorders>
            <w:shd w:val="clear" w:color="auto" w:fill="auto"/>
            <w:noWrap/>
            <w:vAlign w:val="bottom"/>
            <w:hideMark/>
          </w:tcPr>
          <w:p w14:paraId="08F2D80C" w14:textId="7EE2900B" w:rsidR="00D418FD" w:rsidRPr="00D418FD" w:rsidRDefault="003B73DD" w:rsidP="003B73DD">
            <w:pPr>
              <w:spacing w:after="0" w:line="240" w:lineRule="auto"/>
              <w:jc w:val="both"/>
              <w:rPr>
                <w:rFonts w:ascii="Calibri" w:eastAsia="Times New Roman" w:hAnsi="Calibri" w:cs="Calibri"/>
                <w:b/>
                <w:bCs/>
                <w:color w:val="000000"/>
                <w:sz w:val="22"/>
                <w:szCs w:val="22"/>
                <w:lang w:val="es-CL" w:eastAsia="es-CL"/>
              </w:rPr>
            </w:pPr>
            <w:r>
              <w:rPr>
                <w:rFonts w:ascii="Calibri" w:eastAsia="Times New Roman" w:hAnsi="Calibri" w:cs="Calibri"/>
                <w:b/>
                <w:bCs/>
                <w:color w:val="000000"/>
                <w:sz w:val="22"/>
                <w:szCs w:val="22"/>
                <w:lang w:val="es-CL" w:eastAsia="es-CL"/>
              </w:rPr>
              <w:t>Sig.</w:t>
            </w:r>
          </w:p>
        </w:tc>
      </w:tr>
      <w:tr w:rsidR="00D418FD" w:rsidRPr="00D418FD" w14:paraId="45F167BA" w14:textId="77777777" w:rsidTr="00D418FD">
        <w:trPr>
          <w:trHeight w:val="300"/>
        </w:trPr>
        <w:tc>
          <w:tcPr>
            <w:tcW w:w="3686" w:type="dxa"/>
            <w:tcBorders>
              <w:top w:val="single" w:sz="4" w:space="0" w:color="auto"/>
            </w:tcBorders>
            <w:shd w:val="clear" w:color="auto" w:fill="auto"/>
            <w:noWrap/>
            <w:vAlign w:val="bottom"/>
            <w:hideMark/>
          </w:tcPr>
          <w:p w14:paraId="0F4634B8" w14:textId="2F189F94" w:rsidR="00D418FD" w:rsidRPr="00D418FD" w:rsidRDefault="00D418FD" w:rsidP="00D418FD">
            <w:pPr>
              <w:spacing w:after="0" w:line="240" w:lineRule="auto"/>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color w:val="000000"/>
                <w:sz w:val="22"/>
                <w:szCs w:val="22"/>
                <w:lang w:val="es-CL" w:eastAsia="es-CL"/>
              </w:rPr>
              <w:t>Early</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tcBorders>
              <w:top w:val="single" w:sz="4" w:space="0" w:color="auto"/>
            </w:tcBorders>
            <w:shd w:val="clear" w:color="auto" w:fill="auto"/>
            <w:noWrap/>
            <w:vAlign w:val="bottom"/>
            <w:hideMark/>
          </w:tcPr>
          <w:p w14:paraId="136127B3"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1.74</w:t>
            </w:r>
          </w:p>
        </w:tc>
        <w:tc>
          <w:tcPr>
            <w:tcW w:w="1200" w:type="dxa"/>
            <w:tcBorders>
              <w:top w:val="single" w:sz="4" w:space="0" w:color="auto"/>
            </w:tcBorders>
            <w:shd w:val="clear" w:color="auto" w:fill="auto"/>
            <w:noWrap/>
            <w:vAlign w:val="bottom"/>
            <w:hideMark/>
          </w:tcPr>
          <w:p w14:paraId="113CC1F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1.66</w:t>
            </w:r>
          </w:p>
        </w:tc>
        <w:tc>
          <w:tcPr>
            <w:tcW w:w="1200" w:type="dxa"/>
            <w:tcBorders>
              <w:top w:val="single" w:sz="4" w:space="0" w:color="auto"/>
            </w:tcBorders>
            <w:shd w:val="clear" w:color="auto" w:fill="auto"/>
            <w:noWrap/>
            <w:vAlign w:val="bottom"/>
            <w:hideMark/>
          </w:tcPr>
          <w:p w14:paraId="62EAD71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1.83</w:t>
            </w:r>
          </w:p>
        </w:tc>
        <w:tc>
          <w:tcPr>
            <w:tcW w:w="1200" w:type="dxa"/>
            <w:tcBorders>
              <w:top w:val="single" w:sz="4" w:space="0" w:color="auto"/>
            </w:tcBorders>
            <w:shd w:val="clear" w:color="auto" w:fill="auto"/>
            <w:noWrap/>
            <w:vAlign w:val="bottom"/>
            <w:hideMark/>
          </w:tcPr>
          <w:p w14:paraId="664A281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6D545140" w14:textId="77777777" w:rsidTr="00D418FD">
        <w:trPr>
          <w:trHeight w:val="300"/>
        </w:trPr>
        <w:tc>
          <w:tcPr>
            <w:tcW w:w="3686" w:type="dxa"/>
            <w:shd w:val="clear" w:color="auto" w:fill="auto"/>
            <w:noWrap/>
            <w:vAlign w:val="bottom"/>
            <w:hideMark/>
          </w:tcPr>
          <w:p w14:paraId="59253531" w14:textId="2519664E"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 xml:space="preserve">Late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shd w:val="clear" w:color="auto" w:fill="auto"/>
            <w:noWrap/>
            <w:vAlign w:val="bottom"/>
            <w:hideMark/>
          </w:tcPr>
          <w:p w14:paraId="037684D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1.58</w:t>
            </w:r>
          </w:p>
        </w:tc>
        <w:tc>
          <w:tcPr>
            <w:tcW w:w="1200" w:type="dxa"/>
            <w:shd w:val="clear" w:color="auto" w:fill="auto"/>
            <w:noWrap/>
            <w:vAlign w:val="bottom"/>
            <w:hideMark/>
          </w:tcPr>
          <w:p w14:paraId="74D34FD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1.52</w:t>
            </w:r>
          </w:p>
        </w:tc>
        <w:tc>
          <w:tcPr>
            <w:tcW w:w="1200" w:type="dxa"/>
            <w:shd w:val="clear" w:color="auto" w:fill="auto"/>
            <w:noWrap/>
            <w:vAlign w:val="bottom"/>
            <w:hideMark/>
          </w:tcPr>
          <w:p w14:paraId="69AA271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1.65</w:t>
            </w:r>
          </w:p>
        </w:tc>
        <w:tc>
          <w:tcPr>
            <w:tcW w:w="1200" w:type="dxa"/>
            <w:shd w:val="clear" w:color="auto" w:fill="auto"/>
            <w:noWrap/>
            <w:vAlign w:val="bottom"/>
            <w:hideMark/>
          </w:tcPr>
          <w:p w14:paraId="3FA9BA13"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0C84FF7" w14:textId="77777777" w:rsidTr="00D418FD">
        <w:trPr>
          <w:trHeight w:val="300"/>
        </w:trPr>
        <w:tc>
          <w:tcPr>
            <w:tcW w:w="3686" w:type="dxa"/>
            <w:shd w:val="clear" w:color="auto" w:fill="auto"/>
            <w:noWrap/>
            <w:vAlign w:val="bottom"/>
            <w:hideMark/>
          </w:tcPr>
          <w:p w14:paraId="56BE0919"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1</w:t>
            </w:r>
          </w:p>
        </w:tc>
        <w:tc>
          <w:tcPr>
            <w:tcW w:w="1200" w:type="dxa"/>
            <w:shd w:val="clear" w:color="auto" w:fill="auto"/>
            <w:noWrap/>
            <w:vAlign w:val="bottom"/>
            <w:hideMark/>
          </w:tcPr>
          <w:p w14:paraId="536FDFD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2.66</w:t>
            </w:r>
          </w:p>
        </w:tc>
        <w:tc>
          <w:tcPr>
            <w:tcW w:w="1200" w:type="dxa"/>
            <w:shd w:val="clear" w:color="auto" w:fill="auto"/>
            <w:noWrap/>
            <w:vAlign w:val="bottom"/>
            <w:hideMark/>
          </w:tcPr>
          <w:p w14:paraId="05EC350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2.59</w:t>
            </w:r>
          </w:p>
        </w:tc>
        <w:tc>
          <w:tcPr>
            <w:tcW w:w="1200" w:type="dxa"/>
            <w:shd w:val="clear" w:color="auto" w:fill="auto"/>
            <w:noWrap/>
            <w:vAlign w:val="bottom"/>
            <w:hideMark/>
          </w:tcPr>
          <w:p w14:paraId="51BBC854"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2.73</w:t>
            </w:r>
          </w:p>
        </w:tc>
        <w:tc>
          <w:tcPr>
            <w:tcW w:w="1200" w:type="dxa"/>
            <w:shd w:val="clear" w:color="auto" w:fill="auto"/>
            <w:noWrap/>
            <w:vAlign w:val="bottom"/>
            <w:hideMark/>
          </w:tcPr>
          <w:p w14:paraId="2C01167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38835ECB" w14:textId="77777777" w:rsidTr="00D418FD">
        <w:trPr>
          <w:trHeight w:val="300"/>
        </w:trPr>
        <w:tc>
          <w:tcPr>
            <w:tcW w:w="3686" w:type="dxa"/>
            <w:shd w:val="clear" w:color="auto" w:fill="auto"/>
            <w:noWrap/>
            <w:vAlign w:val="bottom"/>
            <w:hideMark/>
          </w:tcPr>
          <w:p w14:paraId="5FB0840E"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2</w:t>
            </w:r>
          </w:p>
        </w:tc>
        <w:tc>
          <w:tcPr>
            <w:tcW w:w="1200" w:type="dxa"/>
            <w:shd w:val="clear" w:color="auto" w:fill="auto"/>
            <w:noWrap/>
            <w:vAlign w:val="bottom"/>
            <w:hideMark/>
          </w:tcPr>
          <w:p w14:paraId="11C6F850"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1.11</w:t>
            </w:r>
          </w:p>
        </w:tc>
        <w:tc>
          <w:tcPr>
            <w:tcW w:w="1200" w:type="dxa"/>
            <w:shd w:val="clear" w:color="auto" w:fill="auto"/>
            <w:noWrap/>
            <w:vAlign w:val="bottom"/>
            <w:hideMark/>
          </w:tcPr>
          <w:p w14:paraId="1930C5C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1.10</w:t>
            </w:r>
          </w:p>
        </w:tc>
        <w:tc>
          <w:tcPr>
            <w:tcW w:w="1200" w:type="dxa"/>
            <w:shd w:val="clear" w:color="auto" w:fill="auto"/>
            <w:noWrap/>
            <w:vAlign w:val="bottom"/>
            <w:hideMark/>
          </w:tcPr>
          <w:p w14:paraId="7F1FCC9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1.12</w:t>
            </w:r>
          </w:p>
        </w:tc>
        <w:tc>
          <w:tcPr>
            <w:tcW w:w="1200" w:type="dxa"/>
            <w:shd w:val="clear" w:color="auto" w:fill="auto"/>
            <w:noWrap/>
            <w:vAlign w:val="bottom"/>
            <w:hideMark/>
          </w:tcPr>
          <w:p w14:paraId="01F8954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58DE8BF" w14:textId="77777777" w:rsidTr="00D418FD">
        <w:trPr>
          <w:trHeight w:val="300"/>
        </w:trPr>
        <w:tc>
          <w:tcPr>
            <w:tcW w:w="3686" w:type="dxa"/>
            <w:shd w:val="clear" w:color="auto" w:fill="auto"/>
            <w:noWrap/>
            <w:vAlign w:val="bottom"/>
            <w:hideMark/>
          </w:tcPr>
          <w:p w14:paraId="22D86CB7"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3</w:t>
            </w:r>
          </w:p>
        </w:tc>
        <w:tc>
          <w:tcPr>
            <w:tcW w:w="1200" w:type="dxa"/>
            <w:shd w:val="clear" w:color="auto" w:fill="auto"/>
            <w:noWrap/>
            <w:vAlign w:val="bottom"/>
            <w:hideMark/>
          </w:tcPr>
          <w:p w14:paraId="63CF603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1.05</w:t>
            </w:r>
          </w:p>
        </w:tc>
        <w:tc>
          <w:tcPr>
            <w:tcW w:w="1200" w:type="dxa"/>
            <w:shd w:val="clear" w:color="auto" w:fill="auto"/>
            <w:noWrap/>
            <w:vAlign w:val="bottom"/>
            <w:hideMark/>
          </w:tcPr>
          <w:p w14:paraId="25AB704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1.04</w:t>
            </w:r>
          </w:p>
        </w:tc>
        <w:tc>
          <w:tcPr>
            <w:tcW w:w="1200" w:type="dxa"/>
            <w:shd w:val="clear" w:color="auto" w:fill="auto"/>
            <w:noWrap/>
            <w:vAlign w:val="bottom"/>
            <w:hideMark/>
          </w:tcPr>
          <w:p w14:paraId="3D003501"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1.06</w:t>
            </w:r>
          </w:p>
        </w:tc>
        <w:tc>
          <w:tcPr>
            <w:tcW w:w="1200" w:type="dxa"/>
            <w:shd w:val="clear" w:color="auto" w:fill="auto"/>
            <w:noWrap/>
            <w:vAlign w:val="bottom"/>
            <w:hideMark/>
          </w:tcPr>
          <w:p w14:paraId="4BFE4AF1"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1E8419EB" w14:textId="77777777" w:rsidTr="00D418FD">
        <w:trPr>
          <w:trHeight w:val="300"/>
        </w:trPr>
        <w:tc>
          <w:tcPr>
            <w:tcW w:w="3686" w:type="dxa"/>
            <w:shd w:val="clear" w:color="auto" w:fill="auto"/>
            <w:noWrap/>
            <w:vAlign w:val="bottom"/>
            <w:hideMark/>
          </w:tcPr>
          <w:p w14:paraId="6026E87D"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4</w:t>
            </w:r>
          </w:p>
        </w:tc>
        <w:tc>
          <w:tcPr>
            <w:tcW w:w="1200" w:type="dxa"/>
            <w:shd w:val="clear" w:color="auto" w:fill="auto"/>
            <w:noWrap/>
            <w:vAlign w:val="bottom"/>
            <w:hideMark/>
          </w:tcPr>
          <w:p w14:paraId="4FB1DC0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7553B3F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272CE5E0"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1.03</w:t>
            </w:r>
          </w:p>
        </w:tc>
        <w:tc>
          <w:tcPr>
            <w:tcW w:w="1200" w:type="dxa"/>
            <w:shd w:val="clear" w:color="auto" w:fill="auto"/>
            <w:noWrap/>
            <w:vAlign w:val="bottom"/>
            <w:hideMark/>
          </w:tcPr>
          <w:p w14:paraId="007B8AAF"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F42C1D3" w14:textId="77777777" w:rsidTr="00D418FD">
        <w:trPr>
          <w:trHeight w:val="300"/>
        </w:trPr>
        <w:tc>
          <w:tcPr>
            <w:tcW w:w="3686" w:type="dxa"/>
            <w:shd w:val="clear" w:color="auto" w:fill="auto"/>
            <w:noWrap/>
            <w:vAlign w:val="bottom"/>
            <w:hideMark/>
          </w:tcPr>
          <w:p w14:paraId="4CE304A5"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5</w:t>
            </w:r>
          </w:p>
        </w:tc>
        <w:tc>
          <w:tcPr>
            <w:tcW w:w="1200" w:type="dxa"/>
            <w:shd w:val="clear" w:color="auto" w:fill="auto"/>
            <w:noWrap/>
            <w:vAlign w:val="bottom"/>
            <w:hideMark/>
          </w:tcPr>
          <w:p w14:paraId="3C35FCBB"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7E2D585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CA3DE19"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1.02</w:t>
            </w:r>
          </w:p>
        </w:tc>
        <w:tc>
          <w:tcPr>
            <w:tcW w:w="1200" w:type="dxa"/>
            <w:shd w:val="clear" w:color="auto" w:fill="auto"/>
            <w:noWrap/>
            <w:vAlign w:val="bottom"/>
            <w:hideMark/>
          </w:tcPr>
          <w:p w14:paraId="258C37BB"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51FB5226" w14:textId="77777777" w:rsidTr="00D418FD">
        <w:trPr>
          <w:trHeight w:val="300"/>
        </w:trPr>
        <w:tc>
          <w:tcPr>
            <w:tcW w:w="3686" w:type="dxa"/>
            <w:shd w:val="clear" w:color="auto" w:fill="auto"/>
            <w:noWrap/>
            <w:vAlign w:val="bottom"/>
            <w:hideMark/>
          </w:tcPr>
          <w:p w14:paraId="0F127AAC"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6</w:t>
            </w:r>
          </w:p>
        </w:tc>
        <w:tc>
          <w:tcPr>
            <w:tcW w:w="1200" w:type="dxa"/>
            <w:shd w:val="clear" w:color="auto" w:fill="auto"/>
            <w:noWrap/>
            <w:vAlign w:val="bottom"/>
            <w:hideMark/>
          </w:tcPr>
          <w:p w14:paraId="52F8C2B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C53DDF3"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28766E79"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6278DE7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CADB0FB" w14:textId="77777777" w:rsidTr="00D418FD">
        <w:trPr>
          <w:trHeight w:val="300"/>
        </w:trPr>
        <w:tc>
          <w:tcPr>
            <w:tcW w:w="3686" w:type="dxa"/>
            <w:shd w:val="clear" w:color="auto" w:fill="auto"/>
            <w:noWrap/>
            <w:vAlign w:val="bottom"/>
            <w:hideMark/>
          </w:tcPr>
          <w:p w14:paraId="318B4A41"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7</w:t>
            </w:r>
          </w:p>
        </w:tc>
        <w:tc>
          <w:tcPr>
            <w:tcW w:w="1200" w:type="dxa"/>
            <w:shd w:val="clear" w:color="auto" w:fill="auto"/>
            <w:noWrap/>
            <w:vAlign w:val="bottom"/>
            <w:hideMark/>
          </w:tcPr>
          <w:p w14:paraId="47AC804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3FC1BD0B"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067E310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322ABD5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1D09ACA" w14:textId="77777777" w:rsidTr="00D418FD">
        <w:trPr>
          <w:trHeight w:val="300"/>
        </w:trPr>
        <w:tc>
          <w:tcPr>
            <w:tcW w:w="3686" w:type="dxa"/>
            <w:shd w:val="clear" w:color="auto" w:fill="auto"/>
            <w:noWrap/>
            <w:vAlign w:val="bottom"/>
            <w:hideMark/>
          </w:tcPr>
          <w:p w14:paraId="1E6B5DE2"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8</w:t>
            </w:r>
          </w:p>
        </w:tc>
        <w:tc>
          <w:tcPr>
            <w:tcW w:w="1200" w:type="dxa"/>
            <w:shd w:val="clear" w:color="auto" w:fill="auto"/>
            <w:noWrap/>
            <w:vAlign w:val="bottom"/>
            <w:hideMark/>
          </w:tcPr>
          <w:p w14:paraId="17FD72A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712367E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7656B5F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1.01</w:t>
            </w:r>
          </w:p>
        </w:tc>
        <w:tc>
          <w:tcPr>
            <w:tcW w:w="1200" w:type="dxa"/>
            <w:shd w:val="clear" w:color="auto" w:fill="auto"/>
            <w:noWrap/>
            <w:vAlign w:val="bottom"/>
            <w:hideMark/>
          </w:tcPr>
          <w:p w14:paraId="779031B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F520CFD" w14:textId="77777777" w:rsidTr="00D418FD">
        <w:trPr>
          <w:trHeight w:val="300"/>
        </w:trPr>
        <w:tc>
          <w:tcPr>
            <w:tcW w:w="3686" w:type="dxa"/>
            <w:shd w:val="clear" w:color="auto" w:fill="auto"/>
            <w:noWrap/>
            <w:vAlign w:val="bottom"/>
            <w:hideMark/>
          </w:tcPr>
          <w:p w14:paraId="6ACF18B6"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Early</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shd w:val="clear" w:color="auto" w:fill="auto"/>
            <w:noWrap/>
            <w:vAlign w:val="bottom"/>
            <w:hideMark/>
          </w:tcPr>
          <w:p w14:paraId="25F3FC8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0.91</w:t>
            </w:r>
          </w:p>
        </w:tc>
        <w:tc>
          <w:tcPr>
            <w:tcW w:w="1200" w:type="dxa"/>
            <w:shd w:val="clear" w:color="auto" w:fill="auto"/>
            <w:noWrap/>
            <w:vAlign w:val="bottom"/>
            <w:hideMark/>
          </w:tcPr>
          <w:p w14:paraId="1C2B64A4"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0.88</w:t>
            </w:r>
          </w:p>
        </w:tc>
        <w:tc>
          <w:tcPr>
            <w:tcW w:w="1200" w:type="dxa"/>
            <w:shd w:val="clear" w:color="auto" w:fill="auto"/>
            <w:noWrap/>
            <w:vAlign w:val="bottom"/>
            <w:hideMark/>
          </w:tcPr>
          <w:p w14:paraId="47C0B7C0"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0.94</w:t>
            </w:r>
          </w:p>
        </w:tc>
        <w:tc>
          <w:tcPr>
            <w:tcW w:w="1200" w:type="dxa"/>
            <w:shd w:val="clear" w:color="auto" w:fill="auto"/>
            <w:noWrap/>
            <w:vAlign w:val="bottom"/>
            <w:hideMark/>
          </w:tcPr>
          <w:p w14:paraId="4756283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1DD9E4CD" w14:textId="77777777" w:rsidTr="00D418FD">
        <w:trPr>
          <w:trHeight w:val="300"/>
        </w:trPr>
        <w:tc>
          <w:tcPr>
            <w:tcW w:w="3686" w:type="dxa"/>
            <w:shd w:val="clear" w:color="auto" w:fill="auto"/>
            <w:noWrap/>
            <w:vAlign w:val="bottom"/>
            <w:hideMark/>
          </w:tcPr>
          <w:p w14:paraId="19C93089"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independent</w:t>
            </w:r>
            <w:proofErr w:type="spellEnd"/>
            <w:r w:rsidRPr="00D418FD">
              <w:rPr>
                <w:rFonts w:ascii="Calibri" w:eastAsia="Times New Roman" w:hAnsi="Calibri" w:cs="Calibri"/>
                <w:color w:val="000000"/>
                <w:sz w:val="22"/>
                <w:szCs w:val="22"/>
                <w:lang w:val="es-CL" w:eastAsia="es-CL"/>
              </w:rPr>
              <w:t xml:space="preserve">: Late </w:t>
            </w:r>
            <w:proofErr w:type="spellStart"/>
            <w:r w:rsidRPr="00D418FD">
              <w:rPr>
                <w:rFonts w:ascii="Calibri" w:eastAsia="Times New Roman" w:hAnsi="Calibri" w:cs="Calibri"/>
                <w:color w:val="000000"/>
                <w:sz w:val="22"/>
                <w:szCs w:val="22"/>
                <w:lang w:val="es-CL" w:eastAsia="es-CL"/>
              </w:rPr>
              <w:t>discharge</w:t>
            </w:r>
            <w:proofErr w:type="spellEnd"/>
          </w:p>
        </w:tc>
        <w:tc>
          <w:tcPr>
            <w:tcW w:w="1200" w:type="dxa"/>
            <w:shd w:val="clear" w:color="auto" w:fill="auto"/>
            <w:noWrap/>
            <w:vAlign w:val="bottom"/>
            <w:hideMark/>
          </w:tcPr>
          <w:p w14:paraId="5657BD74"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0.94</w:t>
            </w:r>
          </w:p>
        </w:tc>
        <w:tc>
          <w:tcPr>
            <w:tcW w:w="1200" w:type="dxa"/>
            <w:shd w:val="clear" w:color="auto" w:fill="auto"/>
            <w:noWrap/>
            <w:vAlign w:val="bottom"/>
            <w:hideMark/>
          </w:tcPr>
          <w:p w14:paraId="7F0BE221"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0.92</w:t>
            </w:r>
          </w:p>
        </w:tc>
        <w:tc>
          <w:tcPr>
            <w:tcW w:w="1200" w:type="dxa"/>
            <w:shd w:val="clear" w:color="auto" w:fill="auto"/>
            <w:noWrap/>
            <w:vAlign w:val="bottom"/>
            <w:hideMark/>
          </w:tcPr>
          <w:p w14:paraId="05EF07C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0.97</w:t>
            </w:r>
          </w:p>
        </w:tc>
        <w:tc>
          <w:tcPr>
            <w:tcW w:w="1200" w:type="dxa"/>
            <w:shd w:val="clear" w:color="auto" w:fill="auto"/>
            <w:noWrap/>
            <w:vAlign w:val="bottom"/>
            <w:hideMark/>
          </w:tcPr>
          <w:p w14:paraId="3E09ED1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6A5090FC" w14:textId="77777777" w:rsidTr="00D418FD">
        <w:trPr>
          <w:trHeight w:val="300"/>
        </w:trPr>
        <w:tc>
          <w:tcPr>
            <w:tcW w:w="3686" w:type="dxa"/>
            <w:shd w:val="clear" w:color="auto" w:fill="auto"/>
            <w:noWrap/>
            <w:vAlign w:val="bottom"/>
            <w:hideMark/>
          </w:tcPr>
          <w:p w14:paraId="4B2B4498"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1</w:t>
            </w:r>
          </w:p>
        </w:tc>
        <w:tc>
          <w:tcPr>
            <w:tcW w:w="1200" w:type="dxa"/>
            <w:shd w:val="clear" w:color="auto" w:fill="auto"/>
            <w:noWrap/>
            <w:vAlign w:val="bottom"/>
            <w:hideMark/>
          </w:tcPr>
          <w:p w14:paraId="55F356E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0.98</w:t>
            </w:r>
          </w:p>
        </w:tc>
        <w:tc>
          <w:tcPr>
            <w:tcW w:w="1200" w:type="dxa"/>
            <w:shd w:val="clear" w:color="auto" w:fill="auto"/>
            <w:noWrap/>
            <w:vAlign w:val="bottom"/>
            <w:hideMark/>
          </w:tcPr>
          <w:p w14:paraId="735ACEE3"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0.95</w:t>
            </w:r>
          </w:p>
        </w:tc>
        <w:tc>
          <w:tcPr>
            <w:tcW w:w="1200" w:type="dxa"/>
            <w:shd w:val="clear" w:color="auto" w:fill="auto"/>
            <w:noWrap/>
            <w:vAlign w:val="bottom"/>
            <w:hideMark/>
          </w:tcPr>
          <w:p w14:paraId="7DBFBFE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1.00</w:t>
            </w:r>
          </w:p>
        </w:tc>
        <w:tc>
          <w:tcPr>
            <w:tcW w:w="1200" w:type="dxa"/>
            <w:shd w:val="clear" w:color="auto" w:fill="auto"/>
            <w:noWrap/>
            <w:vAlign w:val="bottom"/>
            <w:hideMark/>
          </w:tcPr>
          <w:p w14:paraId="4032721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364E3625" w14:textId="77777777" w:rsidTr="00D418FD">
        <w:trPr>
          <w:trHeight w:val="300"/>
        </w:trPr>
        <w:tc>
          <w:tcPr>
            <w:tcW w:w="3686" w:type="dxa"/>
            <w:shd w:val="clear" w:color="auto" w:fill="auto"/>
            <w:noWrap/>
            <w:vAlign w:val="bottom"/>
            <w:hideMark/>
          </w:tcPr>
          <w:p w14:paraId="2FD6F435"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2</w:t>
            </w:r>
          </w:p>
        </w:tc>
        <w:tc>
          <w:tcPr>
            <w:tcW w:w="1200" w:type="dxa"/>
            <w:shd w:val="clear" w:color="auto" w:fill="auto"/>
            <w:noWrap/>
            <w:vAlign w:val="bottom"/>
            <w:hideMark/>
          </w:tcPr>
          <w:p w14:paraId="646354D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0.11</w:t>
            </w:r>
          </w:p>
        </w:tc>
        <w:tc>
          <w:tcPr>
            <w:tcW w:w="1200" w:type="dxa"/>
            <w:shd w:val="clear" w:color="auto" w:fill="auto"/>
            <w:noWrap/>
            <w:vAlign w:val="bottom"/>
            <w:hideMark/>
          </w:tcPr>
          <w:p w14:paraId="51BBAAA7"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0.10</w:t>
            </w:r>
          </w:p>
        </w:tc>
        <w:tc>
          <w:tcPr>
            <w:tcW w:w="1200" w:type="dxa"/>
            <w:shd w:val="clear" w:color="auto" w:fill="auto"/>
            <w:noWrap/>
            <w:vAlign w:val="bottom"/>
            <w:hideMark/>
          </w:tcPr>
          <w:p w14:paraId="278EB8F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0.12</w:t>
            </w:r>
          </w:p>
        </w:tc>
        <w:tc>
          <w:tcPr>
            <w:tcW w:w="1200" w:type="dxa"/>
            <w:shd w:val="clear" w:color="auto" w:fill="auto"/>
            <w:noWrap/>
            <w:vAlign w:val="bottom"/>
            <w:hideMark/>
          </w:tcPr>
          <w:p w14:paraId="295B801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753843BB" w14:textId="77777777" w:rsidTr="00D418FD">
        <w:trPr>
          <w:trHeight w:val="300"/>
        </w:trPr>
        <w:tc>
          <w:tcPr>
            <w:tcW w:w="3686" w:type="dxa"/>
            <w:shd w:val="clear" w:color="auto" w:fill="auto"/>
            <w:noWrap/>
            <w:vAlign w:val="bottom"/>
            <w:hideMark/>
          </w:tcPr>
          <w:p w14:paraId="717FF4F7"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3</w:t>
            </w:r>
          </w:p>
        </w:tc>
        <w:tc>
          <w:tcPr>
            <w:tcW w:w="1200" w:type="dxa"/>
            <w:shd w:val="clear" w:color="auto" w:fill="auto"/>
            <w:noWrap/>
            <w:vAlign w:val="bottom"/>
            <w:hideMark/>
          </w:tcPr>
          <w:p w14:paraId="54E5AB87"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0.05</w:t>
            </w:r>
          </w:p>
        </w:tc>
        <w:tc>
          <w:tcPr>
            <w:tcW w:w="1200" w:type="dxa"/>
            <w:shd w:val="clear" w:color="auto" w:fill="auto"/>
            <w:noWrap/>
            <w:vAlign w:val="bottom"/>
            <w:hideMark/>
          </w:tcPr>
          <w:p w14:paraId="09F2475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0.04</w:t>
            </w:r>
          </w:p>
        </w:tc>
        <w:tc>
          <w:tcPr>
            <w:tcW w:w="1200" w:type="dxa"/>
            <w:shd w:val="clear" w:color="auto" w:fill="auto"/>
            <w:noWrap/>
            <w:vAlign w:val="bottom"/>
            <w:hideMark/>
          </w:tcPr>
          <w:p w14:paraId="2EA8952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0.05</w:t>
            </w:r>
          </w:p>
        </w:tc>
        <w:tc>
          <w:tcPr>
            <w:tcW w:w="1200" w:type="dxa"/>
            <w:shd w:val="clear" w:color="auto" w:fill="auto"/>
            <w:noWrap/>
            <w:vAlign w:val="bottom"/>
            <w:hideMark/>
          </w:tcPr>
          <w:p w14:paraId="146EAEE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0453CE0" w14:textId="77777777" w:rsidTr="00D418FD">
        <w:trPr>
          <w:trHeight w:val="300"/>
        </w:trPr>
        <w:tc>
          <w:tcPr>
            <w:tcW w:w="3686" w:type="dxa"/>
            <w:shd w:val="clear" w:color="auto" w:fill="auto"/>
            <w:noWrap/>
            <w:vAlign w:val="bottom"/>
            <w:hideMark/>
          </w:tcPr>
          <w:p w14:paraId="0A8B5426"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4</w:t>
            </w:r>
          </w:p>
        </w:tc>
        <w:tc>
          <w:tcPr>
            <w:tcW w:w="1200" w:type="dxa"/>
            <w:shd w:val="clear" w:color="auto" w:fill="auto"/>
            <w:noWrap/>
            <w:vAlign w:val="bottom"/>
            <w:hideMark/>
          </w:tcPr>
          <w:p w14:paraId="1E27E8F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7C21C158"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360336D8"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0.03</w:t>
            </w:r>
          </w:p>
        </w:tc>
        <w:tc>
          <w:tcPr>
            <w:tcW w:w="1200" w:type="dxa"/>
            <w:shd w:val="clear" w:color="auto" w:fill="auto"/>
            <w:noWrap/>
            <w:vAlign w:val="bottom"/>
            <w:hideMark/>
          </w:tcPr>
          <w:p w14:paraId="345BC94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46739A44" w14:textId="77777777" w:rsidTr="00D418FD">
        <w:trPr>
          <w:trHeight w:val="300"/>
        </w:trPr>
        <w:tc>
          <w:tcPr>
            <w:tcW w:w="3686" w:type="dxa"/>
            <w:shd w:val="clear" w:color="auto" w:fill="auto"/>
            <w:noWrap/>
            <w:vAlign w:val="bottom"/>
            <w:hideMark/>
          </w:tcPr>
          <w:p w14:paraId="3B3D2AED"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5</w:t>
            </w:r>
          </w:p>
        </w:tc>
        <w:tc>
          <w:tcPr>
            <w:tcW w:w="1200" w:type="dxa"/>
            <w:shd w:val="clear" w:color="auto" w:fill="auto"/>
            <w:noWrap/>
            <w:vAlign w:val="bottom"/>
            <w:hideMark/>
          </w:tcPr>
          <w:p w14:paraId="34A49FD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2A95ABF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4AF3E66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0.02</w:t>
            </w:r>
          </w:p>
        </w:tc>
        <w:tc>
          <w:tcPr>
            <w:tcW w:w="1200" w:type="dxa"/>
            <w:shd w:val="clear" w:color="auto" w:fill="auto"/>
            <w:noWrap/>
            <w:vAlign w:val="bottom"/>
            <w:hideMark/>
          </w:tcPr>
          <w:p w14:paraId="09DB8B17"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58CC52A" w14:textId="77777777" w:rsidTr="00D418FD">
        <w:trPr>
          <w:trHeight w:val="300"/>
        </w:trPr>
        <w:tc>
          <w:tcPr>
            <w:tcW w:w="3686" w:type="dxa"/>
            <w:shd w:val="clear" w:color="auto" w:fill="auto"/>
            <w:noWrap/>
            <w:vAlign w:val="bottom"/>
            <w:hideMark/>
          </w:tcPr>
          <w:p w14:paraId="5BF20349"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6</w:t>
            </w:r>
          </w:p>
        </w:tc>
        <w:tc>
          <w:tcPr>
            <w:tcW w:w="1200" w:type="dxa"/>
            <w:shd w:val="clear" w:color="auto" w:fill="auto"/>
            <w:noWrap/>
            <w:vAlign w:val="bottom"/>
            <w:hideMark/>
          </w:tcPr>
          <w:p w14:paraId="6E74E687"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15BCAF2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0298F4A5"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40EE004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AF42D13" w14:textId="77777777" w:rsidTr="00D418FD">
        <w:trPr>
          <w:trHeight w:val="300"/>
        </w:trPr>
        <w:tc>
          <w:tcPr>
            <w:tcW w:w="3686" w:type="dxa"/>
            <w:shd w:val="clear" w:color="auto" w:fill="auto"/>
            <w:noWrap/>
            <w:vAlign w:val="bottom"/>
            <w:hideMark/>
          </w:tcPr>
          <w:p w14:paraId="047496EE"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7</w:t>
            </w:r>
          </w:p>
        </w:tc>
        <w:tc>
          <w:tcPr>
            <w:tcW w:w="1200" w:type="dxa"/>
            <w:shd w:val="clear" w:color="auto" w:fill="auto"/>
            <w:noWrap/>
            <w:vAlign w:val="bottom"/>
            <w:hideMark/>
          </w:tcPr>
          <w:p w14:paraId="07CEE48F"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2722E8F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0150FDB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1B230E9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58C89238" w14:textId="77777777" w:rsidTr="00D418FD">
        <w:trPr>
          <w:trHeight w:val="300"/>
        </w:trPr>
        <w:tc>
          <w:tcPr>
            <w:tcW w:w="3686" w:type="dxa"/>
            <w:shd w:val="clear" w:color="auto" w:fill="auto"/>
            <w:noWrap/>
            <w:vAlign w:val="bottom"/>
            <w:hideMark/>
          </w:tcPr>
          <w:p w14:paraId="7471EBEE" w14:textId="77777777" w:rsidR="00D418FD" w:rsidRPr="00D418FD" w:rsidRDefault="00D418FD" w:rsidP="00D418F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time-</w:t>
            </w:r>
            <w:proofErr w:type="spellStart"/>
            <w:r w:rsidRPr="00D418FD">
              <w:rPr>
                <w:rFonts w:ascii="Calibri" w:eastAsia="Times New Roman" w:hAnsi="Calibri" w:cs="Calibri"/>
                <w:color w:val="000000"/>
                <w:sz w:val="22"/>
                <w:szCs w:val="22"/>
                <w:lang w:val="es-CL" w:eastAsia="es-CL"/>
              </w:rPr>
              <w:t>dependent</w:t>
            </w:r>
            <w:proofErr w:type="spellEnd"/>
            <w:r w:rsidRPr="00D418FD">
              <w:rPr>
                <w:rFonts w:ascii="Calibri" w:eastAsia="Times New Roman" w:hAnsi="Calibri" w:cs="Calibri"/>
                <w:color w:val="000000"/>
                <w:sz w:val="22"/>
                <w:szCs w:val="22"/>
                <w:lang w:val="es-CL" w:eastAsia="es-CL"/>
              </w:rPr>
              <w:t xml:space="preserve">: </w:t>
            </w:r>
            <w:proofErr w:type="spellStart"/>
            <w:r w:rsidRPr="00D418FD">
              <w:rPr>
                <w:rFonts w:ascii="Calibri" w:eastAsia="Times New Roman" w:hAnsi="Calibri" w:cs="Calibri"/>
                <w:color w:val="000000"/>
                <w:sz w:val="22"/>
                <w:szCs w:val="22"/>
                <w:lang w:val="es-CL" w:eastAsia="es-CL"/>
              </w:rPr>
              <w:t>knot</w:t>
            </w:r>
            <w:proofErr w:type="spellEnd"/>
            <w:r w:rsidRPr="00D418FD">
              <w:rPr>
                <w:rFonts w:ascii="Calibri" w:eastAsia="Times New Roman" w:hAnsi="Calibri" w:cs="Calibri"/>
                <w:color w:val="000000"/>
                <w:sz w:val="22"/>
                <w:szCs w:val="22"/>
                <w:lang w:val="es-CL" w:eastAsia="es-CL"/>
              </w:rPr>
              <w:t xml:space="preserve"> 8</w:t>
            </w:r>
          </w:p>
        </w:tc>
        <w:tc>
          <w:tcPr>
            <w:tcW w:w="1200" w:type="dxa"/>
            <w:shd w:val="clear" w:color="auto" w:fill="auto"/>
            <w:noWrap/>
            <w:vAlign w:val="bottom"/>
            <w:hideMark/>
          </w:tcPr>
          <w:p w14:paraId="51751098"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0.00</w:t>
            </w:r>
          </w:p>
        </w:tc>
        <w:tc>
          <w:tcPr>
            <w:tcW w:w="1200" w:type="dxa"/>
            <w:shd w:val="clear" w:color="auto" w:fill="auto"/>
            <w:noWrap/>
            <w:vAlign w:val="bottom"/>
            <w:hideMark/>
          </w:tcPr>
          <w:p w14:paraId="130A748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0.00</w:t>
            </w:r>
          </w:p>
        </w:tc>
        <w:tc>
          <w:tcPr>
            <w:tcW w:w="1200" w:type="dxa"/>
            <w:shd w:val="clear" w:color="auto" w:fill="auto"/>
            <w:noWrap/>
            <w:vAlign w:val="bottom"/>
            <w:hideMark/>
          </w:tcPr>
          <w:p w14:paraId="1324582D"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0.01</w:t>
            </w:r>
          </w:p>
        </w:tc>
        <w:tc>
          <w:tcPr>
            <w:tcW w:w="1200" w:type="dxa"/>
            <w:shd w:val="clear" w:color="auto" w:fill="auto"/>
            <w:noWrap/>
            <w:vAlign w:val="bottom"/>
            <w:hideMark/>
          </w:tcPr>
          <w:p w14:paraId="74576B9E"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2D88B4AF" w14:textId="77777777" w:rsidTr="00D418FD">
        <w:trPr>
          <w:trHeight w:val="300"/>
        </w:trPr>
        <w:tc>
          <w:tcPr>
            <w:tcW w:w="3686" w:type="dxa"/>
            <w:shd w:val="clear" w:color="auto" w:fill="auto"/>
            <w:noWrap/>
            <w:vAlign w:val="bottom"/>
            <w:hideMark/>
          </w:tcPr>
          <w:p w14:paraId="219E5812" w14:textId="05F0243B" w:rsidR="00D418FD" w:rsidRPr="00D418FD" w:rsidRDefault="00D418FD" w:rsidP="00D418FD">
            <w:pPr>
              <w:spacing w:after="0" w:line="240" w:lineRule="auto"/>
              <w:rPr>
                <w:rFonts w:ascii="Calibri" w:eastAsia="Times New Roman" w:hAnsi="Calibri" w:cs="Calibri"/>
                <w:color w:val="000000"/>
                <w:sz w:val="22"/>
                <w:szCs w:val="22"/>
                <w:lang w:val="en-GB" w:eastAsia="es-CL"/>
              </w:rPr>
            </w:pPr>
            <w:r w:rsidRPr="00D418FD">
              <w:rPr>
                <w:rFonts w:ascii="Calibri" w:eastAsia="Times New Roman" w:hAnsi="Calibri" w:cs="Calibri"/>
                <w:color w:val="000000"/>
                <w:sz w:val="22"/>
                <w:szCs w:val="22"/>
                <w:lang w:val="en-GB" w:eastAsia="es-CL"/>
              </w:rPr>
              <w:t>time-dependent: Early discharge (l</w:t>
            </w:r>
            <w:r>
              <w:rPr>
                <w:rFonts w:ascii="Calibri" w:eastAsia="Times New Roman" w:hAnsi="Calibri" w:cs="Calibri"/>
                <w:color w:val="000000"/>
                <w:sz w:val="22"/>
                <w:szCs w:val="22"/>
                <w:lang w:val="en-GB" w:eastAsia="es-CL"/>
              </w:rPr>
              <w:t>og)</w:t>
            </w:r>
          </w:p>
        </w:tc>
        <w:tc>
          <w:tcPr>
            <w:tcW w:w="1200" w:type="dxa"/>
            <w:shd w:val="clear" w:color="auto" w:fill="auto"/>
            <w:noWrap/>
            <w:vAlign w:val="bottom"/>
            <w:hideMark/>
          </w:tcPr>
          <w:p w14:paraId="52A56954"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-0.10</w:t>
            </w:r>
          </w:p>
        </w:tc>
        <w:tc>
          <w:tcPr>
            <w:tcW w:w="1200" w:type="dxa"/>
            <w:shd w:val="clear" w:color="auto" w:fill="auto"/>
            <w:noWrap/>
            <w:vAlign w:val="bottom"/>
            <w:hideMark/>
          </w:tcPr>
          <w:p w14:paraId="2EC69D99"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-0.13</w:t>
            </w:r>
          </w:p>
        </w:tc>
        <w:tc>
          <w:tcPr>
            <w:tcW w:w="1200" w:type="dxa"/>
            <w:shd w:val="clear" w:color="auto" w:fill="auto"/>
            <w:noWrap/>
            <w:vAlign w:val="bottom"/>
            <w:hideMark/>
          </w:tcPr>
          <w:p w14:paraId="1498C782"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-0.07</w:t>
            </w:r>
          </w:p>
        </w:tc>
        <w:tc>
          <w:tcPr>
            <w:tcW w:w="1200" w:type="dxa"/>
            <w:shd w:val="clear" w:color="auto" w:fill="auto"/>
            <w:noWrap/>
            <w:vAlign w:val="bottom"/>
            <w:hideMark/>
          </w:tcPr>
          <w:p w14:paraId="442A804C"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r w:rsidR="00D418FD" w:rsidRPr="00D418FD" w14:paraId="085E267C" w14:textId="77777777" w:rsidTr="00D418FD">
        <w:trPr>
          <w:trHeight w:val="300"/>
        </w:trPr>
        <w:tc>
          <w:tcPr>
            <w:tcW w:w="3686" w:type="dxa"/>
            <w:shd w:val="clear" w:color="auto" w:fill="auto"/>
            <w:noWrap/>
            <w:vAlign w:val="bottom"/>
            <w:hideMark/>
          </w:tcPr>
          <w:p w14:paraId="70886594" w14:textId="7FEA82FA" w:rsidR="00D418FD" w:rsidRPr="00D418FD" w:rsidRDefault="00D418FD" w:rsidP="00D418FD">
            <w:pPr>
              <w:spacing w:after="0" w:line="240" w:lineRule="auto"/>
              <w:rPr>
                <w:rFonts w:ascii="Calibri" w:eastAsia="Times New Roman" w:hAnsi="Calibri" w:cs="Calibri"/>
                <w:color w:val="000000"/>
                <w:sz w:val="22"/>
                <w:szCs w:val="22"/>
                <w:lang w:val="en-GB" w:eastAsia="es-CL"/>
              </w:rPr>
            </w:pPr>
            <w:r w:rsidRPr="00D418FD">
              <w:rPr>
                <w:rFonts w:ascii="Calibri" w:eastAsia="Times New Roman" w:hAnsi="Calibri" w:cs="Calibri"/>
                <w:color w:val="000000"/>
                <w:sz w:val="22"/>
                <w:szCs w:val="22"/>
                <w:lang w:val="en-GB" w:eastAsia="es-CL"/>
              </w:rPr>
              <w:t>time-dependent: Late discharge (l</w:t>
            </w:r>
            <w:r>
              <w:rPr>
                <w:rFonts w:ascii="Calibri" w:eastAsia="Times New Roman" w:hAnsi="Calibri" w:cs="Calibri"/>
                <w:color w:val="000000"/>
                <w:sz w:val="22"/>
                <w:szCs w:val="22"/>
                <w:lang w:val="en-GB" w:eastAsia="es-CL"/>
              </w:rPr>
              <w:t>og)</w:t>
            </w:r>
          </w:p>
        </w:tc>
        <w:tc>
          <w:tcPr>
            <w:tcW w:w="1200" w:type="dxa"/>
            <w:shd w:val="clear" w:color="auto" w:fill="auto"/>
            <w:noWrap/>
            <w:vAlign w:val="bottom"/>
            <w:hideMark/>
          </w:tcPr>
          <w:p w14:paraId="3BADCDF6"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-0.06</w:t>
            </w:r>
          </w:p>
        </w:tc>
        <w:tc>
          <w:tcPr>
            <w:tcW w:w="1200" w:type="dxa"/>
            <w:shd w:val="clear" w:color="auto" w:fill="auto"/>
            <w:noWrap/>
            <w:vAlign w:val="bottom"/>
            <w:hideMark/>
          </w:tcPr>
          <w:p w14:paraId="15C31F20"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-0.09</w:t>
            </w:r>
          </w:p>
        </w:tc>
        <w:tc>
          <w:tcPr>
            <w:tcW w:w="1200" w:type="dxa"/>
            <w:shd w:val="clear" w:color="auto" w:fill="auto"/>
            <w:noWrap/>
            <w:vAlign w:val="bottom"/>
            <w:hideMark/>
          </w:tcPr>
          <w:p w14:paraId="798DD069"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-0.03</w:t>
            </w:r>
          </w:p>
        </w:tc>
        <w:tc>
          <w:tcPr>
            <w:tcW w:w="1200" w:type="dxa"/>
            <w:shd w:val="clear" w:color="auto" w:fill="auto"/>
            <w:noWrap/>
            <w:vAlign w:val="bottom"/>
            <w:hideMark/>
          </w:tcPr>
          <w:p w14:paraId="5081386A" w14:textId="77777777" w:rsidR="00D418FD" w:rsidRPr="00D418FD" w:rsidRDefault="00D418FD" w:rsidP="003B73DD">
            <w:pPr>
              <w:spacing w:after="0" w:line="240" w:lineRule="auto"/>
              <w:jc w:val="both"/>
              <w:rPr>
                <w:rFonts w:ascii="Calibri" w:eastAsia="Times New Roman" w:hAnsi="Calibri" w:cs="Calibri"/>
                <w:color w:val="000000"/>
                <w:sz w:val="22"/>
                <w:szCs w:val="22"/>
                <w:lang w:val="es-CL" w:eastAsia="es-CL"/>
              </w:rPr>
            </w:pPr>
            <w:r w:rsidRPr="00D418FD">
              <w:rPr>
                <w:rFonts w:ascii="Calibri" w:eastAsia="Times New Roman" w:hAnsi="Calibri" w:cs="Calibri"/>
                <w:color w:val="000000"/>
                <w:sz w:val="22"/>
                <w:szCs w:val="22"/>
                <w:lang w:val="es-CL" w:eastAsia="es-CL"/>
              </w:rPr>
              <w:t>&lt;0.001</w:t>
            </w:r>
          </w:p>
        </w:tc>
      </w:tr>
    </w:tbl>
    <w:p w14:paraId="56D406E2" w14:textId="77777777" w:rsidR="00777D1E" w:rsidRDefault="00777D1E" w:rsidP="00777D1E">
      <w:pPr>
        <w:rPr>
          <w:lang w:val="en-GB"/>
        </w:rPr>
      </w:pPr>
      <w:r>
        <w:rPr>
          <w:lang w:val="en-GB"/>
        </w:rPr>
        <w:t>Note: knots represent knot areas (knots +1).</w:t>
      </w:r>
    </w:p>
    <w:p w14:paraId="3C0F4F3D" w14:textId="77777777" w:rsidR="00EA64D9" w:rsidRDefault="00EA64D9" w:rsidP="00314C6B">
      <w:pPr>
        <w:rPr>
          <w:lang w:val="en-GB"/>
        </w:rPr>
      </w:pPr>
    </w:p>
    <w:p w14:paraId="75B6880E" w14:textId="3EB2E979" w:rsidR="00807D44" w:rsidRDefault="003B73DD" w:rsidP="00314C6B">
      <w:pPr>
        <w:rPr>
          <w:lang w:val="en-GB"/>
        </w:rPr>
      </w:pPr>
      <w:r w:rsidRPr="00EA64D9">
        <w:rPr>
          <w:lang w:val="en-GB"/>
        </w:rPr>
        <w:t>The model identified an association of 1.74 (95% CI 1.66, 1.83) for Early vs. completion, and 1.58 (95% CI 1.52, 1.65) for Late vs. completion.</w:t>
      </w:r>
      <w:r>
        <w:rPr>
          <w:lang w:val="en-GB"/>
        </w:rPr>
        <w:t xml:space="preserve"> In this case, however, the shape seems to show a </w:t>
      </w:r>
      <w:proofErr w:type="spellStart"/>
      <w:r>
        <w:rPr>
          <w:lang w:val="en-GB"/>
        </w:rPr>
        <w:t>monothonic</w:t>
      </w:r>
      <w:proofErr w:type="spellEnd"/>
      <w:r>
        <w:rPr>
          <w:lang w:val="en-GB"/>
        </w:rPr>
        <w:t xml:space="preserve"> decrease in the association of Early and Late discharge vs. treatment completion, in which the hazard ratio will likely decreasing over time (See Table SXZ).</w:t>
      </w:r>
    </w:p>
    <w:p w14:paraId="5CD5BEF0" w14:textId="62499613" w:rsidR="00314C6B" w:rsidRDefault="00314C6B" w:rsidP="00314C6B">
      <w:pPr>
        <w:rPr>
          <w:lang w:val="en-GB"/>
        </w:rPr>
      </w:pPr>
      <w:r w:rsidRPr="00314C6B">
        <w:rPr>
          <w:lang w:val="en-GB"/>
        </w:rPr>
        <w:t xml:space="preserve">Supplemental Table ZX. Akaike and Bayesian Information Criteria for survival models </w:t>
      </w:r>
      <w:r>
        <w:rPr>
          <w:lang w:val="en-GB"/>
        </w:rPr>
        <w:t>of the time to contact with the justice system</w:t>
      </w:r>
      <w:r w:rsidRPr="00314C6B">
        <w:rPr>
          <w:lang w:val="en-GB"/>
        </w:rPr>
        <w:t xml:space="preserve"> </w:t>
      </w:r>
      <w:r>
        <w:rPr>
          <w:lang w:val="en-GB"/>
        </w:rPr>
        <w:t xml:space="preserve">leading to </w:t>
      </w:r>
      <w:r w:rsidR="00644B3A">
        <w:rPr>
          <w:lang w:val="en-GB"/>
        </w:rPr>
        <w:t>imprisonment</w:t>
      </w:r>
      <w:r>
        <w:rPr>
          <w:lang w:val="en-GB"/>
        </w:rPr>
        <w:t xml:space="preserve"> </w:t>
      </w:r>
      <w:r w:rsidRPr="00314C6B">
        <w:rPr>
          <w:lang w:val="en-GB"/>
        </w:rPr>
        <w:t xml:space="preserve">with different survival probability </w:t>
      </w:r>
      <w:proofErr w:type="gramStart"/>
      <w:r w:rsidRPr="00314C6B">
        <w:rPr>
          <w:lang w:val="en-GB"/>
        </w:rPr>
        <w:t>distributions</w:t>
      </w:r>
      <w:proofErr w:type="gramEnd"/>
    </w:p>
    <w:tbl>
      <w:tblPr>
        <w:tblW w:w="4520" w:type="dxa"/>
        <w:jc w:val="center"/>
        <w:tblCellMar>
          <w:left w:w="70" w:type="dxa"/>
          <w:right w:w="70" w:type="dxa"/>
        </w:tblCellMar>
        <w:tblLook w:val="04A0" w:firstRow="1" w:lastRow="0" w:firstColumn="1" w:lastColumn="0" w:noHBand="0" w:noVBand="1"/>
      </w:tblPr>
      <w:tblGrid>
        <w:gridCol w:w="2120"/>
        <w:gridCol w:w="1200"/>
        <w:gridCol w:w="1200"/>
      </w:tblGrid>
      <w:tr w:rsidR="002871BA" w:rsidRPr="002871BA" w14:paraId="7FECE944" w14:textId="77777777" w:rsidTr="002871BA">
        <w:trPr>
          <w:trHeight w:val="20"/>
          <w:jc w:val="center"/>
        </w:trPr>
        <w:tc>
          <w:tcPr>
            <w:tcW w:w="2120" w:type="dxa"/>
            <w:tcBorders>
              <w:top w:val="single" w:sz="8" w:space="0" w:color="auto"/>
              <w:left w:val="nil"/>
              <w:bottom w:val="single" w:sz="8" w:space="0" w:color="auto"/>
              <w:right w:val="nil"/>
            </w:tcBorders>
            <w:shd w:val="clear" w:color="auto" w:fill="auto"/>
            <w:noWrap/>
            <w:vAlign w:val="center"/>
            <w:hideMark/>
          </w:tcPr>
          <w:p w14:paraId="3D49CAB6" w14:textId="77777777" w:rsidR="002871BA" w:rsidRPr="002871BA" w:rsidRDefault="002871BA" w:rsidP="002871BA">
            <w:pPr>
              <w:spacing w:after="0" w:line="240" w:lineRule="auto"/>
              <w:rPr>
                <w:rFonts w:ascii="Calibri" w:eastAsia="Times New Roman" w:hAnsi="Calibri" w:cs="Calibri"/>
                <w:b/>
                <w:bCs/>
                <w:color w:val="000000"/>
                <w:sz w:val="18"/>
                <w:szCs w:val="18"/>
                <w:lang w:val="es-CL" w:eastAsia="es-CL"/>
              </w:rPr>
            </w:pPr>
            <w:proofErr w:type="spellStart"/>
            <w:r w:rsidRPr="002871BA">
              <w:rPr>
                <w:rFonts w:ascii="Calibri" w:eastAsia="Times New Roman" w:hAnsi="Calibri" w:cs="Calibri"/>
                <w:b/>
                <w:bCs/>
                <w:color w:val="000000"/>
                <w:sz w:val="18"/>
                <w:szCs w:val="18"/>
                <w:lang w:val="es-CL" w:eastAsia="es-CL"/>
              </w:rPr>
              <w:t>Model</w:t>
            </w:r>
            <w:proofErr w:type="spellEnd"/>
            <w:r w:rsidRPr="002871BA">
              <w:rPr>
                <w:rFonts w:ascii="Calibri" w:eastAsia="Times New Roman" w:hAnsi="Calibri" w:cs="Calibri"/>
                <w:b/>
                <w:bCs/>
                <w:color w:val="000000"/>
                <w:sz w:val="18"/>
                <w:szCs w:val="18"/>
                <w:lang w:val="es-CL" w:eastAsia="es-CL"/>
              </w:rPr>
              <w:t xml:space="preserve"> </w:t>
            </w:r>
            <w:proofErr w:type="spellStart"/>
            <w:r w:rsidRPr="002871BA">
              <w:rPr>
                <w:rFonts w:ascii="Calibri" w:eastAsia="Times New Roman" w:hAnsi="Calibri" w:cs="Calibri"/>
                <w:b/>
                <w:bCs/>
                <w:color w:val="000000"/>
                <w:sz w:val="18"/>
                <w:szCs w:val="18"/>
                <w:lang w:val="es-CL" w:eastAsia="es-CL"/>
              </w:rPr>
              <w:t>Specification</w:t>
            </w:r>
            <w:proofErr w:type="spellEnd"/>
          </w:p>
        </w:tc>
        <w:tc>
          <w:tcPr>
            <w:tcW w:w="1200" w:type="dxa"/>
            <w:tcBorders>
              <w:top w:val="single" w:sz="8" w:space="0" w:color="auto"/>
              <w:left w:val="nil"/>
              <w:bottom w:val="single" w:sz="8" w:space="0" w:color="auto"/>
              <w:right w:val="nil"/>
            </w:tcBorders>
            <w:shd w:val="clear" w:color="auto" w:fill="auto"/>
            <w:noWrap/>
            <w:vAlign w:val="center"/>
            <w:hideMark/>
          </w:tcPr>
          <w:p w14:paraId="52F2834E" w14:textId="77777777" w:rsidR="002871BA" w:rsidRPr="002871BA" w:rsidRDefault="002871BA" w:rsidP="002871BA">
            <w:pPr>
              <w:spacing w:after="0" w:line="240" w:lineRule="auto"/>
              <w:rPr>
                <w:rFonts w:ascii="Calibri" w:eastAsia="Times New Roman" w:hAnsi="Calibri" w:cs="Calibri"/>
                <w:b/>
                <w:bCs/>
                <w:color w:val="000000"/>
                <w:sz w:val="18"/>
                <w:szCs w:val="18"/>
                <w:lang w:val="es-CL" w:eastAsia="es-CL"/>
              </w:rPr>
            </w:pPr>
            <w:r w:rsidRPr="002871BA">
              <w:rPr>
                <w:rFonts w:ascii="Calibri" w:eastAsia="Times New Roman" w:hAnsi="Calibri" w:cs="Calibri"/>
                <w:b/>
                <w:bCs/>
                <w:color w:val="000000"/>
                <w:sz w:val="18"/>
                <w:szCs w:val="18"/>
                <w:lang w:val="es-CL" w:eastAsia="es-CL"/>
              </w:rPr>
              <w:t>AIC</w:t>
            </w:r>
          </w:p>
        </w:tc>
        <w:tc>
          <w:tcPr>
            <w:tcW w:w="1200" w:type="dxa"/>
            <w:tcBorders>
              <w:top w:val="single" w:sz="8" w:space="0" w:color="auto"/>
              <w:left w:val="nil"/>
              <w:bottom w:val="single" w:sz="8" w:space="0" w:color="auto"/>
              <w:right w:val="nil"/>
            </w:tcBorders>
            <w:shd w:val="clear" w:color="auto" w:fill="auto"/>
            <w:noWrap/>
            <w:vAlign w:val="center"/>
            <w:hideMark/>
          </w:tcPr>
          <w:p w14:paraId="3CA42359" w14:textId="77777777" w:rsidR="002871BA" w:rsidRPr="002871BA" w:rsidRDefault="002871BA" w:rsidP="002871BA">
            <w:pPr>
              <w:spacing w:after="0" w:line="240" w:lineRule="auto"/>
              <w:rPr>
                <w:rFonts w:ascii="Calibri" w:eastAsia="Times New Roman" w:hAnsi="Calibri" w:cs="Calibri"/>
                <w:b/>
                <w:bCs/>
                <w:color w:val="000000"/>
                <w:sz w:val="18"/>
                <w:szCs w:val="18"/>
                <w:lang w:val="es-CL" w:eastAsia="es-CL"/>
              </w:rPr>
            </w:pPr>
            <w:r w:rsidRPr="002871BA">
              <w:rPr>
                <w:rFonts w:ascii="Calibri" w:eastAsia="Times New Roman" w:hAnsi="Calibri" w:cs="Calibri"/>
                <w:b/>
                <w:bCs/>
                <w:color w:val="000000"/>
                <w:sz w:val="18"/>
                <w:szCs w:val="18"/>
                <w:lang w:val="es-CL" w:eastAsia="es-CL"/>
              </w:rPr>
              <w:t>BIC</w:t>
            </w:r>
          </w:p>
        </w:tc>
      </w:tr>
      <w:tr w:rsidR="002871BA" w:rsidRPr="002871BA" w14:paraId="13641FB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EBDD10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13091F8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43635.0</w:t>
            </w:r>
          </w:p>
        </w:tc>
        <w:tc>
          <w:tcPr>
            <w:tcW w:w="1200" w:type="dxa"/>
            <w:tcBorders>
              <w:top w:val="nil"/>
              <w:left w:val="nil"/>
              <w:bottom w:val="nil"/>
              <w:right w:val="nil"/>
            </w:tcBorders>
            <w:shd w:val="clear" w:color="auto" w:fill="auto"/>
            <w:noWrap/>
            <w:vAlign w:val="bottom"/>
            <w:hideMark/>
          </w:tcPr>
          <w:p w14:paraId="600AA4E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44034.3</w:t>
            </w:r>
          </w:p>
        </w:tc>
      </w:tr>
      <w:tr w:rsidR="002871BA" w:rsidRPr="002871BA" w14:paraId="17B400C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3223A8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532C0E9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43635.1</w:t>
            </w:r>
          </w:p>
        </w:tc>
        <w:tc>
          <w:tcPr>
            <w:tcW w:w="1200" w:type="dxa"/>
            <w:tcBorders>
              <w:top w:val="nil"/>
              <w:left w:val="nil"/>
              <w:bottom w:val="nil"/>
              <w:right w:val="nil"/>
            </w:tcBorders>
            <w:shd w:val="clear" w:color="auto" w:fill="auto"/>
            <w:noWrap/>
            <w:vAlign w:val="bottom"/>
            <w:hideMark/>
          </w:tcPr>
          <w:p w14:paraId="5C3927A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44027.9</w:t>
            </w:r>
          </w:p>
        </w:tc>
      </w:tr>
      <w:tr w:rsidR="002871BA" w:rsidRPr="002871BA" w14:paraId="22C9484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F8D849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3256416"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43635.4</w:t>
            </w:r>
          </w:p>
        </w:tc>
        <w:tc>
          <w:tcPr>
            <w:tcW w:w="1200" w:type="dxa"/>
            <w:tcBorders>
              <w:top w:val="nil"/>
              <w:left w:val="nil"/>
              <w:bottom w:val="nil"/>
              <w:right w:val="nil"/>
            </w:tcBorders>
            <w:shd w:val="clear" w:color="auto" w:fill="auto"/>
            <w:noWrap/>
            <w:vAlign w:val="bottom"/>
            <w:hideMark/>
          </w:tcPr>
          <w:p w14:paraId="6C7D6CF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44021.6</w:t>
            </w:r>
          </w:p>
        </w:tc>
      </w:tr>
      <w:tr w:rsidR="002871BA" w:rsidRPr="002871BA" w14:paraId="38A7D7B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EE7511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B1DE1A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43635.7</w:t>
            </w:r>
          </w:p>
        </w:tc>
        <w:tc>
          <w:tcPr>
            <w:tcW w:w="1200" w:type="dxa"/>
            <w:tcBorders>
              <w:top w:val="nil"/>
              <w:left w:val="nil"/>
              <w:bottom w:val="nil"/>
              <w:right w:val="nil"/>
            </w:tcBorders>
            <w:shd w:val="clear" w:color="auto" w:fill="auto"/>
            <w:noWrap/>
            <w:vAlign w:val="bottom"/>
            <w:hideMark/>
          </w:tcPr>
          <w:p w14:paraId="346598E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44015.4</w:t>
            </w:r>
          </w:p>
        </w:tc>
      </w:tr>
      <w:tr w:rsidR="002871BA" w:rsidRPr="002871BA" w14:paraId="2F1241C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A0A923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2983DE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43637.0</w:t>
            </w:r>
          </w:p>
        </w:tc>
        <w:tc>
          <w:tcPr>
            <w:tcW w:w="1200" w:type="dxa"/>
            <w:tcBorders>
              <w:top w:val="nil"/>
              <w:left w:val="nil"/>
              <w:bottom w:val="nil"/>
              <w:right w:val="nil"/>
            </w:tcBorders>
            <w:shd w:val="clear" w:color="auto" w:fill="auto"/>
            <w:noWrap/>
            <w:vAlign w:val="bottom"/>
            <w:hideMark/>
          </w:tcPr>
          <w:p w14:paraId="458C367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44042.8</w:t>
            </w:r>
          </w:p>
        </w:tc>
      </w:tr>
      <w:tr w:rsidR="002871BA" w:rsidRPr="002871BA" w14:paraId="5DA86FA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A7170B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1CFEE48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43638.5</w:t>
            </w:r>
          </w:p>
        </w:tc>
        <w:tc>
          <w:tcPr>
            <w:tcW w:w="1200" w:type="dxa"/>
            <w:tcBorders>
              <w:top w:val="nil"/>
              <w:left w:val="nil"/>
              <w:bottom w:val="nil"/>
              <w:right w:val="nil"/>
            </w:tcBorders>
            <w:shd w:val="clear" w:color="auto" w:fill="auto"/>
            <w:noWrap/>
            <w:vAlign w:val="bottom"/>
            <w:hideMark/>
          </w:tcPr>
          <w:p w14:paraId="79917E5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44050.8</w:t>
            </w:r>
          </w:p>
        </w:tc>
      </w:tr>
      <w:tr w:rsidR="002871BA" w:rsidRPr="002871BA" w14:paraId="140AE15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1D10FC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C57D7A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43638.6</w:t>
            </w:r>
          </w:p>
        </w:tc>
        <w:tc>
          <w:tcPr>
            <w:tcW w:w="1200" w:type="dxa"/>
            <w:tcBorders>
              <w:top w:val="nil"/>
              <w:left w:val="nil"/>
              <w:bottom w:val="nil"/>
              <w:right w:val="nil"/>
            </w:tcBorders>
            <w:shd w:val="clear" w:color="auto" w:fill="auto"/>
            <w:noWrap/>
            <w:vAlign w:val="bottom"/>
            <w:hideMark/>
          </w:tcPr>
          <w:p w14:paraId="00FA0E7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44044.4</w:t>
            </w:r>
          </w:p>
        </w:tc>
      </w:tr>
      <w:tr w:rsidR="002871BA" w:rsidRPr="002871BA" w14:paraId="20C8D02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073EA8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lastRenderedPageBreak/>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9F9F2A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43638.8</w:t>
            </w:r>
          </w:p>
        </w:tc>
        <w:tc>
          <w:tcPr>
            <w:tcW w:w="1200" w:type="dxa"/>
            <w:tcBorders>
              <w:top w:val="nil"/>
              <w:left w:val="nil"/>
              <w:bottom w:val="nil"/>
              <w:right w:val="nil"/>
            </w:tcBorders>
            <w:shd w:val="clear" w:color="auto" w:fill="auto"/>
            <w:noWrap/>
            <w:vAlign w:val="bottom"/>
            <w:hideMark/>
          </w:tcPr>
          <w:p w14:paraId="04E0026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44038.1</w:t>
            </w:r>
          </w:p>
        </w:tc>
      </w:tr>
      <w:tr w:rsidR="002871BA" w:rsidRPr="002871BA" w14:paraId="5581C41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2E664D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BB7BC4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43639.2</w:t>
            </w:r>
          </w:p>
        </w:tc>
        <w:tc>
          <w:tcPr>
            <w:tcW w:w="1200" w:type="dxa"/>
            <w:tcBorders>
              <w:top w:val="nil"/>
              <w:left w:val="nil"/>
              <w:bottom w:val="nil"/>
              <w:right w:val="nil"/>
            </w:tcBorders>
            <w:shd w:val="clear" w:color="auto" w:fill="auto"/>
            <w:noWrap/>
            <w:vAlign w:val="bottom"/>
            <w:hideMark/>
          </w:tcPr>
          <w:p w14:paraId="02BE319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44031.9</w:t>
            </w:r>
          </w:p>
        </w:tc>
      </w:tr>
      <w:tr w:rsidR="002871BA" w:rsidRPr="002871BA" w14:paraId="2B5DFA1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E4BF2A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2A8FB2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43640.4</w:t>
            </w:r>
          </w:p>
        </w:tc>
        <w:tc>
          <w:tcPr>
            <w:tcW w:w="1200" w:type="dxa"/>
            <w:tcBorders>
              <w:top w:val="nil"/>
              <w:left w:val="nil"/>
              <w:bottom w:val="nil"/>
              <w:right w:val="nil"/>
            </w:tcBorders>
            <w:shd w:val="clear" w:color="auto" w:fill="auto"/>
            <w:noWrap/>
            <w:vAlign w:val="bottom"/>
            <w:hideMark/>
          </w:tcPr>
          <w:p w14:paraId="57B73AF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44059.4</w:t>
            </w:r>
          </w:p>
        </w:tc>
      </w:tr>
      <w:tr w:rsidR="002871BA" w:rsidRPr="002871BA" w14:paraId="5E9E6A8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F4EF39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22E4593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43641.3</w:t>
            </w:r>
          </w:p>
        </w:tc>
        <w:tc>
          <w:tcPr>
            <w:tcW w:w="1200" w:type="dxa"/>
            <w:tcBorders>
              <w:top w:val="nil"/>
              <w:left w:val="nil"/>
              <w:bottom w:val="nil"/>
              <w:right w:val="nil"/>
            </w:tcBorders>
            <w:shd w:val="clear" w:color="auto" w:fill="auto"/>
            <w:noWrap/>
            <w:vAlign w:val="bottom"/>
            <w:hideMark/>
          </w:tcPr>
          <w:p w14:paraId="2D3ED5D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44014.4</w:t>
            </w:r>
          </w:p>
        </w:tc>
      </w:tr>
      <w:tr w:rsidR="002871BA" w:rsidRPr="002871BA" w14:paraId="40D42AD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E6A8E1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58D9232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43641.5</w:t>
            </w:r>
          </w:p>
        </w:tc>
        <w:tc>
          <w:tcPr>
            <w:tcW w:w="1200" w:type="dxa"/>
            <w:tcBorders>
              <w:top w:val="nil"/>
              <w:left w:val="nil"/>
              <w:bottom w:val="nil"/>
              <w:right w:val="nil"/>
            </w:tcBorders>
            <w:shd w:val="clear" w:color="auto" w:fill="auto"/>
            <w:noWrap/>
            <w:vAlign w:val="bottom"/>
            <w:hideMark/>
          </w:tcPr>
          <w:p w14:paraId="1D2573B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44066.9</w:t>
            </w:r>
          </w:p>
        </w:tc>
      </w:tr>
      <w:tr w:rsidR="002871BA" w:rsidRPr="002871BA" w14:paraId="0490F82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67B3B6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0A320C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43641.6</w:t>
            </w:r>
          </w:p>
        </w:tc>
        <w:tc>
          <w:tcPr>
            <w:tcW w:w="1200" w:type="dxa"/>
            <w:tcBorders>
              <w:top w:val="nil"/>
              <w:left w:val="nil"/>
              <w:bottom w:val="nil"/>
              <w:right w:val="nil"/>
            </w:tcBorders>
            <w:shd w:val="clear" w:color="auto" w:fill="auto"/>
            <w:noWrap/>
            <w:vAlign w:val="bottom"/>
            <w:hideMark/>
          </w:tcPr>
          <w:p w14:paraId="6D2D793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44060.5</w:t>
            </w:r>
          </w:p>
        </w:tc>
      </w:tr>
      <w:tr w:rsidR="002871BA" w:rsidRPr="002871BA" w14:paraId="55C9BE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88D6FC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7504E25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43642.0</w:t>
            </w:r>
          </w:p>
        </w:tc>
        <w:tc>
          <w:tcPr>
            <w:tcW w:w="1200" w:type="dxa"/>
            <w:tcBorders>
              <w:top w:val="nil"/>
              <w:left w:val="nil"/>
              <w:bottom w:val="nil"/>
              <w:right w:val="nil"/>
            </w:tcBorders>
            <w:shd w:val="clear" w:color="auto" w:fill="auto"/>
            <w:noWrap/>
            <w:vAlign w:val="bottom"/>
            <w:hideMark/>
          </w:tcPr>
          <w:p w14:paraId="576B989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44054.3</w:t>
            </w:r>
          </w:p>
        </w:tc>
      </w:tr>
      <w:tr w:rsidR="002871BA" w:rsidRPr="002871BA" w14:paraId="2CE65ED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93D46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D48F7C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43642.1</w:t>
            </w:r>
          </w:p>
        </w:tc>
        <w:tc>
          <w:tcPr>
            <w:tcW w:w="1200" w:type="dxa"/>
            <w:tcBorders>
              <w:top w:val="nil"/>
              <w:left w:val="nil"/>
              <w:bottom w:val="nil"/>
              <w:right w:val="nil"/>
            </w:tcBorders>
            <w:shd w:val="clear" w:color="auto" w:fill="auto"/>
            <w:noWrap/>
            <w:vAlign w:val="bottom"/>
            <w:hideMark/>
          </w:tcPr>
          <w:p w14:paraId="3357084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44080.7</w:t>
            </w:r>
          </w:p>
        </w:tc>
      </w:tr>
      <w:tr w:rsidR="002871BA" w:rsidRPr="002871BA" w14:paraId="666E93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CD15B6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26ABB36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43642.2</w:t>
            </w:r>
          </w:p>
        </w:tc>
        <w:tc>
          <w:tcPr>
            <w:tcW w:w="1200" w:type="dxa"/>
            <w:tcBorders>
              <w:top w:val="nil"/>
              <w:left w:val="nil"/>
              <w:bottom w:val="nil"/>
              <w:right w:val="nil"/>
            </w:tcBorders>
            <w:shd w:val="clear" w:color="auto" w:fill="auto"/>
            <w:noWrap/>
            <w:vAlign w:val="bottom"/>
            <w:hideMark/>
          </w:tcPr>
          <w:p w14:paraId="240ECA2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44048.0</w:t>
            </w:r>
          </w:p>
        </w:tc>
      </w:tr>
      <w:tr w:rsidR="002871BA" w:rsidRPr="002871BA" w14:paraId="3253F30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B1346C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6D9016C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43642.3</w:t>
            </w:r>
          </w:p>
        </w:tc>
        <w:tc>
          <w:tcPr>
            <w:tcW w:w="1200" w:type="dxa"/>
            <w:tcBorders>
              <w:top w:val="nil"/>
              <w:left w:val="nil"/>
              <w:bottom w:val="nil"/>
              <w:right w:val="nil"/>
            </w:tcBorders>
            <w:shd w:val="clear" w:color="auto" w:fill="auto"/>
            <w:noWrap/>
            <w:vAlign w:val="bottom"/>
            <w:hideMark/>
          </w:tcPr>
          <w:p w14:paraId="4BC727F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44067.8</w:t>
            </w:r>
          </w:p>
        </w:tc>
      </w:tr>
      <w:tr w:rsidR="002871BA" w:rsidRPr="002871BA" w14:paraId="1246ED2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99F79B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560DF67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43642.5</w:t>
            </w:r>
          </w:p>
        </w:tc>
        <w:tc>
          <w:tcPr>
            <w:tcW w:w="1200" w:type="dxa"/>
            <w:tcBorders>
              <w:top w:val="nil"/>
              <w:left w:val="nil"/>
              <w:bottom w:val="nil"/>
              <w:right w:val="nil"/>
            </w:tcBorders>
            <w:shd w:val="clear" w:color="auto" w:fill="auto"/>
            <w:noWrap/>
            <w:vAlign w:val="bottom"/>
            <w:hideMark/>
          </w:tcPr>
          <w:p w14:paraId="70B6076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44074.5</w:t>
            </w:r>
          </w:p>
        </w:tc>
      </w:tr>
      <w:tr w:rsidR="002871BA" w:rsidRPr="002871BA" w14:paraId="00B1C54B"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040EC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24B8224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43642.6</w:t>
            </w:r>
          </w:p>
        </w:tc>
        <w:tc>
          <w:tcPr>
            <w:tcW w:w="1200" w:type="dxa"/>
            <w:tcBorders>
              <w:top w:val="nil"/>
              <w:left w:val="nil"/>
              <w:bottom w:val="nil"/>
              <w:right w:val="nil"/>
            </w:tcBorders>
            <w:shd w:val="clear" w:color="auto" w:fill="auto"/>
            <w:noWrap/>
            <w:vAlign w:val="bottom"/>
            <w:hideMark/>
          </w:tcPr>
          <w:p w14:paraId="47075E1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44061.6</w:t>
            </w:r>
          </w:p>
        </w:tc>
      </w:tr>
      <w:tr w:rsidR="002871BA" w:rsidRPr="002871BA" w14:paraId="5DE16FF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EEA8A6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46CCD8E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43643.4</w:t>
            </w:r>
          </w:p>
        </w:tc>
        <w:tc>
          <w:tcPr>
            <w:tcW w:w="1200" w:type="dxa"/>
            <w:tcBorders>
              <w:top w:val="nil"/>
              <w:left w:val="nil"/>
              <w:bottom w:val="nil"/>
              <w:right w:val="nil"/>
            </w:tcBorders>
            <w:shd w:val="clear" w:color="auto" w:fill="auto"/>
            <w:noWrap/>
            <w:vAlign w:val="bottom"/>
            <w:hideMark/>
          </w:tcPr>
          <w:p w14:paraId="3BA902E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44075.4</w:t>
            </w:r>
          </w:p>
        </w:tc>
      </w:tr>
      <w:tr w:rsidR="002871BA" w:rsidRPr="002871BA" w14:paraId="26ED405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C9085C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F6A297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43644.2</w:t>
            </w:r>
          </w:p>
        </w:tc>
        <w:tc>
          <w:tcPr>
            <w:tcW w:w="1200" w:type="dxa"/>
            <w:tcBorders>
              <w:top w:val="nil"/>
              <w:left w:val="nil"/>
              <w:bottom w:val="nil"/>
              <w:right w:val="nil"/>
            </w:tcBorders>
            <w:shd w:val="clear" w:color="auto" w:fill="auto"/>
            <w:noWrap/>
            <w:vAlign w:val="bottom"/>
            <w:hideMark/>
          </w:tcPr>
          <w:p w14:paraId="66C4CCA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44089.3</w:t>
            </w:r>
          </w:p>
        </w:tc>
      </w:tr>
      <w:tr w:rsidR="002871BA" w:rsidRPr="002871BA" w14:paraId="424CAB8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6CA69F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4E4F846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43644.6</w:t>
            </w:r>
          </w:p>
        </w:tc>
        <w:tc>
          <w:tcPr>
            <w:tcW w:w="1200" w:type="dxa"/>
            <w:tcBorders>
              <w:top w:val="nil"/>
              <w:left w:val="nil"/>
              <w:bottom w:val="nil"/>
              <w:right w:val="nil"/>
            </w:tcBorders>
            <w:shd w:val="clear" w:color="auto" w:fill="auto"/>
            <w:noWrap/>
            <w:vAlign w:val="bottom"/>
            <w:hideMark/>
          </w:tcPr>
          <w:p w14:paraId="5B96C69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44057.0</w:t>
            </w:r>
          </w:p>
        </w:tc>
      </w:tr>
      <w:tr w:rsidR="002871BA" w:rsidRPr="002871BA" w14:paraId="257A276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25C2CE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7532BCB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43644.7</w:t>
            </w:r>
          </w:p>
        </w:tc>
        <w:tc>
          <w:tcPr>
            <w:tcW w:w="1200" w:type="dxa"/>
            <w:tcBorders>
              <w:top w:val="nil"/>
              <w:left w:val="nil"/>
              <w:bottom w:val="nil"/>
              <w:right w:val="nil"/>
            </w:tcBorders>
            <w:shd w:val="clear" w:color="auto" w:fill="auto"/>
            <w:noWrap/>
            <w:vAlign w:val="bottom"/>
            <w:hideMark/>
          </w:tcPr>
          <w:p w14:paraId="367E471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44030.9</w:t>
            </w:r>
          </w:p>
        </w:tc>
      </w:tr>
      <w:tr w:rsidR="002871BA" w:rsidRPr="002871BA" w14:paraId="1F4C143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A458EE6"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988058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43645.0</w:t>
            </w:r>
          </w:p>
        </w:tc>
        <w:tc>
          <w:tcPr>
            <w:tcW w:w="1200" w:type="dxa"/>
            <w:tcBorders>
              <w:top w:val="nil"/>
              <w:left w:val="nil"/>
              <w:bottom w:val="nil"/>
              <w:right w:val="nil"/>
            </w:tcBorders>
            <w:shd w:val="clear" w:color="auto" w:fill="auto"/>
            <w:noWrap/>
            <w:vAlign w:val="bottom"/>
            <w:hideMark/>
          </w:tcPr>
          <w:p w14:paraId="32486B6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44083.6</w:t>
            </w:r>
          </w:p>
        </w:tc>
      </w:tr>
      <w:tr w:rsidR="002871BA" w:rsidRPr="002871BA" w14:paraId="30296F3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4B09A16"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46140D7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43646.1</w:t>
            </w:r>
          </w:p>
        </w:tc>
        <w:tc>
          <w:tcPr>
            <w:tcW w:w="1200" w:type="dxa"/>
            <w:tcBorders>
              <w:top w:val="nil"/>
              <w:left w:val="nil"/>
              <w:bottom w:val="nil"/>
              <w:right w:val="nil"/>
            </w:tcBorders>
            <w:shd w:val="clear" w:color="auto" w:fill="auto"/>
            <w:noWrap/>
            <w:vAlign w:val="bottom"/>
            <w:hideMark/>
          </w:tcPr>
          <w:p w14:paraId="0A5669E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44078.1</w:t>
            </w:r>
          </w:p>
        </w:tc>
      </w:tr>
      <w:tr w:rsidR="002871BA" w:rsidRPr="002871BA" w14:paraId="1B9FD6B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09BDEC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6BE5DA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43646.2</w:t>
            </w:r>
          </w:p>
        </w:tc>
        <w:tc>
          <w:tcPr>
            <w:tcW w:w="1200" w:type="dxa"/>
            <w:tcBorders>
              <w:top w:val="nil"/>
              <w:left w:val="nil"/>
              <w:bottom w:val="nil"/>
              <w:right w:val="nil"/>
            </w:tcBorders>
            <w:shd w:val="clear" w:color="auto" w:fill="auto"/>
            <w:noWrap/>
            <w:vAlign w:val="bottom"/>
            <w:hideMark/>
          </w:tcPr>
          <w:p w14:paraId="401C601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44097.8</w:t>
            </w:r>
          </w:p>
        </w:tc>
      </w:tr>
      <w:tr w:rsidR="002871BA" w:rsidRPr="002871BA" w14:paraId="754A455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DFDA57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66C2994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43646.3</w:t>
            </w:r>
          </w:p>
        </w:tc>
        <w:tc>
          <w:tcPr>
            <w:tcW w:w="1200" w:type="dxa"/>
            <w:tcBorders>
              <w:top w:val="nil"/>
              <w:left w:val="nil"/>
              <w:bottom w:val="nil"/>
              <w:right w:val="nil"/>
            </w:tcBorders>
            <w:shd w:val="clear" w:color="auto" w:fill="auto"/>
            <w:noWrap/>
            <w:vAlign w:val="bottom"/>
            <w:hideMark/>
          </w:tcPr>
          <w:p w14:paraId="527F361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44091.4</w:t>
            </w:r>
          </w:p>
        </w:tc>
      </w:tr>
      <w:tr w:rsidR="002871BA" w:rsidRPr="002871BA" w14:paraId="7C499F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D536E5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44BD58D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43646.8</w:t>
            </w:r>
          </w:p>
        </w:tc>
        <w:tc>
          <w:tcPr>
            <w:tcW w:w="1200" w:type="dxa"/>
            <w:tcBorders>
              <w:top w:val="nil"/>
              <w:left w:val="nil"/>
              <w:bottom w:val="nil"/>
              <w:right w:val="nil"/>
            </w:tcBorders>
            <w:shd w:val="clear" w:color="auto" w:fill="auto"/>
            <w:noWrap/>
            <w:vAlign w:val="bottom"/>
            <w:hideMark/>
          </w:tcPr>
          <w:p w14:paraId="2F05603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44098.4</w:t>
            </w:r>
          </w:p>
        </w:tc>
      </w:tr>
      <w:tr w:rsidR="002871BA" w:rsidRPr="002871BA" w14:paraId="78F6EAF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F79238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554E20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43647.5</w:t>
            </w:r>
          </w:p>
        </w:tc>
        <w:tc>
          <w:tcPr>
            <w:tcW w:w="1200" w:type="dxa"/>
            <w:tcBorders>
              <w:top w:val="nil"/>
              <w:left w:val="nil"/>
              <w:bottom w:val="nil"/>
              <w:right w:val="nil"/>
            </w:tcBorders>
            <w:shd w:val="clear" w:color="auto" w:fill="auto"/>
            <w:noWrap/>
            <w:vAlign w:val="bottom"/>
            <w:hideMark/>
          </w:tcPr>
          <w:p w14:paraId="3471487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44112.3</w:t>
            </w:r>
          </w:p>
        </w:tc>
      </w:tr>
      <w:tr w:rsidR="002871BA" w:rsidRPr="002871BA" w14:paraId="3B2ABF0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3A0830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2FCFB56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43647.8</w:t>
            </w:r>
          </w:p>
        </w:tc>
        <w:tc>
          <w:tcPr>
            <w:tcW w:w="1200" w:type="dxa"/>
            <w:tcBorders>
              <w:top w:val="nil"/>
              <w:left w:val="nil"/>
              <w:bottom w:val="nil"/>
              <w:right w:val="nil"/>
            </w:tcBorders>
            <w:shd w:val="clear" w:color="auto" w:fill="auto"/>
            <w:noWrap/>
            <w:vAlign w:val="bottom"/>
            <w:hideMark/>
          </w:tcPr>
          <w:p w14:paraId="4E70098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44047.1</w:t>
            </w:r>
          </w:p>
        </w:tc>
      </w:tr>
      <w:tr w:rsidR="002871BA" w:rsidRPr="002871BA" w14:paraId="49843A3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1EF962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0F6161B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43648.0</w:t>
            </w:r>
          </w:p>
        </w:tc>
        <w:tc>
          <w:tcPr>
            <w:tcW w:w="1200" w:type="dxa"/>
            <w:tcBorders>
              <w:top w:val="nil"/>
              <w:left w:val="nil"/>
              <w:bottom w:val="nil"/>
              <w:right w:val="nil"/>
            </w:tcBorders>
            <w:shd w:val="clear" w:color="auto" w:fill="auto"/>
            <w:noWrap/>
            <w:vAlign w:val="bottom"/>
            <w:hideMark/>
          </w:tcPr>
          <w:p w14:paraId="25EE7ED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44106.2</w:t>
            </w:r>
          </w:p>
        </w:tc>
      </w:tr>
      <w:tr w:rsidR="002871BA" w:rsidRPr="002871BA" w14:paraId="3F60118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0BA60D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921100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43648.0</w:t>
            </w:r>
          </w:p>
        </w:tc>
        <w:tc>
          <w:tcPr>
            <w:tcW w:w="1200" w:type="dxa"/>
            <w:tcBorders>
              <w:top w:val="nil"/>
              <w:left w:val="nil"/>
              <w:bottom w:val="nil"/>
              <w:right w:val="nil"/>
            </w:tcBorders>
            <w:shd w:val="clear" w:color="auto" w:fill="auto"/>
            <w:noWrap/>
            <w:vAlign w:val="bottom"/>
            <w:hideMark/>
          </w:tcPr>
          <w:p w14:paraId="4471088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44106.2</w:t>
            </w:r>
          </w:p>
        </w:tc>
      </w:tr>
      <w:tr w:rsidR="002871BA" w:rsidRPr="002871BA" w14:paraId="4E0F373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38D71F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445AB9B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43648.9</w:t>
            </w:r>
          </w:p>
        </w:tc>
        <w:tc>
          <w:tcPr>
            <w:tcW w:w="1200" w:type="dxa"/>
            <w:tcBorders>
              <w:top w:val="nil"/>
              <w:left w:val="nil"/>
              <w:bottom w:val="nil"/>
              <w:right w:val="nil"/>
            </w:tcBorders>
            <w:shd w:val="clear" w:color="auto" w:fill="auto"/>
            <w:noWrap/>
            <w:vAlign w:val="bottom"/>
            <w:hideMark/>
          </w:tcPr>
          <w:p w14:paraId="6794AF1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44094.0</w:t>
            </w:r>
          </w:p>
        </w:tc>
      </w:tr>
      <w:tr w:rsidR="002871BA" w:rsidRPr="002871BA" w14:paraId="7C2AFBA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8C5211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7D93B52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43649.6</w:t>
            </w:r>
          </w:p>
        </w:tc>
        <w:tc>
          <w:tcPr>
            <w:tcW w:w="1200" w:type="dxa"/>
            <w:tcBorders>
              <w:top w:val="nil"/>
              <w:left w:val="nil"/>
              <w:bottom w:val="nil"/>
              <w:right w:val="nil"/>
            </w:tcBorders>
            <w:shd w:val="clear" w:color="auto" w:fill="auto"/>
            <w:noWrap/>
            <w:vAlign w:val="bottom"/>
            <w:hideMark/>
          </w:tcPr>
          <w:p w14:paraId="2699FA7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44016.1</w:t>
            </w:r>
          </w:p>
        </w:tc>
      </w:tr>
      <w:tr w:rsidR="002871BA" w:rsidRPr="002871BA" w14:paraId="2CA317D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8050DA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14E8E34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43650.2</w:t>
            </w:r>
          </w:p>
        </w:tc>
        <w:tc>
          <w:tcPr>
            <w:tcW w:w="1200" w:type="dxa"/>
            <w:tcBorders>
              <w:top w:val="nil"/>
              <w:left w:val="nil"/>
              <w:bottom w:val="nil"/>
              <w:right w:val="nil"/>
            </w:tcBorders>
            <w:shd w:val="clear" w:color="auto" w:fill="auto"/>
            <w:noWrap/>
            <w:vAlign w:val="bottom"/>
            <w:hideMark/>
          </w:tcPr>
          <w:p w14:paraId="45641C6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44088.7</w:t>
            </w:r>
          </w:p>
        </w:tc>
      </w:tr>
      <w:tr w:rsidR="002871BA" w:rsidRPr="002871BA" w14:paraId="16C52E4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7D6DE0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90FEE6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43650.4</w:t>
            </w:r>
          </w:p>
        </w:tc>
        <w:tc>
          <w:tcPr>
            <w:tcW w:w="1200" w:type="dxa"/>
            <w:tcBorders>
              <w:top w:val="nil"/>
              <w:left w:val="nil"/>
              <w:bottom w:val="nil"/>
              <w:right w:val="nil"/>
            </w:tcBorders>
            <w:shd w:val="clear" w:color="auto" w:fill="auto"/>
            <w:noWrap/>
            <w:vAlign w:val="bottom"/>
            <w:hideMark/>
          </w:tcPr>
          <w:p w14:paraId="533AEDE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44121.7</w:t>
            </w:r>
          </w:p>
        </w:tc>
      </w:tr>
      <w:tr w:rsidR="002871BA" w:rsidRPr="002871BA" w14:paraId="588C183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58E1E16"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824EAD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43650.4</w:t>
            </w:r>
          </w:p>
        </w:tc>
        <w:tc>
          <w:tcPr>
            <w:tcW w:w="1200" w:type="dxa"/>
            <w:tcBorders>
              <w:top w:val="nil"/>
              <w:left w:val="nil"/>
              <w:bottom w:val="nil"/>
              <w:right w:val="nil"/>
            </w:tcBorders>
            <w:shd w:val="clear" w:color="auto" w:fill="auto"/>
            <w:noWrap/>
            <w:vAlign w:val="bottom"/>
            <w:hideMark/>
          </w:tcPr>
          <w:p w14:paraId="1B52F4F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44082.4</w:t>
            </w:r>
          </w:p>
        </w:tc>
      </w:tr>
      <w:tr w:rsidR="002871BA" w:rsidRPr="002871BA" w14:paraId="370CFC3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18A058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=8)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7703803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43650.5</w:t>
            </w:r>
          </w:p>
        </w:tc>
        <w:tc>
          <w:tcPr>
            <w:tcW w:w="1200" w:type="dxa"/>
            <w:tcBorders>
              <w:top w:val="nil"/>
              <w:left w:val="nil"/>
              <w:bottom w:val="nil"/>
              <w:right w:val="nil"/>
            </w:tcBorders>
            <w:shd w:val="clear" w:color="auto" w:fill="auto"/>
            <w:noWrap/>
            <w:vAlign w:val="bottom"/>
            <w:hideMark/>
          </w:tcPr>
          <w:p w14:paraId="5C5B565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44121.8</w:t>
            </w:r>
          </w:p>
        </w:tc>
      </w:tr>
      <w:tr w:rsidR="002871BA" w:rsidRPr="002871BA" w14:paraId="2489083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08356A7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0441CA1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43652.1</w:t>
            </w:r>
          </w:p>
        </w:tc>
        <w:tc>
          <w:tcPr>
            <w:tcW w:w="1200" w:type="dxa"/>
            <w:tcBorders>
              <w:top w:val="nil"/>
              <w:left w:val="nil"/>
              <w:bottom w:val="nil"/>
              <w:right w:val="nil"/>
            </w:tcBorders>
            <w:shd w:val="clear" w:color="auto" w:fill="auto"/>
            <w:noWrap/>
            <w:vAlign w:val="bottom"/>
            <w:hideMark/>
          </w:tcPr>
          <w:p w14:paraId="6AF3C2E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44077.6</w:t>
            </w:r>
          </w:p>
        </w:tc>
      </w:tr>
      <w:tr w:rsidR="002871BA" w:rsidRPr="002871BA" w14:paraId="1E6F6EF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80DCA6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=7)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041B8F4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43652.6</w:t>
            </w:r>
          </w:p>
        </w:tc>
        <w:tc>
          <w:tcPr>
            <w:tcW w:w="1200" w:type="dxa"/>
            <w:tcBorders>
              <w:top w:val="nil"/>
              <w:left w:val="nil"/>
              <w:bottom w:val="nil"/>
              <w:right w:val="nil"/>
            </w:tcBorders>
            <w:shd w:val="clear" w:color="auto" w:fill="auto"/>
            <w:noWrap/>
            <w:vAlign w:val="bottom"/>
            <w:hideMark/>
          </w:tcPr>
          <w:p w14:paraId="3053EB1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44117.4</w:t>
            </w:r>
          </w:p>
        </w:tc>
      </w:tr>
      <w:tr w:rsidR="002871BA" w:rsidRPr="002871BA" w14:paraId="568577B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4017CE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=9)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3821B56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43652.9</w:t>
            </w:r>
          </w:p>
        </w:tc>
        <w:tc>
          <w:tcPr>
            <w:tcW w:w="1200" w:type="dxa"/>
            <w:tcBorders>
              <w:top w:val="nil"/>
              <w:left w:val="nil"/>
              <w:bottom w:val="nil"/>
              <w:right w:val="nil"/>
            </w:tcBorders>
            <w:shd w:val="clear" w:color="auto" w:fill="auto"/>
            <w:noWrap/>
            <w:vAlign w:val="bottom"/>
            <w:hideMark/>
          </w:tcPr>
          <w:p w14:paraId="003A456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44130.7</w:t>
            </w:r>
          </w:p>
        </w:tc>
      </w:tr>
      <w:tr w:rsidR="002871BA" w:rsidRPr="002871BA" w14:paraId="657D979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94E14D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2381C21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43653.0</w:t>
            </w:r>
          </w:p>
        </w:tc>
        <w:tc>
          <w:tcPr>
            <w:tcW w:w="1200" w:type="dxa"/>
            <w:tcBorders>
              <w:top w:val="nil"/>
              <w:left w:val="nil"/>
              <w:bottom w:val="nil"/>
              <w:right w:val="nil"/>
            </w:tcBorders>
            <w:shd w:val="clear" w:color="auto" w:fill="auto"/>
            <w:noWrap/>
            <w:vAlign w:val="bottom"/>
            <w:hideMark/>
          </w:tcPr>
          <w:p w14:paraId="440095B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44032.6</w:t>
            </w:r>
          </w:p>
        </w:tc>
      </w:tr>
      <w:tr w:rsidR="002871BA" w:rsidRPr="002871BA" w14:paraId="712F1C2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E2DD94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FF4FC3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43653.0</w:t>
            </w:r>
          </w:p>
        </w:tc>
        <w:tc>
          <w:tcPr>
            <w:tcW w:w="1200" w:type="dxa"/>
            <w:tcBorders>
              <w:top w:val="nil"/>
              <w:left w:val="nil"/>
              <w:bottom w:val="nil"/>
              <w:right w:val="nil"/>
            </w:tcBorders>
            <w:shd w:val="clear" w:color="auto" w:fill="auto"/>
            <w:noWrap/>
            <w:vAlign w:val="bottom"/>
            <w:hideMark/>
          </w:tcPr>
          <w:p w14:paraId="547D97A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44078.5</w:t>
            </w:r>
          </w:p>
        </w:tc>
      </w:tr>
      <w:tr w:rsidR="002871BA" w:rsidRPr="002871BA" w14:paraId="79E6B1D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572EF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=5)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26B1F29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43653.8</w:t>
            </w:r>
          </w:p>
        </w:tc>
        <w:tc>
          <w:tcPr>
            <w:tcW w:w="1200" w:type="dxa"/>
            <w:tcBorders>
              <w:top w:val="nil"/>
              <w:left w:val="nil"/>
              <w:bottom w:val="nil"/>
              <w:right w:val="nil"/>
            </w:tcBorders>
            <w:shd w:val="clear" w:color="auto" w:fill="auto"/>
            <w:noWrap/>
            <w:vAlign w:val="bottom"/>
            <w:hideMark/>
          </w:tcPr>
          <w:p w14:paraId="13B3F5B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44105.4</w:t>
            </w:r>
          </w:p>
        </w:tc>
      </w:tr>
      <w:tr w:rsidR="002871BA" w:rsidRPr="002871BA" w14:paraId="60B2D55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2426E9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699846C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43654.1</w:t>
            </w:r>
          </w:p>
        </w:tc>
        <w:tc>
          <w:tcPr>
            <w:tcW w:w="1200" w:type="dxa"/>
            <w:tcBorders>
              <w:top w:val="nil"/>
              <w:left w:val="nil"/>
              <w:bottom w:val="nil"/>
              <w:right w:val="nil"/>
            </w:tcBorders>
            <w:shd w:val="clear" w:color="auto" w:fill="auto"/>
            <w:noWrap/>
            <w:vAlign w:val="bottom"/>
            <w:hideMark/>
          </w:tcPr>
          <w:p w14:paraId="11E0308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44099.2</w:t>
            </w:r>
          </w:p>
        </w:tc>
      </w:tr>
      <w:tr w:rsidR="002871BA" w:rsidRPr="002871BA" w14:paraId="719143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7AFD8E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=10)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401FFAE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43654.2</w:t>
            </w:r>
          </w:p>
        </w:tc>
        <w:tc>
          <w:tcPr>
            <w:tcW w:w="1200" w:type="dxa"/>
            <w:tcBorders>
              <w:top w:val="nil"/>
              <w:left w:val="nil"/>
              <w:bottom w:val="nil"/>
              <w:right w:val="nil"/>
            </w:tcBorders>
            <w:shd w:val="clear" w:color="auto" w:fill="auto"/>
            <w:noWrap/>
            <w:vAlign w:val="bottom"/>
            <w:hideMark/>
          </w:tcPr>
          <w:p w14:paraId="25E8DDC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44138.6</w:t>
            </w:r>
          </w:p>
        </w:tc>
      </w:tr>
      <w:tr w:rsidR="002871BA" w:rsidRPr="002871BA" w14:paraId="24BFF94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CD7A3B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=6)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27B1C83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43654.6</w:t>
            </w:r>
          </w:p>
        </w:tc>
        <w:tc>
          <w:tcPr>
            <w:tcW w:w="1200" w:type="dxa"/>
            <w:tcBorders>
              <w:top w:val="nil"/>
              <w:left w:val="nil"/>
              <w:bottom w:val="nil"/>
              <w:right w:val="nil"/>
            </w:tcBorders>
            <w:shd w:val="clear" w:color="auto" w:fill="auto"/>
            <w:noWrap/>
            <w:vAlign w:val="bottom"/>
            <w:hideMark/>
          </w:tcPr>
          <w:p w14:paraId="6A5A496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44112.8</w:t>
            </w:r>
          </w:p>
        </w:tc>
      </w:tr>
      <w:tr w:rsidR="002871BA" w:rsidRPr="002871BA" w14:paraId="53D4D23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73CBA78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6E60A5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43654.9</w:t>
            </w:r>
          </w:p>
        </w:tc>
        <w:tc>
          <w:tcPr>
            <w:tcW w:w="1200" w:type="dxa"/>
            <w:tcBorders>
              <w:top w:val="nil"/>
              <w:left w:val="nil"/>
              <w:bottom w:val="nil"/>
              <w:right w:val="nil"/>
            </w:tcBorders>
            <w:shd w:val="clear" w:color="auto" w:fill="auto"/>
            <w:noWrap/>
            <w:vAlign w:val="bottom"/>
            <w:hideMark/>
          </w:tcPr>
          <w:p w14:paraId="22272C2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44047.6</w:t>
            </w:r>
          </w:p>
        </w:tc>
      </w:tr>
      <w:tr w:rsidR="002871BA" w:rsidRPr="002871BA" w14:paraId="0B46AF1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6926FB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5AD4752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43656.0</w:t>
            </w:r>
          </w:p>
        </w:tc>
        <w:tc>
          <w:tcPr>
            <w:tcW w:w="1200" w:type="dxa"/>
            <w:tcBorders>
              <w:top w:val="nil"/>
              <w:left w:val="nil"/>
              <w:bottom w:val="nil"/>
              <w:right w:val="nil"/>
            </w:tcBorders>
            <w:shd w:val="clear" w:color="auto" w:fill="auto"/>
            <w:noWrap/>
            <w:vAlign w:val="bottom"/>
            <w:hideMark/>
          </w:tcPr>
          <w:p w14:paraId="239E4EE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44094.5</w:t>
            </w:r>
          </w:p>
        </w:tc>
      </w:tr>
      <w:tr w:rsidR="002871BA" w:rsidRPr="002871BA" w14:paraId="0E9C16A7"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1B6F84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535F216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43656.6</w:t>
            </w:r>
          </w:p>
        </w:tc>
        <w:tc>
          <w:tcPr>
            <w:tcW w:w="1200" w:type="dxa"/>
            <w:tcBorders>
              <w:top w:val="nil"/>
              <w:left w:val="nil"/>
              <w:bottom w:val="nil"/>
              <w:right w:val="nil"/>
            </w:tcBorders>
            <w:shd w:val="clear" w:color="auto" w:fill="auto"/>
            <w:noWrap/>
            <w:vAlign w:val="bottom"/>
            <w:hideMark/>
          </w:tcPr>
          <w:p w14:paraId="0391E21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44069.0</w:t>
            </w:r>
          </w:p>
        </w:tc>
      </w:tr>
      <w:tr w:rsidR="002871BA" w:rsidRPr="002871BA" w14:paraId="1C2E1581"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51DCD4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3358D0A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43656.7</w:t>
            </w:r>
          </w:p>
        </w:tc>
        <w:tc>
          <w:tcPr>
            <w:tcW w:w="1200" w:type="dxa"/>
            <w:tcBorders>
              <w:top w:val="nil"/>
              <w:left w:val="nil"/>
              <w:bottom w:val="nil"/>
              <w:right w:val="nil"/>
            </w:tcBorders>
            <w:shd w:val="clear" w:color="auto" w:fill="auto"/>
            <w:noWrap/>
            <w:vAlign w:val="bottom"/>
            <w:hideMark/>
          </w:tcPr>
          <w:p w14:paraId="7149181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44062.5</w:t>
            </w:r>
          </w:p>
        </w:tc>
      </w:tr>
      <w:tr w:rsidR="002871BA" w:rsidRPr="002871BA" w14:paraId="7690D02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EFBC61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0BEC0E9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43657.0</w:t>
            </w:r>
          </w:p>
        </w:tc>
        <w:tc>
          <w:tcPr>
            <w:tcW w:w="1200" w:type="dxa"/>
            <w:tcBorders>
              <w:top w:val="nil"/>
              <w:left w:val="nil"/>
              <w:bottom w:val="nil"/>
              <w:right w:val="nil"/>
            </w:tcBorders>
            <w:shd w:val="clear" w:color="auto" w:fill="auto"/>
            <w:noWrap/>
            <w:vAlign w:val="bottom"/>
            <w:hideMark/>
          </w:tcPr>
          <w:p w14:paraId="79F9933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44017.0</w:t>
            </w:r>
          </w:p>
        </w:tc>
      </w:tr>
      <w:tr w:rsidR="002871BA" w:rsidRPr="002871BA" w14:paraId="7E20B70D"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C8E9D6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=4)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7639FAB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43657.8</w:t>
            </w:r>
          </w:p>
        </w:tc>
        <w:tc>
          <w:tcPr>
            <w:tcW w:w="1200" w:type="dxa"/>
            <w:tcBorders>
              <w:top w:val="nil"/>
              <w:left w:val="nil"/>
              <w:bottom w:val="nil"/>
              <w:right w:val="nil"/>
            </w:tcBorders>
            <w:shd w:val="clear" w:color="auto" w:fill="auto"/>
            <w:noWrap/>
            <w:vAlign w:val="bottom"/>
            <w:hideMark/>
          </w:tcPr>
          <w:p w14:paraId="29535CE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44076.7</w:t>
            </w:r>
          </w:p>
        </w:tc>
      </w:tr>
      <w:tr w:rsidR="002871BA" w:rsidRPr="002871BA" w14:paraId="56918E6E"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81B6E7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F690E0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43659.1</w:t>
            </w:r>
          </w:p>
        </w:tc>
        <w:tc>
          <w:tcPr>
            <w:tcW w:w="1200" w:type="dxa"/>
            <w:tcBorders>
              <w:top w:val="nil"/>
              <w:left w:val="nil"/>
              <w:bottom w:val="nil"/>
              <w:right w:val="nil"/>
            </w:tcBorders>
            <w:shd w:val="clear" w:color="auto" w:fill="auto"/>
            <w:noWrap/>
            <w:vAlign w:val="bottom"/>
            <w:hideMark/>
          </w:tcPr>
          <w:p w14:paraId="5C4B79E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44078.0</w:t>
            </w:r>
          </w:p>
        </w:tc>
      </w:tr>
      <w:tr w:rsidR="002871BA" w:rsidRPr="002871BA" w14:paraId="2A338F9F"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911EC2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2F9E488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43660.4</w:t>
            </w:r>
          </w:p>
        </w:tc>
        <w:tc>
          <w:tcPr>
            <w:tcW w:w="1200" w:type="dxa"/>
            <w:tcBorders>
              <w:top w:val="nil"/>
              <w:left w:val="nil"/>
              <w:bottom w:val="nil"/>
              <w:right w:val="nil"/>
            </w:tcBorders>
            <w:shd w:val="clear" w:color="auto" w:fill="auto"/>
            <w:noWrap/>
            <w:vAlign w:val="bottom"/>
            <w:hideMark/>
          </w:tcPr>
          <w:p w14:paraId="66501B4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44033.5</w:t>
            </w:r>
          </w:p>
        </w:tc>
      </w:tr>
      <w:tr w:rsidR="002871BA" w:rsidRPr="002871BA" w14:paraId="72FB28D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71980E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48731C5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43662.3</w:t>
            </w:r>
          </w:p>
        </w:tc>
        <w:tc>
          <w:tcPr>
            <w:tcW w:w="1200" w:type="dxa"/>
            <w:tcBorders>
              <w:top w:val="nil"/>
              <w:left w:val="nil"/>
              <w:bottom w:val="nil"/>
              <w:right w:val="nil"/>
            </w:tcBorders>
            <w:shd w:val="clear" w:color="auto" w:fill="auto"/>
            <w:noWrap/>
            <w:vAlign w:val="bottom"/>
            <w:hideMark/>
          </w:tcPr>
          <w:p w14:paraId="0312600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44094.3</w:t>
            </w:r>
          </w:p>
        </w:tc>
      </w:tr>
      <w:tr w:rsidR="002871BA" w:rsidRPr="002871BA" w14:paraId="446A8BE4"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85A855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33BA453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43662.4</w:t>
            </w:r>
          </w:p>
        </w:tc>
        <w:tc>
          <w:tcPr>
            <w:tcW w:w="1200" w:type="dxa"/>
            <w:tcBorders>
              <w:top w:val="nil"/>
              <w:left w:val="nil"/>
              <w:bottom w:val="nil"/>
              <w:right w:val="nil"/>
            </w:tcBorders>
            <w:shd w:val="clear" w:color="auto" w:fill="auto"/>
            <w:noWrap/>
            <w:vAlign w:val="bottom"/>
            <w:hideMark/>
          </w:tcPr>
          <w:p w14:paraId="0BFEAE1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44068.2</w:t>
            </w:r>
          </w:p>
        </w:tc>
      </w:tr>
      <w:tr w:rsidR="002871BA" w:rsidRPr="002871BA" w14:paraId="4D00E9FA"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857F3F"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0A6F706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43662.9</w:t>
            </w:r>
          </w:p>
        </w:tc>
        <w:tc>
          <w:tcPr>
            <w:tcW w:w="1200" w:type="dxa"/>
            <w:tcBorders>
              <w:top w:val="nil"/>
              <w:left w:val="nil"/>
              <w:bottom w:val="nil"/>
              <w:right w:val="nil"/>
            </w:tcBorders>
            <w:shd w:val="clear" w:color="auto" w:fill="auto"/>
            <w:noWrap/>
            <w:vAlign w:val="bottom"/>
            <w:hideMark/>
          </w:tcPr>
          <w:p w14:paraId="7038C59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44062.1</w:t>
            </w:r>
          </w:p>
        </w:tc>
      </w:tr>
      <w:tr w:rsidR="002871BA" w:rsidRPr="002871BA" w14:paraId="45B5353F"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71CF79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=3)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6D53E2B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43663.4</w:t>
            </w:r>
          </w:p>
        </w:tc>
        <w:tc>
          <w:tcPr>
            <w:tcW w:w="1200" w:type="dxa"/>
            <w:tcBorders>
              <w:top w:val="nil"/>
              <w:left w:val="nil"/>
              <w:bottom w:val="nil"/>
              <w:right w:val="nil"/>
            </w:tcBorders>
            <w:shd w:val="clear" w:color="auto" w:fill="auto"/>
            <w:noWrap/>
            <w:vAlign w:val="bottom"/>
            <w:hideMark/>
          </w:tcPr>
          <w:p w14:paraId="462CF4B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44049.6</w:t>
            </w:r>
          </w:p>
        </w:tc>
      </w:tr>
      <w:tr w:rsidR="002871BA" w:rsidRPr="002871BA" w14:paraId="5AD7E2A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53C89C2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521AB3EB"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43665.9</w:t>
            </w:r>
          </w:p>
        </w:tc>
        <w:tc>
          <w:tcPr>
            <w:tcW w:w="1200" w:type="dxa"/>
            <w:tcBorders>
              <w:top w:val="nil"/>
              <w:left w:val="nil"/>
              <w:bottom w:val="nil"/>
              <w:right w:val="nil"/>
            </w:tcBorders>
            <w:shd w:val="clear" w:color="auto" w:fill="auto"/>
            <w:noWrap/>
            <w:vAlign w:val="bottom"/>
            <w:hideMark/>
          </w:tcPr>
          <w:p w14:paraId="657529F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44058.7</w:t>
            </w:r>
          </w:p>
        </w:tc>
      </w:tr>
      <w:tr w:rsidR="002871BA" w:rsidRPr="002871BA" w14:paraId="79EAF7D2"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271E755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=6)</w:t>
            </w:r>
          </w:p>
        </w:tc>
        <w:tc>
          <w:tcPr>
            <w:tcW w:w="1200" w:type="dxa"/>
            <w:tcBorders>
              <w:top w:val="nil"/>
              <w:left w:val="nil"/>
              <w:bottom w:val="nil"/>
              <w:right w:val="nil"/>
            </w:tcBorders>
            <w:shd w:val="clear" w:color="auto" w:fill="auto"/>
            <w:noWrap/>
            <w:vAlign w:val="bottom"/>
            <w:hideMark/>
          </w:tcPr>
          <w:p w14:paraId="568924B6"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43669.3</w:t>
            </w:r>
          </w:p>
        </w:tc>
        <w:tc>
          <w:tcPr>
            <w:tcW w:w="1200" w:type="dxa"/>
            <w:tcBorders>
              <w:top w:val="nil"/>
              <w:left w:val="nil"/>
              <w:bottom w:val="nil"/>
              <w:right w:val="nil"/>
            </w:tcBorders>
            <w:shd w:val="clear" w:color="auto" w:fill="auto"/>
            <w:noWrap/>
            <w:vAlign w:val="bottom"/>
            <w:hideMark/>
          </w:tcPr>
          <w:p w14:paraId="66522F3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44081.7</w:t>
            </w:r>
          </w:p>
        </w:tc>
      </w:tr>
      <w:tr w:rsidR="002871BA" w:rsidRPr="002871BA" w14:paraId="06865780"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46322A2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0D86EAC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43670.0</w:t>
            </w:r>
          </w:p>
        </w:tc>
        <w:tc>
          <w:tcPr>
            <w:tcW w:w="1200" w:type="dxa"/>
            <w:tcBorders>
              <w:top w:val="nil"/>
              <w:left w:val="nil"/>
              <w:bottom w:val="nil"/>
              <w:right w:val="nil"/>
            </w:tcBorders>
            <w:shd w:val="clear" w:color="auto" w:fill="auto"/>
            <w:noWrap/>
            <w:vAlign w:val="bottom"/>
            <w:hideMark/>
          </w:tcPr>
          <w:p w14:paraId="0BE90C3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44049.6</w:t>
            </w:r>
          </w:p>
        </w:tc>
      </w:tr>
      <w:tr w:rsidR="002871BA" w:rsidRPr="002871BA" w14:paraId="56773988"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AD781D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=7)</w:t>
            </w:r>
          </w:p>
        </w:tc>
        <w:tc>
          <w:tcPr>
            <w:tcW w:w="1200" w:type="dxa"/>
            <w:tcBorders>
              <w:top w:val="nil"/>
              <w:left w:val="nil"/>
              <w:bottom w:val="nil"/>
              <w:right w:val="nil"/>
            </w:tcBorders>
            <w:shd w:val="clear" w:color="auto" w:fill="auto"/>
            <w:noWrap/>
            <w:vAlign w:val="bottom"/>
            <w:hideMark/>
          </w:tcPr>
          <w:p w14:paraId="689D2C1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43672.6</w:t>
            </w:r>
          </w:p>
        </w:tc>
        <w:tc>
          <w:tcPr>
            <w:tcW w:w="1200" w:type="dxa"/>
            <w:tcBorders>
              <w:top w:val="nil"/>
              <w:left w:val="nil"/>
              <w:bottom w:val="nil"/>
              <w:right w:val="nil"/>
            </w:tcBorders>
            <w:shd w:val="clear" w:color="auto" w:fill="auto"/>
            <w:noWrap/>
            <w:vAlign w:val="bottom"/>
            <w:hideMark/>
          </w:tcPr>
          <w:p w14:paraId="70B1222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44098.0</w:t>
            </w:r>
          </w:p>
        </w:tc>
      </w:tr>
      <w:tr w:rsidR="002871BA" w:rsidRPr="002871BA" w14:paraId="02285F3B"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36E705D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=5)</w:t>
            </w:r>
          </w:p>
        </w:tc>
        <w:tc>
          <w:tcPr>
            <w:tcW w:w="1200" w:type="dxa"/>
            <w:tcBorders>
              <w:top w:val="nil"/>
              <w:left w:val="nil"/>
              <w:bottom w:val="nil"/>
              <w:right w:val="nil"/>
            </w:tcBorders>
            <w:shd w:val="clear" w:color="auto" w:fill="auto"/>
            <w:noWrap/>
            <w:vAlign w:val="bottom"/>
            <w:hideMark/>
          </w:tcPr>
          <w:p w14:paraId="57D74D50"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43672.8</w:t>
            </w:r>
          </w:p>
        </w:tc>
        <w:tc>
          <w:tcPr>
            <w:tcW w:w="1200" w:type="dxa"/>
            <w:tcBorders>
              <w:top w:val="nil"/>
              <w:left w:val="nil"/>
              <w:bottom w:val="nil"/>
              <w:right w:val="nil"/>
            </w:tcBorders>
            <w:shd w:val="clear" w:color="auto" w:fill="auto"/>
            <w:noWrap/>
            <w:vAlign w:val="bottom"/>
            <w:hideMark/>
          </w:tcPr>
          <w:p w14:paraId="79BDD1D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44072.1</w:t>
            </w:r>
          </w:p>
        </w:tc>
      </w:tr>
      <w:tr w:rsidR="002871BA" w:rsidRPr="002871BA" w14:paraId="4A9A55B9"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1DA156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=4)</w:t>
            </w:r>
          </w:p>
        </w:tc>
        <w:tc>
          <w:tcPr>
            <w:tcW w:w="1200" w:type="dxa"/>
            <w:tcBorders>
              <w:top w:val="nil"/>
              <w:left w:val="nil"/>
              <w:bottom w:val="nil"/>
              <w:right w:val="nil"/>
            </w:tcBorders>
            <w:shd w:val="clear" w:color="auto" w:fill="auto"/>
            <w:noWrap/>
            <w:vAlign w:val="bottom"/>
            <w:hideMark/>
          </w:tcPr>
          <w:p w14:paraId="0673E86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43676.1</w:t>
            </w:r>
          </w:p>
        </w:tc>
        <w:tc>
          <w:tcPr>
            <w:tcW w:w="1200" w:type="dxa"/>
            <w:tcBorders>
              <w:top w:val="nil"/>
              <w:left w:val="nil"/>
              <w:bottom w:val="nil"/>
              <w:right w:val="nil"/>
            </w:tcBorders>
            <w:shd w:val="clear" w:color="auto" w:fill="auto"/>
            <w:noWrap/>
            <w:vAlign w:val="bottom"/>
            <w:hideMark/>
          </w:tcPr>
          <w:p w14:paraId="27A6F1E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44062.3</w:t>
            </w:r>
          </w:p>
        </w:tc>
      </w:tr>
      <w:tr w:rsidR="002871BA" w:rsidRPr="002871BA" w14:paraId="1560011C"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DD78642"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=3)</w:t>
            </w:r>
          </w:p>
        </w:tc>
        <w:tc>
          <w:tcPr>
            <w:tcW w:w="1200" w:type="dxa"/>
            <w:tcBorders>
              <w:top w:val="nil"/>
              <w:left w:val="nil"/>
              <w:bottom w:val="nil"/>
              <w:right w:val="nil"/>
            </w:tcBorders>
            <w:shd w:val="clear" w:color="auto" w:fill="auto"/>
            <w:noWrap/>
            <w:vAlign w:val="bottom"/>
            <w:hideMark/>
          </w:tcPr>
          <w:p w14:paraId="7046429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43679.4</w:t>
            </w:r>
          </w:p>
        </w:tc>
        <w:tc>
          <w:tcPr>
            <w:tcW w:w="1200" w:type="dxa"/>
            <w:tcBorders>
              <w:top w:val="nil"/>
              <w:left w:val="nil"/>
              <w:bottom w:val="nil"/>
              <w:right w:val="nil"/>
            </w:tcBorders>
            <w:shd w:val="clear" w:color="auto" w:fill="auto"/>
            <w:noWrap/>
            <w:vAlign w:val="bottom"/>
            <w:hideMark/>
          </w:tcPr>
          <w:p w14:paraId="527609B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44052.5</w:t>
            </w:r>
          </w:p>
        </w:tc>
      </w:tr>
      <w:tr w:rsidR="002871BA" w:rsidRPr="002871BA" w14:paraId="7B4D8AB3"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1F174F2A"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lastRenderedPageBreak/>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nil"/>
              <w:right w:val="nil"/>
            </w:tcBorders>
            <w:shd w:val="clear" w:color="auto" w:fill="auto"/>
            <w:noWrap/>
            <w:vAlign w:val="bottom"/>
            <w:hideMark/>
          </w:tcPr>
          <w:p w14:paraId="5C44B661"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43690.1</w:t>
            </w:r>
          </w:p>
        </w:tc>
        <w:tc>
          <w:tcPr>
            <w:tcW w:w="1200" w:type="dxa"/>
            <w:tcBorders>
              <w:top w:val="nil"/>
              <w:left w:val="nil"/>
              <w:bottom w:val="nil"/>
              <w:right w:val="nil"/>
            </w:tcBorders>
            <w:shd w:val="clear" w:color="auto" w:fill="auto"/>
            <w:noWrap/>
            <w:vAlign w:val="bottom"/>
            <w:hideMark/>
          </w:tcPr>
          <w:p w14:paraId="531582F3"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44043.5</w:t>
            </w:r>
          </w:p>
        </w:tc>
      </w:tr>
      <w:tr w:rsidR="002871BA" w:rsidRPr="002871BA" w14:paraId="513080F6" w14:textId="77777777" w:rsidTr="002871BA">
        <w:trPr>
          <w:trHeight w:val="20"/>
          <w:jc w:val="center"/>
        </w:trPr>
        <w:tc>
          <w:tcPr>
            <w:tcW w:w="2120" w:type="dxa"/>
            <w:tcBorders>
              <w:top w:val="nil"/>
              <w:left w:val="nil"/>
              <w:bottom w:val="nil"/>
              <w:right w:val="nil"/>
            </w:tcBorders>
            <w:shd w:val="clear" w:color="auto" w:fill="auto"/>
            <w:noWrap/>
            <w:vAlign w:val="bottom"/>
            <w:hideMark/>
          </w:tcPr>
          <w:p w14:paraId="68CF00D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=2)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bottom w:val="nil"/>
              <w:right w:val="nil"/>
            </w:tcBorders>
            <w:shd w:val="clear" w:color="auto" w:fill="auto"/>
            <w:noWrap/>
            <w:vAlign w:val="bottom"/>
            <w:hideMark/>
          </w:tcPr>
          <w:p w14:paraId="68603635"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43693.2</w:t>
            </w:r>
          </w:p>
        </w:tc>
        <w:tc>
          <w:tcPr>
            <w:tcW w:w="1200" w:type="dxa"/>
            <w:tcBorders>
              <w:top w:val="nil"/>
              <w:left w:val="nil"/>
              <w:bottom w:val="nil"/>
              <w:right w:val="nil"/>
            </w:tcBorders>
            <w:shd w:val="clear" w:color="auto" w:fill="auto"/>
            <w:noWrap/>
            <w:vAlign w:val="bottom"/>
            <w:hideMark/>
          </w:tcPr>
          <w:p w14:paraId="4E0C83FE"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44059.7</w:t>
            </w:r>
          </w:p>
        </w:tc>
      </w:tr>
      <w:tr w:rsidR="002871BA" w:rsidRPr="002871BA" w14:paraId="49BEB3C9" w14:textId="77777777" w:rsidTr="002871BA">
        <w:trPr>
          <w:trHeight w:val="20"/>
          <w:jc w:val="center"/>
        </w:trPr>
        <w:tc>
          <w:tcPr>
            <w:tcW w:w="2120" w:type="dxa"/>
            <w:tcBorders>
              <w:top w:val="nil"/>
              <w:left w:val="nil"/>
              <w:right w:val="nil"/>
            </w:tcBorders>
            <w:shd w:val="clear" w:color="auto" w:fill="auto"/>
            <w:noWrap/>
            <w:vAlign w:val="bottom"/>
            <w:hideMark/>
          </w:tcPr>
          <w:p w14:paraId="4CD04777"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=2)</w:t>
            </w:r>
          </w:p>
        </w:tc>
        <w:tc>
          <w:tcPr>
            <w:tcW w:w="1200" w:type="dxa"/>
            <w:tcBorders>
              <w:top w:val="nil"/>
              <w:left w:val="nil"/>
              <w:right w:val="nil"/>
            </w:tcBorders>
            <w:shd w:val="clear" w:color="auto" w:fill="auto"/>
            <w:noWrap/>
            <w:vAlign w:val="bottom"/>
            <w:hideMark/>
          </w:tcPr>
          <w:p w14:paraId="6D5281DC"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43702.8</w:t>
            </w:r>
          </w:p>
        </w:tc>
        <w:tc>
          <w:tcPr>
            <w:tcW w:w="1200" w:type="dxa"/>
            <w:tcBorders>
              <w:top w:val="nil"/>
              <w:left w:val="nil"/>
              <w:right w:val="nil"/>
            </w:tcBorders>
            <w:shd w:val="clear" w:color="auto" w:fill="auto"/>
            <w:noWrap/>
            <w:vAlign w:val="bottom"/>
            <w:hideMark/>
          </w:tcPr>
          <w:p w14:paraId="114CC8C4"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44062.8</w:t>
            </w:r>
          </w:p>
        </w:tc>
      </w:tr>
      <w:tr w:rsidR="002871BA" w:rsidRPr="002871BA" w14:paraId="2D1952CE" w14:textId="77777777" w:rsidTr="002871BA">
        <w:trPr>
          <w:trHeight w:val="20"/>
          <w:jc w:val="center"/>
        </w:trPr>
        <w:tc>
          <w:tcPr>
            <w:tcW w:w="2120" w:type="dxa"/>
            <w:tcBorders>
              <w:top w:val="nil"/>
              <w:left w:val="nil"/>
              <w:bottom w:val="single" w:sz="4" w:space="0" w:color="auto"/>
              <w:right w:val="nil"/>
            </w:tcBorders>
            <w:shd w:val="clear" w:color="auto" w:fill="auto"/>
            <w:noWrap/>
            <w:vAlign w:val="bottom"/>
            <w:hideMark/>
          </w:tcPr>
          <w:p w14:paraId="340402C8"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proofErr w:type="spellStart"/>
            <w:r w:rsidRPr="002871BA">
              <w:rPr>
                <w:rFonts w:ascii="Calibri" w:eastAsia="Times New Roman" w:hAnsi="Calibri" w:cs="Calibri"/>
                <w:color w:val="000000"/>
                <w:sz w:val="18"/>
                <w:szCs w:val="18"/>
                <w:lang w:val="es-CL" w:eastAsia="es-CL"/>
              </w:rPr>
              <w:t>rp</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 xml:space="preserve">=1) </w:t>
            </w:r>
            <w:proofErr w:type="spellStart"/>
            <w:r w:rsidRPr="002871BA">
              <w:rPr>
                <w:rFonts w:ascii="Calibri" w:eastAsia="Times New Roman" w:hAnsi="Calibri" w:cs="Calibri"/>
                <w:color w:val="000000"/>
                <w:sz w:val="18"/>
                <w:szCs w:val="18"/>
                <w:lang w:val="es-CL" w:eastAsia="es-CL"/>
              </w:rPr>
              <w:t>tvc</w:t>
            </w:r>
            <w:proofErr w:type="spellEnd"/>
            <w:r w:rsidRPr="002871BA">
              <w:rPr>
                <w:rFonts w:ascii="Calibri" w:eastAsia="Times New Roman" w:hAnsi="Calibri" w:cs="Calibri"/>
                <w:color w:val="000000"/>
                <w:sz w:val="18"/>
                <w:szCs w:val="18"/>
                <w:lang w:val="es-CL" w:eastAsia="es-CL"/>
              </w:rPr>
              <w:t xml:space="preserve"> (</w:t>
            </w:r>
            <w:proofErr w:type="spellStart"/>
            <w:r w:rsidRPr="002871BA">
              <w:rPr>
                <w:rFonts w:ascii="Calibri" w:eastAsia="Times New Roman" w:hAnsi="Calibri" w:cs="Calibri"/>
                <w:color w:val="000000"/>
                <w:sz w:val="18"/>
                <w:szCs w:val="18"/>
                <w:lang w:val="es-CL" w:eastAsia="es-CL"/>
              </w:rPr>
              <w:t>df</w:t>
            </w:r>
            <w:proofErr w:type="spellEnd"/>
            <w:r w:rsidRPr="002871BA">
              <w:rPr>
                <w:rFonts w:ascii="Calibri" w:eastAsia="Times New Roman" w:hAnsi="Calibri" w:cs="Calibri"/>
                <w:color w:val="000000"/>
                <w:sz w:val="18"/>
                <w:szCs w:val="18"/>
                <w:lang w:val="es-CL" w:eastAsia="es-CL"/>
              </w:rPr>
              <w:t>=1)</w:t>
            </w:r>
          </w:p>
        </w:tc>
        <w:tc>
          <w:tcPr>
            <w:tcW w:w="1200" w:type="dxa"/>
            <w:tcBorders>
              <w:top w:val="nil"/>
              <w:left w:val="nil"/>
              <w:bottom w:val="single" w:sz="4" w:space="0" w:color="auto"/>
              <w:right w:val="nil"/>
            </w:tcBorders>
            <w:shd w:val="clear" w:color="auto" w:fill="auto"/>
            <w:noWrap/>
            <w:vAlign w:val="bottom"/>
            <w:hideMark/>
          </w:tcPr>
          <w:p w14:paraId="18EB878D"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43818.5</w:t>
            </w:r>
          </w:p>
        </w:tc>
        <w:tc>
          <w:tcPr>
            <w:tcW w:w="1200" w:type="dxa"/>
            <w:tcBorders>
              <w:top w:val="nil"/>
              <w:left w:val="nil"/>
              <w:bottom w:val="single" w:sz="4" w:space="0" w:color="auto"/>
              <w:right w:val="nil"/>
            </w:tcBorders>
            <w:shd w:val="clear" w:color="auto" w:fill="auto"/>
            <w:noWrap/>
            <w:vAlign w:val="bottom"/>
            <w:hideMark/>
          </w:tcPr>
          <w:p w14:paraId="1EBBFE59" w14:textId="77777777" w:rsidR="002871BA" w:rsidRPr="002871BA" w:rsidRDefault="002871BA" w:rsidP="002871BA">
            <w:pPr>
              <w:spacing w:after="0" w:line="240" w:lineRule="auto"/>
              <w:rPr>
                <w:rFonts w:ascii="Calibri" w:eastAsia="Times New Roman" w:hAnsi="Calibri" w:cs="Calibri"/>
                <w:color w:val="000000"/>
                <w:sz w:val="18"/>
                <w:szCs w:val="18"/>
                <w:lang w:val="es-CL" w:eastAsia="es-CL"/>
              </w:rPr>
            </w:pPr>
            <w:r w:rsidRPr="002871BA">
              <w:rPr>
                <w:rFonts w:ascii="Calibri" w:eastAsia="Times New Roman" w:hAnsi="Calibri" w:cs="Calibri"/>
                <w:color w:val="000000"/>
                <w:sz w:val="18"/>
                <w:szCs w:val="18"/>
                <w:lang w:val="es-CL" w:eastAsia="es-CL"/>
              </w:rPr>
              <w:t>44165.4</w:t>
            </w:r>
          </w:p>
        </w:tc>
      </w:tr>
    </w:tbl>
    <w:p w14:paraId="6A7FCB77" w14:textId="77777777" w:rsidR="00644B3A" w:rsidRPr="00314C6B" w:rsidRDefault="00644B3A" w:rsidP="00644B3A">
      <w:pPr>
        <w:ind w:left="720"/>
        <w:rPr>
          <w:i/>
          <w:iCs/>
          <w:lang w:val="en-GB"/>
        </w:rPr>
      </w:pPr>
      <w:r w:rsidRPr="00314C6B">
        <w:rPr>
          <w:i/>
          <w:iCs/>
          <w:sz w:val="20"/>
          <w:szCs w:val="20"/>
          <w:lang w:val="en-GB"/>
        </w:rPr>
        <w:t xml:space="preserve">RP = Restricted cubic splines in the baseline cumulative hazards; </w:t>
      </w:r>
      <w:proofErr w:type="spellStart"/>
      <w:r w:rsidRPr="00314C6B">
        <w:rPr>
          <w:i/>
          <w:iCs/>
          <w:sz w:val="20"/>
          <w:szCs w:val="20"/>
          <w:lang w:val="en-GB"/>
        </w:rPr>
        <w:t>tvc</w:t>
      </w:r>
      <w:proofErr w:type="spellEnd"/>
      <w:r w:rsidRPr="00314C6B">
        <w:rPr>
          <w:i/>
          <w:iCs/>
          <w:sz w:val="20"/>
          <w:szCs w:val="20"/>
          <w:lang w:val="en-GB"/>
        </w:rPr>
        <w:t>= Restricted cubic splines in time-varying coefficients.</w:t>
      </w:r>
    </w:p>
    <w:p w14:paraId="5EF1B5A2" w14:textId="21B9126D" w:rsidR="00A067FE" w:rsidRPr="00BE4902" w:rsidRDefault="003B73DD" w:rsidP="000952AB">
      <w:pPr>
        <w:rPr>
          <w:lang w:val="en-GB"/>
        </w:rPr>
      </w:pPr>
      <w:r w:rsidRPr="00BE4902">
        <w:rPr>
          <w:lang w:val="en-GB"/>
        </w:rPr>
        <w:t xml:space="preserve">The best model had </w:t>
      </w:r>
      <w:r w:rsidR="00BE4902" w:rsidRPr="00BE4902">
        <w:rPr>
          <w:lang w:val="en-GB"/>
        </w:rPr>
        <w:t>6</w:t>
      </w:r>
      <w:r w:rsidRPr="00BE4902">
        <w:rPr>
          <w:lang w:val="en-GB"/>
        </w:rPr>
        <w:t xml:space="preserve"> degrees of freedom in the baseline hazard function (with </w:t>
      </w:r>
      <w:r w:rsidR="00BE4902" w:rsidRPr="00BE4902">
        <w:rPr>
          <w:lang w:val="en-GB"/>
        </w:rPr>
        <w:t>5 nodes potentially located at the 17th, 33rd, 50th, 67th, and 83rd percentiles of the log-time distribution</w:t>
      </w:r>
      <w:r w:rsidRPr="00BE4902">
        <w:rPr>
          <w:lang w:val="en-GB"/>
        </w:rPr>
        <w:t xml:space="preserve">), and an effect that represents a </w:t>
      </w:r>
      <w:r w:rsidR="00CF551D" w:rsidRPr="00BE4902">
        <w:rPr>
          <w:lang w:val="en-GB"/>
        </w:rPr>
        <w:t>constant</w:t>
      </w:r>
      <w:r w:rsidRPr="00BE4902">
        <w:rPr>
          <w:lang w:val="en-GB"/>
        </w:rPr>
        <w:t xml:space="preserve"> increase or decrease (1 </w:t>
      </w:r>
      <w:proofErr w:type="spellStart"/>
      <w:r w:rsidRPr="00BE4902">
        <w:rPr>
          <w:lang w:val="en-GB"/>
        </w:rPr>
        <w:t>d.f.</w:t>
      </w:r>
      <w:proofErr w:type="spellEnd"/>
      <w:r w:rsidRPr="00BE4902">
        <w:rPr>
          <w:lang w:val="en-GB"/>
        </w:rPr>
        <w:t>) of treatment outcomes (shape) over follow-up time.</w:t>
      </w:r>
    </w:p>
    <w:p w14:paraId="6D332F00" w14:textId="7C80A5F4" w:rsidR="003B73DD" w:rsidRDefault="003B73DD" w:rsidP="003B73DD">
      <w:pPr>
        <w:rPr>
          <w:lang w:val="en-GB"/>
        </w:rPr>
      </w:pPr>
      <w:r w:rsidRPr="00D418FD">
        <w:rPr>
          <w:lang w:val="en-GB"/>
        </w:rPr>
        <w:t>Table S</w:t>
      </w:r>
      <w:r>
        <w:rPr>
          <w:lang w:val="en-GB"/>
        </w:rPr>
        <w:t>XZ</w:t>
      </w:r>
      <w:r w:rsidRPr="00D418FD">
        <w:rPr>
          <w:lang w:val="en-GB"/>
        </w:rPr>
        <w:t xml:space="preserve">. </w:t>
      </w:r>
      <w:r>
        <w:rPr>
          <w:lang w:val="en-GB"/>
        </w:rPr>
        <w:t>A</w:t>
      </w:r>
      <w:r w:rsidRPr="00D418FD">
        <w:rPr>
          <w:lang w:val="en-GB"/>
        </w:rPr>
        <w:t>djusted coefficients</w:t>
      </w:r>
      <w:r>
        <w:rPr>
          <w:lang w:val="en-GB"/>
        </w:rPr>
        <w:t>, time to contact with the justice system</w:t>
      </w:r>
      <w:r w:rsidR="00CF551D">
        <w:rPr>
          <w:lang w:val="en-GB"/>
        </w:rPr>
        <w:t xml:space="preserve"> leading to </w:t>
      </w:r>
      <w:proofErr w:type="gramStart"/>
      <w:r w:rsidR="00CF551D">
        <w:rPr>
          <w:lang w:val="en-GB"/>
        </w:rPr>
        <w:t>imprisonment</w:t>
      </w:r>
      <w:proofErr w:type="gramEnd"/>
    </w:p>
    <w:tbl>
      <w:tblPr>
        <w:tblW w:w="8180" w:type="dxa"/>
        <w:tblCellMar>
          <w:left w:w="70" w:type="dxa"/>
          <w:right w:w="70" w:type="dxa"/>
        </w:tblCellMar>
        <w:tblLook w:val="04A0" w:firstRow="1" w:lastRow="0" w:firstColumn="1" w:lastColumn="0" w:noHBand="0" w:noVBand="1"/>
      </w:tblPr>
      <w:tblGrid>
        <w:gridCol w:w="3380"/>
        <w:gridCol w:w="1200"/>
        <w:gridCol w:w="1200"/>
        <w:gridCol w:w="1200"/>
        <w:gridCol w:w="1200"/>
      </w:tblGrid>
      <w:tr w:rsidR="00CF551D" w:rsidRPr="00CF551D" w14:paraId="3AD6598C" w14:textId="77777777" w:rsidTr="00CF551D">
        <w:trPr>
          <w:trHeight w:val="300"/>
        </w:trPr>
        <w:tc>
          <w:tcPr>
            <w:tcW w:w="3380" w:type="dxa"/>
            <w:tcBorders>
              <w:top w:val="single" w:sz="4" w:space="0" w:color="auto"/>
              <w:left w:val="nil"/>
              <w:bottom w:val="single" w:sz="4" w:space="0" w:color="auto"/>
              <w:right w:val="nil"/>
            </w:tcBorders>
            <w:shd w:val="clear" w:color="auto" w:fill="auto"/>
            <w:noWrap/>
            <w:vAlign w:val="bottom"/>
            <w:hideMark/>
          </w:tcPr>
          <w:p w14:paraId="2CEC68EB" w14:textId="7DB6363E" w:rsidR="00CF551D" w:rsidRPr="00CF551D" w:rsidRDefault="00CF551D" w:rsidP="00CF551D">
            <w:pPr>
              <w:spacing w:after="0" w:line="240" w:lineRule="auto"/>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Term</w:t>
            </w:r>
            <w:proofErr w:type="spellEnd"/>
            <w:r>
              <w:rPr>
                <w:rFonts w:ascii="Calibri" w:eastAsia="Times New Roman" w:hAnsi="Calibri" w:cs="Calibri"/>
                <w:b/>
                <w:bCs/>
                <w:color w:val="000000"/>
                <w:sz w:val="22"/>
                <w:szCs w:val="22"/>
                <w:lang w:val="es-CL" w:eastAsia="es-CL"/>
              </w:rPr>
              <w:t xml:space="preserve"> (</w:t>
            </w:r>
            <w:proofErr w:type="spellStart"/>
            <w:r>
              <w:rPr>
                <w:rFonts w:ascii="Calibri" w:eastAsia="Times New Roman" w:hAnsi="Calibri" w:cs="Calibri"/>
                <w:b/>
                <w:bCs/>
                <w:color w:val="000000"/>
                <w:sz w:val="22"/>
                <w:szCs w:val="22"/>
                <w:lang w:val="es-CL" w:eastAsia="es-CL"/>
              </w:rPr>
              <w:t>exp</w:t>
            </w:r>
            <w:proofErr w:type="spellEnd"/>
            <w:r>
              <w:rPr>
                <w:rFonts w:ascii="Calibri" w:eastAsia="Times New Roman" w:hAnsi="Calibri" w:cs="Calibri"/>
                <w:b/>
                <w:bCs/>
                <w:color w:val="000000"/>
                <w:sz w:val="22"/>
                <w:szCs w:val="22"/>
                <w:lang w:val="es-CL" w:eastAsia="es-CL"/>
              </w:rPr>
              <w:t>)</w:t>
            </w:r>
          </w:p>
        </w:tc>
        <w:tc>
          <w:tcPr>
            <w:tcW w:w="1200" w:type="dxa"/>
            <w:tcBorders>
              <w:top w:val="single" w:sz="4" w:space="0" w:color="auto"/>
              <w:left w:val="nil"/>
              <w:bottom w:val="single" w:sz="4" w:space="0" w:color="auto"/>
              <w:right w:val="nil"/>
            </w:tcBorders>
            <w:shd w:val="clear" w:color="auto" w:fill="auto"/>
            <w:noWrap/>
            <w:vAlign w:val="bottom"/>
            <w:hideMark/>
          </w:tcPr>
          <w:p w14:paraId="0481D5EB" w14:textId="43F58749" w:rsidR="00CF551D" w:rsidRPr="00CF551D" w:rsidRDefault="00CF551D" w:rsidP="00CF551D">
            <w:pPr>
              <w:spacing w:after="0" w:line="240" w:lineRule="auto"/>
              <w:rPr>
                <w:rFonts w:ascii="Calibri" w:eastAsia="Times New Roman" w:hAnsi="Calibri" w:cs="Calibri"/>
                <w:color w:val="000000"/>
                <w:sz w:val="22"/>
                <w:szCs w:val="22"/>
                <w:lang w:val="es-CL" w:eastAsia="es-CL"/>
              </w:rPr>
            </w:pPr>
            <w:proofErr w:type="spellStart"/>
            <w:r w:rsidRPr="00D418FD">
              <w:rPr>
                <w:rFonts w:ascii="Calibri" w:eastAsia="Times New Roman" w:hAnsi="Calibri" w:cs="Calibri"/>
                <w:b/>
                <w:bCs/>
                <w:color w:val="000000"/>
                <w:sz w:val="22"/>
                <w:szCs w:val="22"/>
                <w:lang w:val="es-CL" w:eastAsia="es-CL"/>
              </w:rPr>
              <w:t>Estimate</w:t>
            </w:r>
            <w:proofErr w:type="spellEnd"/>
          </w:p>
        </w:tc>
        <w:tc>
          <w:tcPr>
            <w:tcW w:w="1200" w:type="dxa"/>
            <w:tcBorders>
              <w:top w:val="single" w:sz="4" w:space="0" w:color="auto"/>
              <w:left w:val="nil"/>
              <w:bottom w:val="single" w:sz="4" w:space="0" w:color="auto"/>
              <w:right w:val="nil"/>
            </w:tcBorders>
            <w:shd w:val="clear" w:color="auto" w:fill="auto"/>
            <w:noWrap/>
            <w:vAlign w:val="bottom"/>
            <w:hideMark/>
          </w:tcPr>
          <w:p w14:paraId="03F843FC" w14:textId="52DCAB39"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b/>
                <w:bCs/>
                <w:color w:val="000000"/>
                <w:sz w:val="22"/>
                <w:szCs w:val="22"/>
                <w:lang w:val="es-CL" w:eastAsia="es-CL"/>
              </w:rPr>
              <w:t>95%CI lo</w:t>
            </w:r>
          </w:p>
        </w:tc>
        <w:tc>
          <w:tcPr>
            <w:tcW w:w="1200" w:type="dxa"/>
            <w:tcBorders>
              <w:top w:val="single" w:sz="4" w:space="0" w:color="auto"/>
              <w:left w:val="nil"/>
              <w:bottom w:val="single" w:sz="4" w:space="0" w:color="auto"/>
              <w:right w:val="nil"/>
            </w:tcBorders>
            <w:shd w:val="clear" w:color="auto" w:fill="auto"/>
            <w:noWrap/>
            <w:vAlign w:val="bottom"/>
            <w:hideMark/>
          </w:tcPr>
          <w:p w14:paraId="6654C315" w14:textId="30739EAD"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D418FD">
              <w:rPr>
                <w:rFonts w:ascii="Calibri" w:eastAsia="Times New Roman" w:hAnsi="Calibri" w:cs="Calibri"/>
                <w:b/>
                <w:bCs/>
                <w:color w:val="000000"/>
                <w:sz w:val="22"/>
                <w:szCs w:val="22"/>
                <w:lang w:val="es-CL" w:eastAsia="es-CL"/>
              </w:rPr>
              <w:t>95%CI up</w:t>
            </w:r>
          </w:p>
        </w:tc>
        <w:tc>
          <w:tcPr>
            <w:tcW w:w="1200" w:type="dxa"/>
            <w:tcBorders>
              <w:top w:val="single" w:sz="4" w:space="0" w:color="auto"/>
              <w:left w:val="nil"/>
              <w:bottom w:val="single" w:sz="4" w:space="0" w:color="auto"/>
              <w:right w:val="nil"/>
            </w:tcBorders>
            <w:shd w:val="clear" w:color="auto" w:fill="auto"/>
            <w:noWrap/>
            <w:vAlign w:val="bottom"/>
            <w:hideMark/>
          </w:tcPr>
          <w:p w14:paraId="5CCCE0BB" w14:textId="7E7656FD" w:rsidR="00CF551D" w:rsidRPr="00CF551D" w:rsidRDefault="00CF551D" w:rsidP="00CF551D">
            <w:pPr>
              <w:spacing w:after="0" w:line="240" w:lineRule="auto"/>
              <w:rPr>
                <w:rFonts w:ascii="Calibri" w:eastAsia="Times New Roman" w:hAnsi="Calibri" w:cs="Calibri"/>
                <w:color w:val="000000"/>
                <w:sz w:val="22"/>
                <w:szCs w:val="22"/>
                <w:lang w:val="es-CL" w:eastAsia="es-CL"/>
              </w:rPr>
            </w:pPr>
            <w:r>
              <w:rPr>
                <w:rFonts w:ascii="Calibri" w:eastAsia="Times New Roman" w:hAnsi="Calibri" w:cs="Calibri"/>
                <w:b/>
                <w:bCs/>
                <w:color w:val="000000"/>
                <w:sz w:val="22"/>
                <w:szCs w:val="22"/>
                <w:lang w:val="es-CL" w:eastAsia="es-CL"/>
              </w:rPr>
              <w:t>Sig.</w:t>
            </w:r>
          </w:p>
        </w:tc>
      </w:tr>
      <w:tr w:rsidR="00CF551D" w:rsidRPr="00CF551D" w14:paraId="4C5057B7" w14:textId="77777777" w:rsidTr="00CF551D">
        <w:trPr>
          <w:trHeight w:val="300"/>
        </w:trPr>
        <w:tc>
          <w:tcPr>
            <w:tcW w:w="3380" w:type="dxa"/>
            <w:tcBorders>
              <w:top w:val="single" w:sz="4" w:space="0" w:color="auto"/>
              <w:left w:val="nil"/>
              <w:bottom w:val="nil"/>
              <w:right w:val="nil"/>
            </w:tcBorders>
            <w:shd w:val="clear" w:color="auto" w:fill="auto"/>
            <w:noWrap/>
            <w:vAlign w:val="bottom"/>
            <w:hideMark/>
          </w:tcPr>
          <w:p w14:paraId="4C36341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single" w:sz="4" w:space="0" w:color="auto"/>
              <w:left w:val="nil"/>
              <w:bottom w:val="nil"/>
              <w:right w:val="nil"/>
            </w:tcBorders>
            <w:shd w:val="clear" w:color="auto" w:fill="auto"/>
            <w:noWrap/>
            <w:vAlign w:val="bottom"/>
            <w:hideMark/>
          </w:tcPr>
          <w:p w14:paraId="567A17B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1.99</w:t>
            </w:r>
          </w:p>
        </w:tc>
        <w:tc>
          <w:tcPr>
            <w:tcW w:w="1200" w:type="dxa"/>
            <w:tcBorders>
              <w:top w:val="single" w:sz="4" w:space="0" w:color="auto"/>
              <w:left w:val="nil"/>
              <w:bottom w:val="nil"/>
              <w:right w:val="nil"/>
            </w:tcBorders>
            <w:shd w:val="clear" w:color="auto" w:fill="auto"/>
            <w:noWrap/>
            <w:vAlign w:val="bottom"/>
            <w:hideMark/>
          </w:tcPr>
          <w:p w14:paraId="24ECF03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1.79</w:t>
            </w:r>
          </w:p>
        </w:tc>
        <w:tc>
          <w:tcPr>
            <w:tcW w:w="1200" w:type="dxa"/>
            <w:tcBorders>
              <w:top w:val="single" w:sz="4" w:space="0" w:color="auto"/>
              <w:left w:val="nil"/>
              <w:bottom w:val="nil"/>
              <w:right w:val="nil"/>
            </w:tcBorders>
            <w:shd w:val="clear" w:color="auto" w:fill="auto"/>
            <w:noWrap/>
            <w:vAlign w:val="bottom"/>
            <w:hideMark/>
          </w:tcPr>
          <w:p w14:paraId="30C87048"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2.22</w:t>
            </w:r>
          </w:p>
        </w:tc>
        <w:tc>
          <w:tcPr>
            <w:tcW w:w="1200" w:type="dxa"/>
            <w:tcBorders>
              <w:top w:val="single" w:sz="4" w:space="0" w:color="auto"/>
              <w:left w:val="nil"/>
              <w:bottom w:val="nil"/>
              <w:right w:val="nil"/>
            </w:tcBorders>
            <w:shd w:val="clear" w:color="auto" w:fill="auto"/>
            <w:noWrap/>
            <w:vAlign w:val="bottom"/>
            <w:hideMark/>
          </w:tcPr>
          <w:p w14:paraId="14884F2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292BA44" w14:textId="77777777" w:rsidTr="00CF551D">
        <w:trPr>
          <w:trHeight w:val="300"/>
        </w:trPr>
        <w:tc>
          <w:tcPr>
            <w:tcW w:w="3380" w:type="dxa"/>
            <w:tcBorders>
              <w:top w:val="nil"/>
              <w:left w:val="nil"/>
              <w:bottom w:val="nil"/>
              <w:right w:val="nil"/>
            </w:tcBorders>
            <w:shd w:val="clear" w:color="auto" w:fill="auto"/>
            <w:noWrap/>
            <w:vAlign w:val="bottom"/>
            <w:hideMark/>
          </w:tcPr>
          <w:p w14:paraId="4141E032"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 xml:space="preserve">Late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1742BA6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1.65</w:t>
            </w:r>
          </w:p>
        </w:tc>
        <w:tc>
          <w:tcPr>
            <w:tcW w:w="1200" w:type="dxa"/>
            <w:tcBorders>
              <w:top w:val="nil"/>
              <w:left w:val="nil"/>
              <w:bottom w:val="nil"/>
              <w:right w:val="nil"/>
            </w:tcBorders>
            <w:shd w:val="clear" w:color="auto" w:fill="auto"/>
            <w:noWrap/>
            <w:vAlign w:val="bottom"/>
            <w:hideMark/>
          </w:tcPr>
          <w:p w14:paraId="75F5CBE5"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1.51</w:t>
            </w:r>
          </w:p>
        </w:tc>
        <w:tc>
          <w:tcPr>
            <w:tcW w:w="1200" w:type="dxa"/>
            <w:tcBorders>
              <w:top w:val="nil"/>
              <w:left w:val="nil"/>
              <w:bottom w:val="nil"/>
              <w:right w:val="nil"/>
            </w:tcBorders>
            <w:shd w:val="clear" w:color="auto" w:fill="auto"/>
            <w:noWrap/>
            <w:vAlign w:val="bottom"/>
            <w:hideMark/>
          </w:tcPr>
          <w:p w14:paraId="719BFF28"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1.81</w:t>
            </w:r>
          </w:p>
        </w:tc>
        <w:tc>
          <w:tcPr>
            <w:tcW w:w="1200" w:type="dxa"/>
            <w:tcBorders>
              <w:top w:val="nil"/>
              <w:left w:val="nil"/>
              <w:bottom w:val="nil"/>
              <w:right w:val="nil"/>
            </w:tcBorders>
            <w:shd w:val="clear" w:color="auto" w:fill="auto"/>
            <w:noWrap/>
            <w:vAlign w:val="bottom"/>
            <w:hideMark/>
          </w:tcPr>
          <w:p w14:paraId="0898A23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FD42364" w14:textId="77777777" w:rsidTr="00CF551D">
        <w:trPr>
          <w:trHeight w:val="300"/>
        </w:trPr>
        <w:tc>
          <w:tcPr>
            <w:tcW w:w="3380" w:type="dxa"/>
            <w:tcBorders>
              <w:top w:val="nil"/>
              <w:left w:val="nil"/>
              <w:bottom w:val="nil"/>
              <w:right w:val="nil"/>
            </w:tcBorders>
            <w:shd w:val="clear" w:color="auto" w:fill="auto"/>
            <w:noWrap/>
            <w:vAlign w:val="bottom"/>
            <w:hideMark/>
          </w:tcPr>
          <w:p w14:paraId="3200B0B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1</w:t>
            </w:r>
          </w:p>
        </w:tc>
        <w:tc>
          <w:tcPr>
            <w:tcW w:w="1200" w:type="dxa"/>
            <w:tcBorders>
              <w:top w:val="nil"/>
              <w:left w:val="nil"/>
              <w:bottom w:val="nil"/>
              <w:right w:val="nil"/>
            </w:tcBorders>
            <w:shd w:val="clear" w:color="auto" w:fill="auto"/>
            <w:noWrap/>
            <w:vAlign w:val="bottom"/>
            <w:hideMark/>
          </w:tcPr>
          <w:p w14:paraId="5F878F6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2.18</w:t>
            </w:r>
          </w:p>
        </w:tc>
        <w:tc>
          <w:tcPr>
            <w:tcW w:w="1200" w:type="dxa"/>
            <w:tcBorders>
              <w:top w:val="nil"/>
              <w:left w:val="nil"/>
              <w:bottom w:val="nil"/>
              <w:right w:val="nil"/>
            </w:tcBorders>
            <w:shd w:val="clear" w:color="auto" w:fill="auto"/>
            <w:noWrap/>
            <w:vAlign w:val="bottom"/>
            <w:hideMark/>
          </w:tcPr>
          <w:p w14:paraId="6E94599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2.07</w:t>
            </w:r>
          </w:p>
        </w:tc>
        <w:tc>
          <w:tcPr>
            <w:tcW w:w="1200" w:type="dxa"/>
            <w:tcBorders>
              <w:top w:val="nil"/>
              <w:left w:val="nil"/>
              <w:bottom w:val="nil"/>
              <w:right w:val="nil"/>
            </w:tcBorders>
            <w:shd w:val="clear" w:color="auto" w:fill="auto"/>
            <w:noWrap/>
            <w:vAlign w:val="bottom"/>
            <w:hideMark/>
          </w:tcPr>
          <w:p w14:paraId="4C3E28D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2.30</w:t>
            </w:r>
          </w:p>
        </w:tc>
        <w:tc>
          <w:tcPr>
            <w:tcW w:w="1200" w:type="dxa"/>
            <w:tcBorders>
              <w:top w:val="nil"/>
              <w:left w:val="nil"/>
              <w:bottom w:val="nil"/>
              <w:right w:val="nil"/>
            </w:tcBorders>
            <w:shd w:val="clear" w:color="auto" w:fill="auto"/>
            <w:noWrap/>
            <w:vAlign w:val="bottom"/>
            <w:hideMark/>
          </w:tcPr>
          <w:p w14:paraId="07B2578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5EE73B6" w14:textId="77777777" w:rsidTr="00CF551D">
        <w:trPr>
          <w:trHeight w:val="300"/>
        </w:trPr>
        <w:tc>
          <w:tcPr>
            <w:tcW w:w="3380" w:type="dxa"/>
            <w:tcBorders>
              <w:top w:val="nil"/>
              <w:left w:val="nil"/>
              <w:bottom w:val="nil"/>
              <w:right w:val="nil"/>
            </w:tcBorders>
            <w:shd w:val="clear" w:color="auto" w:fill="auto"/>
            <w:noWrap/>
            <w:vAlign w:val="bottom"/>
            <w:hideMark/>
          </w:tcPr>
          <w:p w14:paraId="685E9542"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2</w:t>
            </w:r>
          </w:p>
        </w:tc>
        <w:tc>
          <w:tcPr>
            <w:tcW w:w="1200" w:type="dxa"/>
            <w:tcBorders>
              <w:top w:val="nil"/>
              <w:left w:val="nil"/>
              <w:bottom w:val="nil"/>
              <w:right w:val="nil"/>
            </w:tcBorders>
            <w:shd w:val="clear" w:color="auto" w:fill="auto"/>
            <w:noWrap/>
            <w:vAlign w:val="bottom"/>
            <w:hideMark/>
          </w:tcPr>
          <w:p w14:paraId="0F90EE5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1.07</w:t>
            </w:r>
          </w:p>
        </w:tc>
        <w:tc>
          <w:tcPr>
            <w:tcW w:w="1200" w:type="dxa"/>
            <w:tcBorders>
              <w:top w:val="nil"/>
              <w:left w:val="nil"/>
              <w:bottom w:val="nil"/>
              <w:right w:val="nil"/>
            </w:tcBorders>
            <w:shd w:val="clear" w:color="auto" w:fill="auto"/>
            <w:noWrap/>
            <w:vAlign w:val="bottom"/>
            <w:hideMark/>
          </w:tcPr>
          <w:p w14:paraId="4613CED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1.06</w:t>
            </w:r>
          </w:p>
        </w:tc>
        <w:tc>
          <w:tcPr>
            <w:tcW w:w="1200" w:type="dxa"/>
            <w:tcBorders>
              <w:top w:val="nil"/>
              <w:left w:val="nil"/>
              <w:bottom w:val="nil"/>
              <w:right w:val="nil"/>
            </w:tcBorders>
            <w:shd w:val="clear" w:color="auto" w:fill="auto"/>
            <w:noWrap/>
            <w:vAlign w:val="bottom"/>
            <w:hideMark/>
          </w:tcPr>
          <w:p w14:paraId="00F26B58"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1.09</w:t>
            </w:r>
          </w:p>
        </w:tc>
        <w:tc>
          <w:tcPr>
            <w:tcW w:w="1200" w:type="dxa"/>
            <w:tcBorders>
              <w:top w:val="nil"/>
              <w:left w:val="nil"/>
              <w:bottom w:val="nil"/>
              <w:right w:val="nil"/>
            </w:tcBorders>
            <w:shd w:val="clear" w:color="auto" w:fill="auto"/>
            <w:noWrap/>
            <w:vAlign w:val="bottom"/>
            <w:hideMark/>
          </w:tcPr>
          <w:p w14:paraId="6F0CB7A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5B0496C" w14:textId="77777777" w:rsidTr="00CF551D">
        <w:trPr>
          <w:trHeight w:val="300"/>
        </w:trPr>
        <w:tc>
          <w:tcPr>
            <w:tcW w:w="3380" w:type="dxa"/>
            <w:tcBorders>
              <w:top w:val="nil"/>
              <w:left w:val="nil"/>
              <w:bottom w:val="nil"/>
              <w:right w:val="nil"/>
            </w:tcBorders>
            <w:shd w:val="clear" w:color="auto" w:fill="auto"/>
            <w:noWrap/>
            <w:vAlign w:val="bottom"/>
            <w:hideMark/>
          </w:tcPr>
          <w:p w14:paraId="37D9DDAA"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3</w:t>
            </w:r>
          </w:p>
        </w:tc>
        <w:tc>
          <w:tcPr>
            <w:tcW w:w="1200" w:type="dxa"/>
            <w:tcBorders>
              <w:top w:val="nil"/>
              <w:left w:val="nil"/>
              <w:bottom w:val="nil"/>
              <w:right w:val="nil"/>
            </w:tcBorders>
            <w:shd w:val="clear" w:color="auto" w:fill="auto"/>
            <w:noWrap/>
            <w:vAlign w:val="bottom"/>
            <w:hideMark/>
          </w:tcPr>
          <w:p w14:paraId="3C19A6B6"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1.03</w:t>
            </w:r>
          </w:p>
        </w:tc>
        <w:tc>
          <w:tcPr>
            <w:tcW w:w="1200" w:type="dxa"/>
            <w:tcBorders>
              <w:top w:val="nil"/>
              <w:left w:val="nil"/>
              <w:bottom w:val="nil"/>
              <w:right w:val="nil"/>
            </w:tcBorders>
            <w:shd w:val="clear" w:color="auto" w:fill="auto"/>
            <w:noWrap/>
            <w:vAlign w:val="bottom"/>
            <w:hideMark/>
          </w:tcPr>
          <w:p w14:paraId="3F1D79C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68D64D3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1.05</w:t>
            </w:r>
          </w:p>
        </w:tc>
        <w:tc>
          <w:tcPr>
            <w:tcW w:w="1200" w:type="dxa"/>
            <w:tcBorders>
              <w:top w:val="nil"/>
              <w:left w:val="nil"/>
              <w:bottom w:val="nil"/>
              <w:right w:val="nil"/>
            </w:tcBorders>
            <w:shd w:val="clear" w:color="auto" w:fill="auto"/>
            <w:noWrap/>
            <w:vAlign w:val="bottom"/>
            <w:hideMark/>
          </w:tcPr>
          <w:p w14:paraId="005E1DF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1573744" w14:textId="77777777" w:rsidTr="00CF551D">
        <w:trPr>
          <w:trHeight w:val="300"/>
        </w:trPr>
        <w:tc>
          <w:tcPr>
            <w:tcW w:w="3380" w:type="dxa"/>
            <w:tcBorders>
              <w:top w:val="nil"/>
              <w:left w:val="nil"/>
              <w:bottom w:val="nil"/>
              <w:right w:val="nil"/>
            </w:tcBorders>
            <w:shd w:val="clear" w:color="auto" w:fill="auto"/>
            <w:noWrap/>
            <w:vAlign w:val="bottom"/>
            <w:hideMark/>
          </w:tcPr>
          <w:p w14:paraId="46FD9305"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4</w:t>
            </w:r>
          </w:p>
        </w:tc>
        <w:tc>
          <w:tcPr>
            <w:tcW w:w="1200" w:type="dxa"/>
            <w:tcBorders>
              <w:top w:val="nil"/>
              <w:left w:val="nil"/>
              <w:bottom w:val="nil"/>
              <w:right w:val="nil"/>
            </w:tcBorders>
            <w:shd w:val="clear" w:color="auto" w:fill="auto"/>
            <w:noWrap/>
            <w:vAlign w:val="bottom"/>
            <w:hideMark/>
          </w:tcPr>
          <w:p w14:paraId="08FE066E"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144954BF"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5C44F25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1.03</w:t>
            </w:r>
          </w:p>
        </w:tc>
        <w:tc>
          <w:tcPr>
            <w:tcW w:w="1200" w:type="dxa"/>
            <w:tcBorders>
              <w:top w:val="nil"/>
              <w:left w:val="nil"/>
              <w:bottom w:val="nil"/>
              <w:right w:val="nil"/>
            </w:tcBorders>
            <w:shd w:val="clear" w:color="auto" w:fill="auto"/>
            <w:noWrap/>
            <w:vAlign w:val="bottom"/>
            <w:hideMark/>
          </w:tcPr>
          <w:p w14:paraId="5C129E7E"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DA2CD37" w14:textId="77777777" w:rsidTr="00CF551D">
        <w:trPr>
          <w:trHeight w:val="300"/>
        </w:trPr>
        <w:tc>
          <w:tcPr>
            <w:tcW w:w="3380" w:type="dxa"/>
            <w:tcBorders>
              <w:top w:val="nil"/>
              <w:left w:val="nil"/>
              <w:bottom w:val="nil"/>
              <w:right w:val="nil"/>
            </w:tcBorders>
            <w:shd w:val="clear" w:color="auto" w:fill="auto"/>
            <w:noWrap/>
            <w:vAlign w:val="bottom"/>
            <w:hideMark/>
          </w:tcPr>
          <w:p w14:paraId="19F01056"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5</w:t>
            </w:r>
          </w:p>
        </w:tc>
        <w:tc>
          <w:tcPr>
            <w:tcW w:w="1200" w:type="dxa"/>
            <w:tcBorders>
              <w:top w:val="nil"/>
              <w:left w:val="nil"/>
              <w:bottom w:val="nil"/>
              <w:right w:val="nil"/>
            </w:tcBorders>
            <w:shd w:val="clear" w:color="auto" w:fill="auto"/>
            <w:noWrap/>
            <w:vAlign w:val="bottom"/>
            <w:hideMark/>
          </w:tcPr>
          <w:p w14:paraId="29AF648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8B1164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CB00C8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1.02</w:t>
            </w:r>
          </w:p>
        </w:tc>
        <w:tc>
          <w:tcPr>
            <w:tcW w:w="1200" w:type="dxa"/>
            <w:tcBorders>
              <w:top w:val="nil"/>
              <w:left w:val="nil"/>
              <w:bottom w:val="nil"/>
              <w:right w:val="nil"/>
            </w:tcBorders>
            <w:shd w:val="clear" w:color="auto" w:fill="auto"/>
            <w:noWrap/>
            <w:vAlign w:val="bottom"/>
            <w:hideMark/>
          </w:tcPr>
          <w:p w14:paraId="18DCE75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F24D680" w14:textId="77777777" w:rsidTr="00CF551D">
        <w:trPr>
          <w:trHeight w:val="300"/>
        </w:trPr>
        <w:tc>
          <w:tcPr>
            <w:tcW w:w="3380" w:type="dxa"/>
            <w:tcBorders>
              <w:top w:val="nil"/>
              <w:left w:val="nil"/>
              <w:bottom w:val="nil"/>
              <w:right w:val="nil"/>
            </w:tcBorders>
            <w:shd w:val="clear" w:color="auto" w:fill="auto"/>
            <w:noWrap/>
            <w:vAlign w:val="bottom"/>
            <w:hideMark/>
          </w:tcPr>
          <w:p w14:paraId="19A7991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6</w:t>
            </w:r>
          </w:p>
        </w:tc>
        <w:tc>
          <w:tcPr>
            <w:tcW w:w="1200" w:type="dxa"/>
            <w:tcBorders>
              <w:top w:val="nil"/>
              <w:left w:val="nil"/>
              <w:bottom w:val="nil"/>
              <w:right w:val="nil"/>
            </w:tcBorders>
            <w:shd w:val="clear" w:color="auto" w:fill="auto"/>
            <w:noWrap/>
            <w:vAlign w:val="bottom"/>
            <w:hideMark/>
          </w:tcPr>
          <w:p w14:paraId="4DA7CBCF"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3942AB9A"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4DBDFFE5"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1.01</w:t>
            </w:r>
          </w:p>
        </w:tc>
        <w:tc>
          <w:tcPr>
            <w:tcW w:w="1200" w:type="dxa"/>
            <w:tcBorders>
              <w:top w:val="nil"/>
              <w:left w:val="nil"/>
              <w:bottom w:val="nil"/>
              <w:right w:val="nil"/>
            </w:tcBorders>
            <w:shd w:val="clear" w:color="auto" w:fill="auto"/>
            <w:noWrap/>
            <w:vAlign w:val="bottom"/>
            <w:hideMark/>
          </w:tcPr>
          <w:p w14:paraId="0D0EE2F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B7DFEEE" w14:textId="77777777" w:rsidTr="00CF551D">
        <w:trPr>
          <w:trHeight w:val="300"/>
        </w:trPr>
        <w:tc>
          <w:tcPr>
            <w:tcW w:w="3380" w:type="dxa"/>
            <w:tcBorders>
              <w:top w:val="nil"/>
              <w:left w:val="nil"/>
              <w:bottom w:val="nil"/>
              <w:right w:val="nil"/>
            </w:tcBorders>
            <w:shd w:val="clear" w:color="auto" w:fill="auto"/>
            <w:noWrap/>
            <w:vAlign w:val="bottom"/>
            <w:hideMark/>
          </w:tcPr>
          <w:p w14:paraId="5D4027E2"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0146FFA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0.90</w:t>
            </w:r>
          </w:p>
        </w:tc>
        <w:tc>
          <w:tcPr>
            <w:tcW w:w="1200" w:type="dxa"/>
            <w:tcBorders>
              <w:top w:val="nil"/>
              <w:left w:val="nil"/>
              <w:bottom w:val="nil"/>
              <w:right w:val="nil"/>
            </w:tcBorders>
            <w:shd w:val="clear" w:color="auto" w:fill="auto"/>
            <w:noWrap/>
            <w:vAlign w:val="bottom"/>
            <w:hideMark/>
          </w:tcPr>
          <w:p w14:paraId="1BC9F7B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0.85</w:t>
            </w:r>
          </w:p>
        </w:tc>
        <w:tc>
          <w:tcPr>
            <w:tcW w:w="1200" w:type="dxa"/>
            <w:tcBorders>
              <w:top w:val="nil"/>
              <w:left w:val="nil"/>
              <w:bottom w:val="nil"/>
              <w:right w:val="nil"/>
            </w:tcBorders>
            <w:shd w:val="clear" w:color="auto" w:fill="auto"/>
            <w:noWrap/>
            <w:vAlign w:val="bottom"/>
            <w:hideMark/>
          </w:tcPr>
          <w:p w14:paraId="2E30153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0.95</w:t>
            </w:r>
          </w:p>
        </w:tc>
        <w:tc>
          <w:tcPr>
            <w:tcW w:w="1200" w:type="dxa"/>
            <w:tcBorders>
              <w:top w:val="nil"/>
              <w:left w:val="nil"/>
              <w:bottom w:val="nil"/>
              <w:right w:val="nil"/>
            </w:tcBorders>
            <w:shd w:val="clear" w:color="auto" w:fill="auto"/>
            <w:noWrap/>
            <w:vAlign w:val="bottom"/>
            <w:hideMark/>
          </w:tcPr>
          <w:p w14:paraId="05AAFB7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5B97A3E8" w14:textId="77777777" w:rsidTr="00CF551D">
        <w:trPr>
          <w:trHeight w:val="300"/>
        </w:trPr>
        <w:tc>
          <w:tcPr>
            <w:tcW w:w="3380" w:type="dxa"/>
            <w:tcBorders>
              <w:top w:val="nil"/>
              <w:left w:val="nil"/>
              <w:bottom w:val="nil"/>
              <w:right w:val="nil"/>
            </w:tcBorders>
            <w:shd w:val="clear" w:color="auto" w:fill="auto"/>
            <w:noWrap/>
            <w:vAlign w:val="bottom"/>
            <w:hideMark/>
          </w:tcPr>
          <w:p w14:paraId="7BA9A18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independent</w:t>
            </w:r>
            <w:proofErr w:type="spellEnd"/>
            <w:r w:rsidRPr="00CF551D">
              <w:rPr>
                <w:rFonts w:ascii="Calibri" w:eastAsia="Times New Roman" w:hAnsi="Calibri" w:cs="Calibri"/>
                <w:color w:val="000000"/>
                <w:sz w:val="22"/>
                <w:szCs w:val="22"/>
                <w:lang w:val="es-CL" w:eastAsia="es-CL"/>
              </w:rPr>
              <w:t xml:space="preserve">: Late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35A5941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0.92</w:t>
            </w:r>
          </w:p>
        </w:tc>
        <w:tc>
          <w:tcPr>
            <w:tcW w:w="1200" w:type="dxa"/>
            <w:tcBorders>
              <w:top w:val="nil"/>
              <w:left w:val="nil"/>
              <w:bottom w:val="nil"/>
              <w:right w:val="nil"/>
            </w:tcBorders>
            <w:shd w:val="clear" w:color="auto" w:fill="auto"/>
            <w:noWrap/>
            <w:vAlign w:val="bottom"/>
            <w:hideMark/>
          </w:tcPr>
          <w:p w14:paraId="2C2E02E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0.87</w:t>
            </w:r>
          </w:p>
        </w:tc>
        <w:tc>
          <w:tcPr>
            <w:tcW w:w="1200" w:type="dxa"/>
            <w:tcBorders>
              <w:top w:val="nil"/>
              <w:left w:val="nil"/>
              <w:bottom w:val="nil"/>
              <w:right w:val="nil"/>
            </w:tcBorders>
            <w:shd w:val="clear" w:color="auto" w:fill="auto"/>
            <w:noWrap/>
            <w:vAlign w:val="bottom"/>
            <w:hideMark/>
          </w:tcPr>
          <w:p w14:paraId="7C3230A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0.97</w:t>
            </w:r>
          </w:p>
        </w:tc>
        <w:tc>
          <w:tcPr>
            <w:tcW w:w="1200" w:type="dxa"/>
            <w:tcBorders>
              <w:top w:val="nil"/>
              <w:left w:val="nil"/>
              <w:bottom w:val="nil"/>
              <w:right w:val="nil"/>
            </w:tcBorders>
            <w:shd w:val="clear" w:color="auto" w:fill="auto"/>
            <w:noWrap/>
            <w:vAlign w:val="bottom"/>
            <w:hideMark/>
          </w:tcPr>
          <w:p w14:paraId="2C80931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0.004</w:t>
            </w:r>
          </w:p>
        </w:tc>
      </w:tr>
      <w:tr w:rsidR="00CF551D" w:rsidRPr="00CF551D" w14:paraId="3BAD089F" w14:textId="77777777" w:rsidTr="00CF551D">
        <w:trPr>
          <w:trHeight w:val="300"/>
        </w:trPr>
        <w:tc>
          <w:tcPr>
            <w:tcW w:w="3380" w:type="dxa"/>
            <w:tcBorders>
              <w:top w:val="nil"/>
              <w:left w:val="nil"/>
              <w:bottom w:val="nil"/>
              <w:right w:val="nil"/>
            </w:tcBorders>
            <w:shd w:val="clear" w:color="auto" w:fill="auto"/>
            <w:noWrap/>
            <w:vAlign w:val="bottom"/>
            <w:hideMark/>
          </w:tcPr>
          <w:p w14:paraId="6377F13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1</w:t>
            </w:r>
          </w:p>
        </w:tc>
        <w:tc>
          <w:tcPr>
            <w:tcW w:w="1200" w:type="dxa"/>
            <w:tcBorders>
              <w:top w:val="nil"/>
              <w:left w:val="nil"/>
              <w:bottom w:val="nil"/>
              <w:right w:val="nil"/>
            </w:tcBorders>
            <w:shd w:val="clear" w:color="auto" w:fill="auto"/>
            <w:noWrap/>
            <w:vAlign w:val="bottom"/>
            <w:hideMark/>
          </w:tcPr>
          <w:p w14:paraId="0B6DC77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0.78</w:t>
            </w:r>
          </w:p>
        </w:tc>
        <w:tc>
          <w:tcPr>
            <w:tcW w:w="1200" w:type="dxa"/>
            <w:tcBorders>
              <w:top w:val="nil"/>
              <w:left w:val="nil"/>
              <w:bottom w:val="nil"/>
              <w:right w:val="nil"/>
            </w:tcBorders>
            <w:shd w:val="clear" w:color="auto" w:fill="auto"/>
            <w:noWrap/>
            <w:vAlign w:val="bottom"/>
            <w:hideMark/>
          </w:tcPr>
          <w:p w14:paraId="0D88E23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0.73</w:t>
            </w:r>
          </w:p>
        </w:tc>
        <w:tc>
          <w:tcPr>
            <w:tcW w:w="1200" w:type="dxa"/>
            <w:tcBorders>
              <w:top w:val="nil"/>
              <w:left w:val="nil"/>
              <w:bottom w:val="nil"/>
              <w:right w:val="nil"/>
            </w:tcBorders>
            <w:shd w:val="clear" w:color="auto" w:fill="auto"/>
            <w:noWrap/>
            <w:vAlign w:val="bottom"/>
            <w:hideMark/>
          </w:tcPr>
          <w:p w14:paraId="575B193E"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0.83</w:t>
            </w:r>
          </w:p>
        </w:tc>
        <w:tc>
          <w:tcPr>
            <w:tcW w:w="1200" w:type="dxa"/>
            <w:tcBorders>
              <w:top w:val="nil"/>
              <w:left w:val="nil"/>
              <w:bottom w:val="nil"/>
              <w:right w:val="nil"/>
            </w:tcBorders>
            <w:shd w:val="clear" w:color="auto" w:fill="auto"/>
            <w:noWrap/>
            <w:vAlign w:val="bottom"/>
            <w:hideMark/>
          </w:tcPr>
          <w:p w14:paraId="5CE4416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4AFC95E6" w14:textId="77777777" w:rsidTr="00CF551D">
        <w:trPr>
          <w:trHeight w:val="300"/>
        </w:trPr>
        <w:tc>
          <w:tcPr>
            <w:tcW w:w="3380" w:type="dxa"/>
            <w:tcBorders>
              <w:top w:val="nil"/>
              <w:left w:val="nil"/>
              <w:bottom w:val="nil"/>
              <w:right w:val="nil"/>
            </w:tcBorders>
            <w:shd w:val="clear" w:color="auto" w:fill="auto"/>
            <w:noWrap/>
            <w:vAlign w:val="bottom"/>
            <w:hideMark/>
          </w:tcPr>
          <w:p w14:paraId="7830823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2</w:t>
            </w:r>
          </w:p>
        </w:tc>
        <w:tc>
          <w:tcPr>
            <w:tcW w:w="1200" w:type="dxa"/>
            <w:tcBorders>
              <w:top w:val="nil"/>
              <w:left w:val="nil"/>
              <w:bottom w:val="nil"/>
              <w:right w:val="nil"/>
            </w:tcBorders>
            <w:shd w:val="clear" w:color="auto" w:fill="auto"/>
            <w:noWrap/>
            <w:vAlign w:val="bottom"/>
            <w:hideMark/>
          </w:tcPr>
          <w:p w14:paraId="77FF881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0.07</w:t>
            </w:r>
          </w:p>
        </w:tc>
        <w:tc>
          <w:tcPr>
            <w:tcW w:w="1200" w:type="dxa"/>
            <w:tcBorders>
              <w:top w:val="nil"/>
              <w:left w:val="nil"/>
              <w:bottom w:val="nil"/>
              <w:right w:val="nil"/>
            </w:tcBorders>
            <w:shd w:val="clear" w:color="auto" w:fill="auto"/>
            <w:noWrap/>
            <w:vAlign w:val="bottom"/>
            <w:hideMark/>
          </w:tcPr>
          <w:p w14:paraId="2115932F"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0.06</w:t>
            </w:r>
          </w:p>
        </w:tc>
        <w:tc>
          <w:tcPr>
            <w:tcW w:w="1200" w:type="dxa"/>
            <w:tcBorders>
              <w:top w:val="nil"/>
              <w:left w:val="nil"/>
              <w:bottom w:val="nil"/>
              <w:right w:val="nil"/>
            </w:tcBorders>
            <w:shd w:val="clear" w:color="auto" w:fill="auto"/>
            <w:noWrap/>
            <w:vAlign w:val="bottom"/>
            <w:hideMark/>
          </w:tcPr>
          <w:p w14:paraId="53BC330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0.08</w:t>
            </w:r>
          </w:p>
        </w:tc>
        <w:tc>
          <w:tcPr>
            <w:tcW w:w="1200" w:type="dxa"/>
            <w:tcBorders>
              <w:top w:val="nil"/>
              <w:left w:val="nil"/>
              <w:bottom w:val="nil"/>
              <w:right w:val="nil"/>
            </w:tcBorders>
            <w:shd w:val="clear" w:color="auto" w:fill="auto"/>
            <w:noWrap/>
            <w:vAlign w:val="bottom"/>
            <w:hideMark/>
          </w:tcPr>
          <w:p w14:paraId="75FECC9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1CA309D" w14:textId="77777777" w:rsidTr="00CF551D">
        <w:trPr>
          <w:trHeight w:val="300"/>
        </w:trPr>
        <w:tc>
          <w:tcPr>
            <w:tcW w:w="3380" w:type="dxa"/>
            <w:tcBorders>
              <w:top w:val="nil"/>
              <w:left w:val="nil"/>
              <w:bottom w:val="nil"/>
              <w:right w:val="nil"/>
            </w:tcBorders>
            <w:shd w:val="clear" w:color="auto" w:fill="auto"/>
            <w:noWrap/>
            <w:vAlign w:val="bottom"/>
            <w:hideMark/>
          </w:tcPr>
          <w:p w14:paraId="570F83E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3</w:t>
            </w:r>
          </w:p>
        </w:tc>
        <w:tc>
          <w:tcPr>
            <w:tcW w:w="1200" w:type="dxa"/>
            <w:tcBorders>
              <w:top w:val="nil"/>
              <w:left w:val="nil"/>
              <w:bottom w:val="nil"/>
              <w:right w:val="nil"/>
            </w:tcBorders>
            <w:shd w:val="clear" w:color="auto" w:fill="auto"/>
            <w:noWrap/>
            <w:vAlign w:val="bottom"/>
            <w:hideMark/>
          </w:tcPr>
          <w:p w14:paraId="0945001B"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nil"/>
              <w:right w:val="nil"/>
            </w:tcBorders>
            <w:shd w:val="clear" w:color="auto" w:fill="auto"/>
            <w:noWrap/>
            <w:vAlign w:val="bottom"/>
            <w:hideMark/>
          </w:tcPr>
          <w:p w14:paraId="3721B997"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23D9AF06"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0.04</w:t>
            </w:r>
          </w:p>
        </w:tc>
        <w:tc>
          <w:tcPr>
            <w:tcW w:w="1200" w:type="dxa"/>
            <w:tcBorders>
              <w:top w:val="nil"/>
              <w:left w:val="nil"/>
              <w:bottom w:val="nil"/>
              <w:right w:val="nil"/>
            </w:tcBorders>
            <w:shd w:val="clear" w:color="auto" w:fill="auto"/>
            <w:noWrap/>
            <w:vAlign w:val="bottom"/>
            <w:hideMark/>
          </w:tcPr>
          <w:p w14:paraId="711C327F"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6DCE5F30" w14:textId="77777777" w:rsidTr="00CF551D">
        <w:trPr>
          <w:trHeight w:val="300"/>
        </w:trPr>
        <w:tc>
          <w:tcPr>
            <w:tcW w:w="3380" w:type="dxa"/>
            <w:tcBorders>
              <w:top w:val="nil"/>
              <w:left w:val="nil"/>
              <w:bottom w:val="nil"/>
              <w:right w:val="nil"/>
            </w:tcBorders>
            <w:shd w:val="clear" w:color="auto" w:fill="auto"/>
            <w:noWrap/>
            <w:vAlign w:val="bottom"/>
            <w:hideMark/>
          </w:tcPr>
          <w:p w14:paraId="24B7E841"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4</w:t>
            </w:r>
          </w:p>
        </w:tc>
        <w:tc>
          <w:tcPr>
            <w:tcW w:w="1200" w:type="dxa"/>
            <w:tcBorders>
              <w:top w:val="nil"/>
              <w:left w:val="nil"/>
              <w:bottom w:val="nil"/>
              <w:right w:val="nil"/>
            </w:tcBorders>
            <w:shd w:val="clear" w:color="auto" w:fill="auto"/>
            <w:noWrap/>
            <w:vAlign w:val="bottom"/>
            <w:hideMark/>
          </w:tcPr>
          <w:p w14:paraId="3E55CAB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7C4DFAA2"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56950F3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nil"/>
              <w:right w:val="nil"/>
            </w:tcBorders>
            <w:shd w:val="clear" w:color="auto" w:fill="auto"/>
            <w:noWrap/>
            <w:vAlign w:val="bottom"/>
            <w:hideMark/>
          </w:tcPr>
          <w:p w14:paraId="2F7670B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25E89616" w14:textId="77777777" w:rsidTr="00CF551D">
        <w:trPr>
          <w:trHeight w:val="300"/>
        </w:trPr>
        <w:tc>
          <w:tcPr>
            <w:tcW w:w="3380" w:type="dxa"/>
            <w:tcBorders>
              <w:top w:val="nil"/>
              <w:left w:val="nil"/>
              <w:bottom w:val="nil"/>
              <w:right w:val="nil"/>
            </w:tcBorders>
            <w:shd w:val="clear" w:color="auto" w:fill="auto"/>
            <w:noWrap/>
            <w:vAlign w:val="bottom"/>
            <w:hideMark/>
          </w:tcPr>
          <w:p w14:paraId="21269E5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5</w:t>
            </w:r>
          </w:p>
        </w:tc>
        <w:tc>
          <w:tcPr>
            <w:tcW w:w="1200" w:type="dxa"/>
            <w:tcBorders>
              <w:top w:val="nil"/>
              <w:left w:val="nil"/>
              <w:bottom w:val="nil"/>
              <w:right w:val="nil"/>
            </w:tcBorders>
            <w:shd w:val="clear" w:color="auto" w:fill="auto"/>
            <w:noWrap/>
            <w:vAlign w:val="bottom"/>
            <w:hideMark/>
          </w:tcPr>
          <w:p w14:paraId="61942FD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0CFD121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63ABF045"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0.02</w:t>
            </w:r>
          </w:p>
        </w:tc>
        <w:tc>
          <w:tcPr>
            <w:tcW w:w="1200" w:type="dxa"/>
            <w:tcBorders>
              <w:top w:val="nil"/>
              <w:left w:val="nil"/>
              <w:bottom w:val="nil"/>
              <w:right w:val="nil"/>
            </w:tcBorders>
            <w:shd w:val="clear" w:color="auto" w:fill="auto"/>
            <w:noWrap/>
            <w:vAlign w:val="bottom"/>
            <w:hideMark/>
          </w:tcPr>
          <w:p w14:paraId="562D60D4"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D810B84" w14:textId="77777777" w:rsidTr="00CF551D">
        <w:trPr>
          <w:trHeight w:val="300"/>
        </w:trPr>
        <w:tc>
          <w:tcPr>
            <w:tcW w:w="3380" w:type="dxa"/>
            <w:tcBorders>
              <w:top w:val="nil"/>
              <w:left w:val="nil"/>
              <w:bottom w:val="nil"/>
              <w:right w:val="nil"/>
            </w:tcBorders>
            <w:shd w:val="clear" w:color="auto" w:fill="auto"/>
            <w:noWrap/>
            <w:vAlign w:val="bottom"/>
            <w:hideMark/>
          </w:tcPr>
          <w:p w14:paraId="66D2812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knot</w:t>
            </w:r>
            <w:proofErr w:type="spellEnd"/>
            <w:r w:rsidRPr="00CF551D">
              <w:rPr>
                <w:rFonts w:ascii="Calibri" w:eastAsia="Times New Roman" w:hAnsi="Calibri" w:cs="Calibri"/>
                <w:color w:val="000000"/>
                <w:sz w:val="22"/>
                <w:szCs w:val="22"/>
                <w:lang w:val="es-CL" w:eastAsia="es-CL"/>
              </w:rPr>
              <w:t xml:space="preserve"> 6</w:t>
            </w:r>
          </w:p>
        </w:tc>
        <w:tc>
          <w:tcPr>
            <w:tcW w:w="1200" w:type="dxa"/>
            <w:tcBorders>
              <w:top w:val="nil"/>
              <w:left w:val="nil"/>
              <w:bottom w:val="nil"/>
              <w:right w:val="nil"/>
            </w:tcBorders>
            <w:shd w:val="clear" w:color="auto" w:fill="auto"/>
            <w:noWrap/>
            <w:vAlign w:val="bottom"/>
            <w:hideMark/>
          </w:tcPr>
          <w:p w14:paraId="34B10FEE"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07BCECBD"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75D2C8E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0.01</w:t>
            </w:r>
          </w:p>
        </w:tc>
        <w:tc>
          <w:tcPr>
            <w:tcW w:w="1200" w:type="dxa"/>
            <w:tcBorders>
              <w:top w:val="nil"/>
              <w:left w:val="nil"/>
              <w:bottom w:val="nil"/>
              <w:right w:val="nil"/>
            </w:tcBorders>
            <w:shd w:val="clear" w:color="auto" w:fill="auto"/>
            <w:noWrap/>
            <w:vAlign w:val="bottom"/>
            <w:hideMark/>
          </w:tcPr>
          <w:p w14:paraId="32713EC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34D97264" w14:textId="77777777" w:rsidTr="00CF551D">
        <w:trPr>
          <w:trHeight w:val="300"/>
        </w:trPr>
        <w:tc>
          <w:tcPr>
            <w:tcW w:w="3380" w:type="dxa"/>
            <w:tcBorders>
              <w:top w:val="nil"/>
              <w:left w:val="nil"/>
              <w:bottom w:val="nil"/>
              <w:right w:val="nil"/>
            </w:tcBorders>
            <w:shd w:val="clear" w:color="auto" w:fill="auto"/>
            <w:noWrap/>
            <w:vAlign w:val="bottom"/>
            <w:hideMark/>
          </w:tcPr>
          <w:p w14:paraId="40013775"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Early</w:t>
            </w:r>
            <w:proofErr w:type="spellEnd"/>
            <w:r w:rsidRPr="00CF551D">
              <w:rPr>
                <w:rFonts w:ascii="Calibri" w:eastAsia="Times New Roman" w:hAnsi="Calibri" w:cs="Calibri"/>
                <w:color w:val="000000"/>
                <w:sz w:val="22"/>
                <w:szCs w:val="22"/>
                <w:lang w:val="es-CL" w:eastAsia="es-CL"/>
              </w:rPr>
              <w:t xml:space="preserv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nil"/>
              <w:right w:val="nil"/>
            </w:tcBorders>
            <w:shd w:val="clear" w:color="auto" w:fill="auto"/>
            <w:noWrap/>
            <w:vAlign w:val="bottom"/>
            <w:hideMark/>
          </w:tcPr>
          <w:p w14:paraId="09B96BB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-0.11</w:t>
            </w:r>
          </w:p>
        </w:tc>
        <w:tc>
          <w:tcPr>
            <w:tcW w:w="1200" w:type="dxa"/>
            <w:tcBorders>
              <w:top w:val="nil"/>
              <w:left w:val="nil"/>
              <w:bottom w:val="nil"/>
              <w:right w:val="nil"/>
            </w:tcBorders>
            <w:shd w:val="clear" w:color="auto" w:fill="auto"/>
            <w:noWrap/>
            <w:vAlign w:val="bottom"/>
            <w:hideMark/>
          </w:tcPr>
          <w:p w14:paraId="2966B1D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-0.17</w:t>
            </w:r>
          </w:p>
        </w:tc>
        <w:tc>
          <w:tcPr>
            <w:tcW w:w="1200" w:type="dxa"/>
            <w:tcBorders>
              <w:top w:val="nil"/>
              <w:left w:val="nil"/>
              <w:bottom w:val="nil"/>
              <w:right w:val="nil"/>
            </w:tcBorders>
            <w:shd w:val="clear" w:color="auto" w:fill="auto"/>
            <w:noWrap/>
            <w:vAlign w:val="bottom"/>
            <w:hideMark/>
          </w:tcPr>
          <w:p w14:paraId="63C039F9"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-0.05</w:t>
            </w:r>
          </w:p>
        </w:tc>
        <w:tc>
          <w:tcPr>
            <w:tcW w:w="1200" w:type="dxa"/>
            <w:tcBorders>
              <w:top w:val="nil"/>
              <w:left w:val="nil"/>
              <w:bottom w:val="nil"/>
              <w:right w:val="nil"/>
            </w:tcBorders>
            <w:shd w:val="clear" w:color="auto" w:fill="auto"/>
            <w:noWrap/>
            <w:vAlign w:val="bottom"/>
            <w:hideMark/>
          </w:tcPr>
          <w:p w14:paraId="607CF540"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&lt;0.001</w:t>
            </w:r>
          </w:p>
        </w:tc>
      </w:tr>
      <w:tr w:rsidR="00CF551D" w:rsidRPr="00CF551D" w14:paraId="0807DD1D" w14:textId="77777777" w:rsidTr="00CF551D">
        <w:trPr>
          <w:trHeight w:val="300"/>
        </w:trPr>
        <w:tc>
          <w:tcPr>
            <w:tcW w:w="3380" w:type="dxa"/>
            <w:tcBorders>
              <w:top w:val="nil"/>
              <w:left w:val="nil"/>
              <w:bottom w:val="single" w:sz="4" w:space="0" w:color="auto"/>
              <w:right w:val="nil"/>
            </w:tcBorders>
            <w:shd w:val="clear" w:color="auto" w:fill="auto"/>
            <w:noWrap/>
            <w:vAlign w:val="bottom"/>
            <w:hideMark/>
          </w:tcPr>
          <w:p w14:paraId="15062D8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time-</w:t>
            </w:r>
            <w:proofErr w:type="spellStart"/>
            <w:r w:rsidRPr="00CF551D">
              <w:rPr>
                <w:rFonts w:ascii="Calibri" w:eastAsia="Times New Roman" w:hAnsi="Calibri" w:cs="Calibri"/>
                <w:color w:val="000000"/>
                <w:sz w:val="22"/>
                <w:szCs w:val="22"/>
                <w:lang w:val="es-CL" w:eastAsia="es-CL"/>
              </w:rPr>
              <w:t>dependent</w:t>
            </w:r>
            <w:proofErr w:type="spellEnd"/>
            <w:r w:rsidRPr="00CF551D">
              <w:rPr>
                <w:rFonts w:ascii="Calibri" w:eastAsia="Times New Roman" w:hAnsi="Calibri" w:cs="Calibri"/>
                <w:color w:val="000000"/>
                <w:sz w:val="22"/>
                <w:szCs w:val="22"/>
                <w:lang w:val="es-CL" w:eastAsia="es-CL"/>
              </w:rPr>
              <w:t xml:space="preserve">: Late </w:t>
            </w:r>
            <w:proofErr w:type="spellStart"/>
            <w:r w:rsidRPr="00CF551D">
              <w:rPr>
                <w:rFonts w:ascii="Calibri" w:eastAsia="Times New Roman" w:hAnsi="Calibri" w:cs="Calibri"/>
                <w:color w:val="000000"/>
                <w:sz w:val="22"/>
                <w:szCs w:val="22"/>
                <w:lang w:val="es-CL" w:eastAsia="es-CL"/>
              </w:rPr>
              <w:t>discharge</w:t>
            </w:r>
            <w:proofErr w:type="spellEnd"/>
          </w:p>
        </w:tc>
        <w:tc>
          <w:tcPr>
            <w:tcW w:w="1200" w:type="dxa"/>
            <w:tcBorders>
              <w:top w:val="nil"/>
              <w:left w:val="nil"/>
              <w:bottom w:val="single" w:sz="4" w:space="0" w:color="auto"/>
              <w:right w:val="nil"/>
            </w:tcBorders>
            <w:shd w:val="clear" w:color="auto" w:fill="auto"/>
            <w:noWrap/>
            <w:vAlign w:val="bottom"/>
            <w:hideMark/>
          </w:tcPr>
          <w:p w14:paraId="290CC37F"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-0.08</w:t>
            </w:r>
          </w:p>
        </w:tc>
        <w:tc>
          <w:tcPr>
            <w:tcW w:w="1200" w:type="dxa"/>
            <w:tcBorders>
              <w:top w:val="nil"/>
              <w:left w:val="nil"/>
              <w:bottom w:val="single" w:sz="4" w:space="0" w:color="auto"/>
              <w:right w:val="nil"/>
            </w:tcBorders>
            <w:shd w:val="clear" w:color="auto" w:fill="auto"/>
            <w:noWrap/>
            <w:vAlign w:val="bottom"/>
            <w:hideMark/>
          </w:tcPr>
          <w:p w14:paraId="69B4AEDC"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-0.14</w:t>
            </w:r>
          </w:p>
        </w:tc>
        <w:tc>
          <w:tcPr>
            <w:tcW w:w="1200" w:type="dxa"/>
            <w:tcBorders>
              <w:top w:val="nil"/>
              <w:left w:val="nil"/>
              <w:bottom w:val="single" w:sz="4" w:space="0" w:color="auto"/>
              <w:right w:val="nil"/>
            </w:tcBorders>
            <w:shd w:val="clear" w:color="auto" w:fill="auto"/>
            <w:noWrap/>
            <w:vAlign w:val="bottom"/>
            <w:hideMark/>
          </w:tcPr>
          <w:p w14:paraId="53A511F3"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-0.03</w:t>
            </w:r>
          </w:p>
        </w:tc>
        <w:tc>
          <w:tcPr>
            <w:tcW w:w="1200" w:type="dxa"/>
            <w:tcBorders>
              <w:top w:val="nil"/>
              <w:left w:val="nil"/>
              <w:bottom w:val="single" w:sz="4" w:space="0" w:color="auto"/>
              <w:right w:val="nil"/>
            </w:tcBorders>
            <w:shd w:val="clear" w:color="auto" w:fill="auto"/>
            <w:noWrap/>
            <w:vAlign w:val="bottom"/>
            <w:hideMark/>
          </w:tcPr>
          <w:p w14:paraId="7EAE83EB" w14:textId="77777777" w:rsidR="00CF551D" w:rsidRPr="00CF551D" w:rsidRDefault="00CF551D" w:rsidP="00CF551D">
            <w:pPr>
              <w:spacing w:after="0" w:line="240" w:lineRule="auto"/>
              <w:rPr>
                <w:rFonts w:ascii="Calibri" w:eastAsia="Times New Roman" w:hAnsi="Calibri" w:cs="Calibri"/>
                <w:color w:val="000000"/>
                <w:sz w:val="22"/>
                <w:szCs w:val="22"/>
                <w:lang w:val="es-CL" w:eastAsia="es-CL"/>
              </w:rPr>
            </w:pPr>
            <w:r w:rsidRPr="00CF551D">
              <w:rPr>
                <w:rFonts w:ascii="Calibri" w:eastAsia="Times New Roman" w:hAnsi="Calibri" w:cs="Calibri"/>
                <w:color w:val="000000"/>
                <w:sz w:val="22"/>
                <w:szCs w:val="22"/>
                <w:lang w:val="es-CL" w:eastAsia="es-CL"/>
              </w:rPr>
              <w:t>0.004</w:t>
            </w:r>
          </w:p>
        </w:tc>
      </w:tr>
    </w:tbl>
    <w:p w14:paraId="39B19879" w14:textId="70D9E37E" w:rsidR="003B73DD" w:rsidRDefault="00BE4902" w:rsidP="000952AB">
      <w:pPr>
        <w:rPr>
          <w:lang w:val="en-GB"/>
        </w:rPr>
      </w:pPr>
      <w:r>
        <w:rPr>
          <w:lang w:val="en-GB"/>
        </w:rPr>
        <w:t>Note: knots represent knot areas (knots +1).</w:t>
      </w:r>
    </w:p>
    <w:p w14:paraId="691313A3" w14:textId="0F26F3A8" w:rsidR="00BE4902" w:rsidRDefault="00BE4902" w:rsidP="00BE4902">
      <w:pPr>
        <w:rPr>
          <w:lang w:val="en-GB"/>
        </w:rPr>
      </w:pPr>
      <w:r w:rsidRPr="00BE4902">
        <w:rPr>
          <w:lang w:val="en-GB"/>
        </w:rPr>
        <w:t xml:space="preserve">The model found an association of 1.99 (95% CI 1.79, 2.22) in Early </w:t>
      </w:r>
      <w:r>
        <w:rPr>
          <w:lang w:val="en-GB"/>
        </w:rPr>
        <w:t xml:space="preserve">dropout </w:t>
      </w:r>
      <w:r w:rsidRPr="00BE4902">
        <w:rPr>
          <w:lang w:val="en-GB"/>
        </w:rPr>
        <w:t>vs. complet</w:t>
      </w:r>
      <w:r>
        <w:rPr>
          <w:lang w:val="en-GB"/>
        </w:rPr>
        <w:t>ion</w:t>
      </w:r>
      <w:r w:rsidRPr="00BE4902">
        <w:rPr>
          <w:lang w:val="en-GB"/>
        </w:rPr>
        <w:t xml:space="preserve">, and 1.65 (95% CI 1.50, 1.81) in Late </w:t>
      </w:r>
      <w:r>
        <w:rPr>
          <w:lang w:val="en-GB"/>
        </w:rPr>
        <w:t xml:space="preserve">dropout </w:t>
      </w:r>
      <w:r w:rsidRPr="00BE4902">
        <w:rPr>
          <w:lang w:val="en-GB"/>
        </w:rPr>
        <w:t>vs. complet</w:t>
      </w:r>
      <w:r>
        <w:rPr>
          <w:lang w:val="en-GB"/>
        </w:rPr>
        <w:t>ion</w:t>
      </w:r>
      <w:r w:rsidRPr="00BE4902">
        <w:rPr>
          <w:lang w:val="en-GB"/>
        </w:rPr>
        <w:t>.</w:t>
      </w:r>
      <w:r>
        <w:rPr>
          <w:lang w:val="en-GB"/>
        </w:rPr>
        <w:t xml:space="preserve"> Nevertheless, the</w:t>
      </w:r>
    </w:p>
    <w:p w14:paraId="07570814" w14:textId="68123543" w:rsidR="00BE4902" w:rsidRDefault="00BE4902" w:rsidP="00BE4902">
      <w:pPr>
        <w:rPr>
          <w:lang w:val="en-GB"/>
        </w:rPr>
      </w:pPr>
      <w:r>
        <w:rPr>
          <w:lang w:val="en-GB"/>
        </w:rPr>
        <w:t xml:space="preserve"> shape seems to show a </w:t>
      </w:r>
      <w:proofErr w:type="spellStart"/>
      <w:r>
        <w:rPr>
          <w:lang w:val="en-GB"/>
        </w:rPr>
        <w:t>monothonic</w:t>
      </w:r>
      <w:proofErr w:type="spellEnd"/>
      <w:r>
        <w:rPr>
          <w:lang w:val="en-GB"/>
        </w:rPr>
        <w:t xml:space="preserve"> decrease in the association of Early and Late discharge vs. treatment completion, in which the hazard ratio will likely decreasing over time (See Table SXZ).</w:t>
      </w:r>
    </w:p>
    <w:p w14:paraId="5D78E1E8" w14:textId="017F72A7" w:rsidR="003102F7" w:rsidRDefault="003102F7">
      <w:r>
        <w:br w:type="page"/>
      </w:r>
    </w:p>
    <w:p w14:paraId="115E1D54" w14:textId="378866B6" w:rsidR="003102F7" w:rsidRDefault="003102F7" w:rsidP="00890CB4">
      <w:pPr>
        <w:pStyle w:val="Ttulo3"/>
        <w:spacing w:line="276" w:lineRule="auto"/>
      </w:pPr>
      <w:r w:rsidRPr="002077F6">
        <w:rPr>
          <w:lang w:val="en-GB"/>
        </w:rPr>
        <w:lastRenderedPageBreak/>
        <w:t xml:space="preserve">Section </w:t>
      </w:r>
      <w:r>
        <w:rPr>
          <w:lang w:val="en-GB"/>
        </w:rPr>
        <w:t>3</w:t>
      </w:r>
      <w:r w:rsidRPr="002077F6">
        <w:rPr>
          <w:lang w:val="en-GB"/>
        </w:rPr>
        <w:t xml:space="preserve">. </w:t>
      </w:r>
      <w:r w:rsidR="00890CB4">
        <w:t>Alternative analysis with complete cases &amp; imputing comorbidities in study</w:t>
      </w:r>
    </w:p>
    <w:p w14:paraId="7167A888" w14:textId="03178AEF" w:rsidR="00936E54" w:rsidRDefault="00936E54">
      <w:pPr>
        <w:rPr>
          <w:lang w:val="en-GB"/>
        </w:rPr>
      </w:pPr>
      <w:r w:rsidRPr="00936E54">
        <w:rPr>
          <w:lang w:val="en-GB"/>
        </w:rPr>
        <w:t xml:space="preserve">The imputation was carried out using chained random forests through the </w:t>
      </w:r>
      <w:proofErr w:type="spellStart"/>
      <w:r w:rsidRPr="00936E54">
        <w:rPr>
          <w:lang w:val="en-GB"/>
        </w:rPr>
        <w:t>missRanger</w:t>
      </w:r>
      <w:proofErr w:type="spellEnd"/>
      <w:r w:rsidRPr="00936E54">
        <w:rPr>
          <w:lang w:val="en-GB"/>
        </w:rPr>
        <w:t xml:space="preserve"> </w:t>
      </w:r>
      <w:commentRangeStart w:id="1"/>
      <w:commentRangeStart w:id="2"/>
      <w:r w:rsidRPr="00936E54">
        <w:rPr>
          <w:lang w:val="en-GB"/>
        </w:rPr>
        <w:t>package</w:t>
      </w:r>
      <w:commentRangeEnd w:id="1"/>
      <w:r>
        <w:rPr>
          <w:rStyle w:val="Refdecomentario"/>
        </w:rPr>
        <w:commentReference w:id="1"/>
      </w:r>
      <w:commentRangeEnd w:id="2"/>
      <w:r>
        <w:rPr>
          <w:rStyle w:val="Refdecomentario"/>
        </w:rPr>
        <w:commentReference w:id="2"/>
      </w:r>
      <w:r>
        <w:rPr>
          <w:lang w:val="en-GB"/>
        </w:rPr>
        <w:t>. We used 200 trees, 3 candidate values of predictive matching (thus, avoiding unlikely numbers), with a maximum of 50 iterations per chaining steps.</w:t>
      </w:r>
      <w:r w:rsidR="00907B65">
        <w:rPr>
          <w:lang w:val="en-GB"/>
        </w:rPr>
        <w:t xml:space="preserve"> (CITAS)</w:t>
      </w:r>
    </w:p>
    <w:p w14:paraId="237539CB" w14:textId="29F31389" w:rsidR="007C5EDA" w:rsidRDefault="00907B65">
      <w:pPr>
        <w:rPr>
          <w:lang w:val="en-GB"/>
        </w:rPr>
      </w:pPr>
      <w:r>
        <w:rPr>
          <w:lang w:val="en-GB"/>
        </w:rPr>
        <w:t xml:space="preserve">After 5 iterations, we obtained </w:t>
      </w:r>
      <w:proofErr w:type="gramStart"/>
      <w:r>
        <w:rPr>
          <w:lang w:val="en-GB"/>
        </w:rPr>
        <w:t>fairly low</w:t>
      </w:r>
      <w:proofErr w:type="gramEnd"/>
      <w:r>
        <w:rPr>
          <w:lang w:val="en-GB"/>
        </w:rPr>
        <w:t xml:space="preserve"> standardized mean squared errors reductions (</w:t>
      </w:r>
      <w:proofErr w:type="spellStart"/>
      <w:r w:rsidRPr="00907B65">
        <w:rPr>
          <w:lang w:val="en-GB"/>
        </w:rPr>
        <w:t>Mdn</w:t>
      </w:r>
      <w:proofErr w:type="spellEnd"/>
      <w:r w:rsidRPr="00907B65">
        <w:rPr>
          <w:lang w:val="en-GB"/>
        </w:rPr>
        <w:t>= 5e-04 Q1= 0, Q3= 0.0024</w:t>
      </w:r>
      <w:r>
        <w:rPr>
          <w:lang w:val="en-GB"/>
        </w:rPr>
        <w:t>).</w:t>
      </w:r>
    </w:p>
    <w:p w14:paraId="4FBF4B6F" w14:textId="0BCD88F1" w:rsidR="00F44BC6" w:rsidRDefault="00F44BC6">
      <w:pPr>
        <w:rPr>
          <w:lang w:val="en-GB"/>
        </w:rPr>
      </w:pPr>
      <w:r>
        <w:rPr>
          <w:lang w:val="en-GB"/>
        </w:rPr>
        <w:t>We compared the probabilities and restricted mean survival times to those obtained by imputing missing data only.</w:t>
      </w:r>
    </w:p>
    <w:p w14:paraId="7EA8A1BB" w14:textId="3CB225F9" w:rsidR="00F44BC6" w:rsidRDefault="00723546">
      <w:pPr>
        <w:rPr>
          <w:lang w:val="en-GB"/>
        </w:rPr>
      </w:pPr>
      <w:r>
        <w:rPr>
          <w:lang w:val="en-GB"/>
        </w:rPr>
        <w:t xml:space="preserve">Differences were similar in terms of direction and significance, with less survival and average survival at different time points for those who dropout when compared to those who complete, </w:t>
      </w:r>
      <w:r w:rsidR="00777D1E">
        <w:rPr>
          <w:lang w:val="en-GB"/>
        </w:rPr>
        <w:t xml:space="preserve">while more survival and average survival at different years for those who had a late dropout vs. those who dropout </w:t>
      </w:r>
      <w:proofErr w:type="gramStart"/>
      <w:r w:rsidR="00777D1E">
        <w:rPr>
          <w:lang w:val="en-GB"/>
        </w:rPr>
        <w:t>early</w:t>
      </w:r>
      <w:r w:rsidR="00F44BC6">
        <w:rPr>
          <w:lang w:val="en-GB"/>
        </w:rPr>
        <w:t>(</w:t>
      </w:r>
      <w:proofErr w:type="gramEnd"/>
      <w:r w:rsidR="00F44BC6">
        <w:rPr>
          <w:lang w:val="en-GB"/>
        </w:rPr>
        <w:t>See Table SXZ).</w:t>
      </w:r>
    </w:p>
    <w:p w14:paraId="1CD38D7C" w14:textId="77777777" w:rsidR="00F44BC6" w:rsidRDefault="00F44BC6">
      <w:pPr>
        <w:rPr>
          <w:lang w:val="en-GB"/>
        </w:rPr>
      </w:pPr>
    </w:p>
    <w:p w14:paraId="70D97045" w14:textId="49075D18" w:rsidR="00DA2822" w:rsidRPr="00F44BC6" w:rsidRDefault="00DA2822">
      <w:pPr>
        <w:rPr>
          <w:lang w:val="en-GB"/>
        </w:rPr>
      </w:pPr>
      <w:r>
        <w:t>Table SXZ. Differences in survival probabilities, time to any contact with the justice system</w:t>
      </w:r>
      <w:r w:rsidR="00F44BC6">
        <w:t xml:space="preserve"> for complete case analysis (a) and with i</w:t>
      </w:r>
      <w:r w:rsidR="00F44BC6" w:rsidRPr="00F44BC6">
        <w:t xml:space="preserve">mputed </w:t>
      </w:r>
      <w:r w:rsidR="00F44BC6">
        <w:t xml:space="preserve">values replacing </w:t>
      </w:r>
      <w:r w:rsidR="00F44BC6" w:rsidRPr="00F44BC6">
        <w:t>comorbidities in study</w:t>
      </w:r>
      <w:r w:rsidR="00F44BC6">
        <w:t xml:space="preserve"> (b)</w:t>
      </w:r>
    </w:p>
    <w:tbl>
      <w:tblPr>
        <w:tblW w:w="936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892"/>
        <w:gridCol w:w="1461"/>
        <w:gridCol w:w="1461"/>
        <w:gridCol w:w="1312"/>
        <w:gridCol w:w="1461"/>
        <w:gridCol w:w="1461"/>
        <w:gridCol w:w="1312"/>
      </w:tblGrid>
      <w:tr w:rsidR="00723546" w:rsidRPr="00723546" w14:paraId="1FE619E1" w14:textId="77777777" w:rsidTr="00723546">
        <w:trPr>
          <w:trHeight w:val="300"/>
        </w:trPr>
        <w:tc>
          <w:tcPr>
            <w:tcW w:w="892" w:type="dxa"/>
            <w:tcBorders>
              <w:top w:val="single" w:sz="4" w:space="0" w:color="auto"/>
              <w:bottom w:val="single" w:sz="4" w:space="0" w:color="auto"/>
            </w:tcBorders>
            <w:shd w:val="clear" w:color="auto" w:fill="auto"/>
            <w:noWrap/>
            <w:vAlign w:val="bottom"/>
          </w:tcPr>
          <w:p w14:paraId="4EDD79FB" w14:textId="77777777" w:rsidR="00723546" w:rsidRPr="000A68E9" w:rsidRDefault="00723546" w:rsidP="00723546">
            <w:pPr>
              <w:spacing w:after="0" w:line="240" w:lineRule="auto"/>
              <w:rPr>
                <w:rFonts w:ascii="Calibri" w:eastAsia="Times New Roman" w:hAnsi="Calibri" w:cs="Calibri"/>
                <w:b/>
                <w:bCs/>
                <w:color w:val="000000"/>
                <w:sz w:val="20"/>
                <w:szCs w:val="20"/>
                <w:lang w:val="en-GB" w:eastAsia="es-CL"/>
              </w:rPr>
            </w:pPr>
          </w:p>
        </w:tc>
        <w:tc>
          <w:tcPr>
            <w:tcW w:w="1461" w:type="dxa"/>
            <w:tcBorders>
              <w:top w:val="single" w:sz="4" w:space="0" w:color="auto"/>
              <w:bottom w:val="single" w:sz="4" w:space="0" w:color="auto"/>
            </w:tcBorders>
            <w:shd w:val="clear" w:color="auto" w:fill="auto"/>
            <w:noWrap/>
            <w:vAlign w:val="bottom"/>
          </w:tcPr>
          <w:p w14:paraId="219D5EEA" w14:textId="740C1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Pr>
                <w:rFonts w:ascii="Calibri" w:eastAsia="Times New Roman" w:hAnsi="Calibri" w:cs="Calibri"/>
                <w:b/>
                <w:bCs/>
                <w:color w:val="000000"/>
                <w:sz w:val="20"/>
                <w:szCs w:val="20"/>
                <w:lang w:val="es-CL" w:eastAsia="es-CL"/>
              </w:rPr>
              <w:t>a)</w:t>
            </w:r>
          </w:p>
        </w:tc>
        <w:tc>
          <w:tcPr>
            <w:tcW w:w="1461" w:type="dxa"/>
            <w:tcBorders>
              <w:top w:val="single" w:sz="4" w:space="0" w:color="auto"/>
              <w:bottom w:val="single" w:sz="4" w:space="0" w:color="auto"/>
            </w:tcBorders>
            <w:shd w:val="clear" w:color="auto" w:fill="auto"/>
            <w:noWrap/>
            <w:vAlign w:val="bottom"/>
          </w:tcPr>
          <w:p w14:paraId="2D4EEA7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312" w:type="dxa"/>
            <w:tcBorders>
              <w:top w:val="single" w:sz="4" w:space="0" w:color="auto"/>
              <w:bottom w:val="single" w:sz="4" w:space="0" w:color="auto"/>
            </w:tcBorders>
            <w:shd w:val="clear" w:color="auto" w:fill="auto"/>
            <w:noWrap/>
            <w:vAlign w:val="bottom"/>
          </w:tcPr>
          <w:p w14:paraId="478668B8"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461" w:type="dxa"/>
            <w:tcBorders>
              <w:top w:val="single" w:sz="4" w:space="0" w:color="auto"/>
              <w:bottom w:val="single" w:sz="4" w:space="0" w:color="auto"/>
            </w:tcBorders>
            <w:shd w:val="clear" w:color="auto" w:fill="auto"/>
            <w:noWrap/>
            <w:vAlign w:val="bottom"/>
          </w:tcPr>
          <w:p w14:paraId="0A6C343D" w14:textId="3BD54A98"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Pr>
                <w:rFonts w:ascii="Calibri" w:eastAsia="Times New Roman" w:hAnsi="Calibri" w:cs="Calibri"/>
                <w:b/>
                <w:bCs/>
                <w:color w:val="000000"/>
                <w:sz w:val="20"/>
                <w:szCs w:val="20"/>
                <w:lang w:val="es-CL" w:eastAsia="es-CL"/>
              </w:rPr>
              <w:t>b)</w:t>
            </w:r>
          </w:p>
        </w:tc>
        <w:tc>
          <w:tcPr>
            <w:tcW w:w="1461" w:type="dxa"/>
            <w:tcBorders>
              <w:top w:val="single" w:sz="4" w:space="0" w:color="auto"/>
              <w:bottom w:val="single" w:sz="4" w:space="0" w:color="auto"/>
            </w:tcBorders>
            <w:shd w:val="clear" w:color="auto" w:fill="auto"/>
            <w:noWrap/>
            <w:vAlign w:val="bottom"/>
          </w:tcPr>
          <w:p w14:paraId="741CB005"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312" w:type="dxa"/>
            <w:tcBorders>
              <w:top w:val="single" w:sz="4" w:space="0" w:color="auto"/>
              <w:bottom w:val="single" w:sz="4" w:space="0" w:color="auto"/>
            </w:tcBorders>
            <w:shd w:val="clear" w:color="auto" w:fill="auto"/>
            <w:noWrap/>
            <w:vAlign w:val="bottom"/>
          </w:tcPr>
          <w:p w14:paraId="0B99A1F0"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r>
      <w:tr w:rsidR="00723546" w:rsidRPr="00723546" w14:paraId="2BABF650" w14:textId="77777777" w:rsidTr="00723546">
        <w:trPr>
          <w:trHeight w:val="300"/>
        </w:trPr>
        <w:tc>
          <w:tcPr>
            <w:tcW w:w="892" w:type="dxa"/>
            <w:tcBorders>
              <w:top w:val="single" w:sz="4" w:space="0" w:color="auto"/>
              <w:bottom w:val="single" w:sz="4" w:space="0" w:color="auto"/>
            </w:tcBorders>
            <w:shd w:val="clear" w:color="auto" w:fill="auto"/>
            <w:noWrap/>
            <w:vAlign w:val="bottom"/>
            <w:hideMark/>
          </w:tcPr>
          <w:p w14:paraId="1B46C682"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Time</w:t>
            </w:r>
          </w:p>
        </w:tc>
        <w:tc>
          <w:tcPr>
            <w:tcW w:w="1461" w:type="dxa"/>
            <w:tcBorders>
              <w:top w:val="single" w:sz="4" w:space="0" w:color="auto"/>
              <w:bottom w:val="single" w:sz="4" w:space="0" w:color="auto"/>
            </w:tcBorders>
            <w:shd w:val="clear" w:color="auto" w:fill="auto"/>
            <w:noWrap/>
            <w:vAlign w:val="bottom"/>
            <w:hideMark/>
          </w:tcPr>
          <w:p w14:paraId="053A1D02"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461" w:type="dxa"/>
            <w:tcBorders>
              <w:top w:val="single" w:sz="4" w:space="0" w:color="auto"/>
              <w:bottom w:val="single" w:sz="4" w:space="0" w:color="auto"/>
            </w:tcBorders>
            <w:shd w:val="clear" w:color="auto" w:fill="auto"/>
            <w:noWrap/>
            <w:vAlign w:val="bottom"/>
            <w:hideMark/>
          </w:tcPr>
          <w:p w14:paraId="2177768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12" w:type="dxa"/>
            <w:tcBorders>
              <w:top w:val="single" w:sz="4" w:space="0" w:color="auto"/>
              <w:bottom w:val="single" w:sz="4" w:space="0" w:color="auto"/>
            </w:tcBorders>
            <w:shd w:val="clear" w:color="auto" w:fill="auto"/>
            <w:noWrap/>
            <w:vAlign w:val="bottom"/>
            <w:hideMark/>
          </w:tcPr>
          <w:p w14:paraId="7F0BA1C3"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c>
          <w:tcPr>
            <w:tcW w:w="1461" w:type="dxa"/>
            <w:tcBorders>
              <w:top w:val="single" w:sz="4" w:space="0" w:color="auto"/>
              <w:bottom w:val="single" w:sz="4" w:space="0" w:color="auto"/>
            </w:tcBorders>
            <w:shd w:val="clear" w:color="auto" w:fill="auto"/>
            <w:noWrap/>
            <w:vAlign w:val="bottom"/>
            <w:hideMark/>
          </w:tcPr>
          <w:p w14:paraId="7C49ABE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461" w:type="dxa"/>
            <w:tcBorders>
              <w:top w:val="single" w:sz="4" w:space="0" w:color="auto"/>
              <w:bottom w:val="single" w:sz="4" w:space="0" w:color="auto"/>
            </w:tcBorders>
            <w:shd w:val="clear" w:color="auto" w:fill="auto"/>
            <w:noWrap/>
            <w:vAlign w:val="bottom"/>
            <w:hideMark/>
          </w:tcPr>
          <w:p w14:paraId="31558721"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12" w:type="dxa"/>
            <w:tcBorders>
              <w:top w:val="single" w:sz="4" w:space="0" w:color="auto"/>
              <w:bottom w:val="single" w:sz="4" w:space="0" w:color="auto"/>
            </w:tcBorders>
            <w:shd w:val="clear" w:color="auto" w:fill="auto"/>
            <w:noWrap/>
            <w:vAlign w:val="bottom"/>
            <w:hideMark/>
          </w:tcPr>
          <w:p w14:paraId="392DC359"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r>
      <w:tr w:rsidR="00723546" w:rsidRPr="00723546" w14:paraId="7A8F45F3" w14:textId="77777777" w:rsidTr="00723546">
        <w:trPr>
          <w:trHeight w:val="300"/>
        </w:trPr>
        <w:tc>
          <w:tcPr>
            <w:tcW w:w="892" w:type="dxa"/>
            <w:tcBorders>
              <w:top w:val="single" w:sz="4" w:space="0" w:color="auto"/>
            </w:tcBorders>
            <w:shd w:val="clear" w:color="auto" w:fill="auto"/>
            <w:noWrap/>
            <w:vAlign w:val="bottom"/>
            <w:hideMark/>
          </w:tcPr>
          <w:p w14:paraId="7F1531C0"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roofErr w:type="spellStart"/>
            <w:r w:rsidRPr="00723546">
              <w:rPr>
                <w:rFonts w:ascii="Calibri" w:eastAsia="Times New Roman" w:hAnsi="Calibri" w:cs="Calibri"/>
                <w:color w:val="000000"/>
                <w:sz w:val="20"/>
                <w:szCs w:val="20"/>
                <w:lang w:val="es-CL" w:eastAsia="es-CL"/>
              </w:rPr>
              <w:t>Probs</w:t>
            </w:r>
            <w:proofErr w:type="spellEnd"/>
            <w:r w:rsidRPr="00723546">
              <w:rPr>
                <w:rFonts w:ascii="Calibri" w:eastAsia="Times New Roman" w:hAnsi="Calibri" w:cs="Calibri"/>
                <w:color w:val="000000"/>
                <w:sz w:val="20"/>
                <w:szCs w:val="20"/>
                <w:lang w:val="es-CL" w:eastAsia="es-CL"/>
              </w:rPr>
              <w:t>.</w:t>
            </w:r>
          </w:p>
        </w:tc>
        <w:tc>
          <w:tcPr>
            <w:tcW w:w="1461" w:type="dxa"/>
            <w:tcBorders>
              <w:top w:val="single" w:sz="4" w:space="0" w:color="auto"/>
            </w:tcBorders>
            <w:shd w:val="clear" w:color="auto" w:fill="auto"/>
            <w:noWrap/>
            <w:vAlign w:val="bottom"/>
            <w:hideMark/>
          </w:tcPr>
          <w:p w14:paraId="6B229905"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
        </w:tc>
        <w:tc>
          <w:tcPr>
            <w:tcW w:w="1461" w:type="dxa"/>
            <w:tcBorders>
              <w:top w:val="single" w:sz="4" w:space="0" w:color="auto"/>
            </w:tcBorders>
            <w:shd w:val="clear" w:color="auto" w:fill="auto"/>
            <w:noWrap/>
            <w:vAlign w:val="bottom"/>
            <w:hideMark/>
          </w:tcPr>
          <w:p w14:paraId="295541D7"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12" w:type="dxa"/>
            <w:tcBorders>
              <w:top w:val="single" w:sz="4" w:space="0" w:color="auto"/>
            </w:tcBorders>
            <w:shd w:val="clear" w:color="auto" w:fill="auto"/>
            <w:noWrap/>
            <w:vAlign w:val="bottom"/>
            <w:hideMark/>
          </w:tcPr>
          <w:p w14:paraId="46CB93AC"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461" w:type="dxa"/>
            <w:tcBorders>
              <w:top w:val="single" w:sz="4" w:space="0" w:color="auto"/>
            </w:tcBorders>
            <w:shd w:val="clear" w:color="auto" w:fill="auto"/>
            <w:noWrap/>
            <w:vAlign w:val="bottom"/>
            <w:hideMark/>
          </w:tcPr>
          <w:p w14:paraId="0AECFAAA"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461" w:type="dxa"/>
            <w:tcBorders>
              <w:top w:val="single" w:sz="4" w:space="0" w:color="auto"/>
            </w:tcBorders>
            <w:shd w:val="clear" w:color="auto" w:fill="auto"/>
            <w:noWrap/>
            <w:vAlign w:val="bottom"/>
            <w:hideMark/>
          </w:tcPr>
          <w:p w14:paraId="405902AE"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12" w:type="dxa"/>
            <w:tcBorders>
              <w:top w:val="single" w:sz="4" w:space="0" w:color="auto"/>
            </w:tcBorders>
            <w:shd w:val="clear" w:color="auto" w:fill="auto"/>
            <w:noWrap/>
            <w:vAlign w:val="bottom"/>
            <w:hideMark/>
          </w:tcPr>
          <w:p w14:paraId="31C8AC85"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r>
      <w:tr w:rsidR="00723546" w:rsidRPr="00723546" w14:paraId="2C6D6D30" w14:textId="77777777" w:rsidTr="00723546">
        <w:trPr>
          <w:trHeight w:val="300"/>
        </w:trPr>
        <w:tc>
          <w:tcPr>
            <w:tcW w:w="892" w:type="dxa"/>
            <w:shd w:val="clear" w:color="auto" w:fill="auto"/>
            <w:noWrap/>
            <w:vAlign w:val="bottom"/>
            <w:hideMark/>
          </w:tcPr>
          <w:p w14:paraId="657B811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461" w:type="dxa"/>
            <w:shd w:val="clear" w:color="auto" w:fill="auto"/>
            <w:noWrap/>
            <w:vAlign w:val="bottom"/>
            <w:hideMark/>
          </w:tcPr>
          <w:p w14:paraId="4E1485C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-5.3 (-5.9,-4.8)</w:t>
            </w:r>
          </w:p>
        </w:tc>
        <w:tc>
          <w:tcPr>
            <w:tcW w:w="1461" w:type="dxa"/>
            <w:shd w:val="clear" w:color="auto" w:fill="auto"/>
            <w:noWrap/>
            <w:vAlign w:val="bottom"/>
            <w:hideMark/>
          </w:tcPr>
          <w:p w14:paraId="045E14F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-6.8 (-7.6,-6.1)</w:t>
            </w:r>
          </w:p>
        </w:tc>
        <w:tc>
          <w:tcPr>
            <w:tcW w:w="1312" w:type="dxa"/>
            <w:shd w:val="clear" w:color="auto" w:fill="auto"/>
            <w:noWrap/>
            <w:vAlign w:val="bottom"/>
            <w:hideMark/>
          </w:tcPr>
          <w:p w14:paraId="28580FF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1.5 (0.9,2.2)</w:t>
            </w:r>
          </w:p>
        </w:tc>
        <w:tc>
          <w:tcPr>
            <w:tcW w:w="1461" w:type="dxa"/>
            <w:shd w:val="clear" w:color="auto" w:fill="auto"/>
            <w:noWrap/>
            <w:vAlign w:val="bottom"/>
            <w:hideMark/>
          </w:tcPr>
          <w:p w14:paraId="556A543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-5.6 (-6.1,-5.1)</w:t>
            </w:r>
          </w:p>
        </w:tc>
        <w:tc>
          <w:tcPr>
            <w:tcW w:w="1461" w:type="dxa"/>
            <w:shd w:val="clear" w:color="auto" w:fill="auto"/>
            <w:noWrap/>
            <w:vAlign w:val="bottom"/>
            <w:hideMark/>
          </w:tcPr>
          <w:p w14:paraId="6B2CE298"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-7.6 (-8.3,-7.0)</w:t>
            </w:r>
          </w:p>
        </w:tc>
        <w:tc>
          <w:tcPr>
            <w:tcW w:w="1312" w:type="dxa"/>
            <w:shd w:val="clear" w:color="auto" w:fill="auto"/>
            <w:noWrap/>
            <w:vAlign w:val="bottom"/>
            <w:hideMark/>
          </w:tcPr>
          <w:p w14:paraId="33FDD8A8"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2.0 (1.5,2.6)</w:t>
            </w:r>
          </w:p>
        </w:tc>
      </w:tr>
      <w:tr w:rsidR="00723546" w:rsidRPr="00723546" w14:paraId="3142E108" w14:textId="77777777" w:rsidTr="00723546">
        <w:trPr>
          <w:trHeight w:val="300"/>
        </w:trPr>
        <w:tc>
          <w:tcPr>
            <w:tcW w:w="892" w:type="dxa"/>
            <w:shd w:val="clear" w:color="auto" w:fill="auto"/>
            <w:noWrap/>
            <w:vAlign w:val="bottom"/>
            <w:hideMark/>
          </w:tcPr>
          <w:p w14:paraId="7D02A133"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461" w:type="dxa"/>
            <w:shd w:val="clear" w:color="auto" w:fill="auto"/>
            <w:noWrap/>
            <w:vAlign w:val="bottom"/>
            <w:hideMark/>
          </w:tcPr>
          <w:p w14:paraId="68EF2EC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-8.2 (-9.0,-7.4)</w:t>
            </w:r>
          </w:p>
        </w:tc>
        <w:tc>
          <w:tcPr>
            <w:tcW w:w="1461" w:type="dxa"/>
            <w:shd w:val="clear" w:color="auto" w:fill="auto"/>
            <w:noWrap/>
            <w:vAlign w:val="bottom"/>
            <w:hideMark/>
          </w:tcPr>
          <w:p w14:paraId="3AE1FE2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-9.9 (-10.9,-8.8)</w:t>
            </w:r>
          </w:p>
        </w:tc>
        <w:tc>
          <w:tcPr>
            <w:tcW w:w="1312" w:type="dxa"/>
            <w:shd w:val="clear" w:color="auto" w:fill="auto"/>
            <w:noWrap/>
            <w:vAlign w:val="bottom"/>
            <w:hideMark/>
          </w:tcPr>
          <w:p w14:paraId="0AE0F08C"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1.7 (0.7,2.6)</w:t>
            </w:r>
          </w:p>
        </w:tc>
        <w:tc>
          <w:tcPr>
            <w:tcW w:w="1461" w:type="dxa"/>
            <w:shd w:val="clear" w:color="auto" w:fill="auto"/>
            <w:noWrap/>
            <w:vAlign w:val="bottom"/>
            <w:hideMark/>
          </w:tcPr>
          <w:p w14:paraId="7278E96C"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-8.6 (-9.3,-7.9)</w:t>
            </w:r>
          </w:p>
        </w:tc>
        <w:tc>
          <w:tcPr>
            <w:tcW w:w="1461" w:type="dxa"/>
            <w:shd w:val="clear" w:color="auto" w:fill="auto"/>
            <w:noWrap/>
            <w:vAlign w:val="bottom"/>
            <w:hideMark/>
          </w:tcPr>
          <w:p w14:paraId="239FC7C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-11.1 (-11.9,-10.2)</w:t>
            </w:r>
          </w:p>
        </w:tc>
        <w:tc>
          <w:tcPr>
            <w:tcW w:w="1312" w:type="dxa"/>
            <w:shd w:val="clear" w:color="auto" w:fill="auto"/>
            <w:noWrap/>
            <w:vAlign w:val="bottom"/>
            <w:hideMark/>
          </w:tcPr>
          <w:p w14:paraId="43BFD45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2.4 (1.7,3.2)</w:t>
            </w:r>
          </w:p>
        </w:tc>
      </w:tr>
      <w:tr w:rsidR="00723546" w:rsidRPr="00723546" w14:paraId="2C573ED7" w14:textId="77777777" w:rsidTr="00723546">
        <w:trPr>
          <w:trHeight w:val="300"/>
        </w:trPr>
        <w:tc>
          <w:tcPr>
            <w:tcW w:w="892" w:type="dxa"/>
            <w:shd w:val="clear" w:color="auto" w:fill="auto"/>
            <w:noWrap/>
            <w:vAlign w:val="bottom"/>
            <w:hideMark/>
          </w:tcPr>
          <w:p w14:paraId="6DBFC34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461" w:type="dxa"/>
            <w:shd w:val="clear" w:color="auto" w:fill="auto"/>
            <w:noWrap/>
            <w:vAlign w:val="bottom"/>
            <w:hideMark/>
          </w:tcPr>
          <w:p w14:paraId="70B4412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-9.1 (-10.0,-8.2)</w:t>
            </w:r>
          </w:p>
        </w:tc>
        <w:tc>
          <w:tcPr>
            <w:tcW w:w="1461" w:type="dxa"/>
            <w:shd w:val="clear" w:color="auto" w:fill="auto"/>
            <w:noWrap/>
            <w:vAlign w:val="bottom"/>
            <w:hideMark/>
          </w:tcPr>
          <w:p w14:paraId="4E35643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-10.5 (-11.8,-9.3)</w:t>
            </w:r>
          </w:p>
        </w:tc>
        <w:tc>
          <w:tcPr>
            <w:tcW w:w="1312" w:type="dxa"/>
            <w:shd w:val="clear" w:color="auto" w:fill="auto"/>
            <w:noWrap/>
            <w:vAlign w:val="bottom"/>
            <w:hideMark/>
          </w:tcPr>
          <w:p w14:paraId="715372F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1.5 (0.4,2.5)</w:t>
            </w:r>
          </w:p>
        </w:tc>
        <w:tc>
          <w:tcPr>
            <w:tcW w:w="1461" w:type="dxa"/>
            <w:shd w:val="clear" w:color="auto" w:fill="auto"/>
            <w:noWrap/>
            <w:vAlign w:val="bottom"/>
            <w:hideMark/>
          </w:tcPr>
          <w:p w14:paraId="296E62C5"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-9.6 (-10.4,-8.8)</w:t>
            </w:r>
          </w:p>
        </w:tc>
        <w:tc>
          <w:tcPr>
            <w:tcW w:w="1461" w:type="dxa"/>
            <w:shd w:val="clear" w:color="auto" w:fill="auto"/>
            <w:noWrap/>
            <w:vAlign w:val="bottom"/>
            <w:hideMark/>
          </w:tcPr>
          <w:p w14:paraId="0ACFEEEB"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-11.9 (-12.9,-11.0)</w:t>
            </w:r>
          </w:p>
        </w:tc>
        <w:tc>
          <w:tcPr>
            <w:tcW w:w="1312" w:type="dxa"/>
            <w:shd w:val="clear" w:color="auto" w:fill="auto"/>
            <w:noWrap/>
            <w:vAlign w:val="bottom"/>
            <w:hideMark/>
          </w:tcPr>
          <w:p w14:paraId="660D6E8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2.4 (1.5,3.2)</w:t>
            </w:r>
          </w:p>
        </w:tc>
      </w:tr>
      <w:tr w:rsidR="00723546" w:rsidRPr="00723546" w14:paraId="36A5F1D6" w14:textId="77777777" w:rsidTr="00723546">
        <w:trPr>
          <w:trHeight w:val="300"/>
        </w:trPr>
        <w:tc>
          <w:tcPr>
            <w:tcW w:w="892" w:type="dxa"/>
            <w:shd w:val="clear" w:color="auto" w:fill="auto"/>
            <w:noWrap/>
            <w:vAlign w:val="bottom"/>
            <w:hideMark/>
          </w:tcPr>
          <w:p w14:paraId="2A127E3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RMST</w:t>
            </w:r>
          </w:p>
        </w:tc>
        <w:tc>
          <w:tcPr>
            <w:tcW w:w="1461" w:type="dxa"/>
            <w:shd w:val="clear" w:color="auto" w:fill="auto"/>
            <w:noWrap/>
            <w:vAlign w:val="bottom"/>
            <w:hideMark/>
          </w:tcPr>
          <w:p w14:paraId="2281FCF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
        </w:tc>
        <w:tc>
          <w:tcPr>
            <w:tcW w:w="1461" w:type="dxa"/>
            <w:shd w:val="clear" w:color="auto" w:fill="auto"/>
            <w:noWrap/>
            <w:vAlign w:val="bottom"/>
            <w:hideMark/>
          </w:tcPr>
          <w:p w14:paraId="6FD1A362"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12" w:type="dxa"/>
            <w:shd w:val="clear" w:color="auto" w:fill="auto"/>
            <w:noWrap/>
            <w:vAlign w:val="bottom"/>
            <w:hideMark/>
          </w:tcPr>
          <w:p w14:paraId="5875CDC7"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461" w:type="dxa"/>
            <w:shd w:val="clear" w:color="auto" w:fill="auto"/>
            <w:noWrap/>
            <w:vAlign w:val="bottom"/>
            <w:hideMark/>
          </w:tcPr>
          <w:p w14:paraId="3A6429C7"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461" w:type="dxa"/>
            <w:shd w:val="clear" w:color="auto" w:fill="auto"/>
            <w:noWrap/>
            <w:vAlign w:val="bottom"/>
            <w:hideMark/>
          </w:tcPr>
          <w:p w14:paraId="2FA39302"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12" w:type="dxa"/>
            <w:shd w:val="clear" w:color="auto" w:fill="auto"/>
            <w:noWrap/>
            <w:vAlign w:val="bottom"/>
            <w:hideMark/>
          </w:tcPr>
          <w:p w14:paraId="314B73CB"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r>
      <w:tr w:rsidR="00723546" w:rsidRPr="00723546" w14:paraId="7E496956" w14:textId="77777777" w:rsidTr="00723546">
        <w:trPr>
          <w:trHeight w:val="300"/>
        </w:trPr>
        <w:tc>
          <w:tcPr>
            <w:tcW w:w="892" w:type="dxa"/>
            <w:shd w:val="clear" w:color="auto" w:fill="auto"/>
            <w:noWrap/>
            <w:vAlign w:val="bottom"/>
            <w:hideMark/>
          </w:tcPr>
          <w:p w14:paraId="173B765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461" w:type="dxa"/>
            <w:shd w:val="clear" w:color="auto" w:fill="auto"/>
            <w:noWrap/>
            <w:vAlign w:val="bottom"/>
            <w:hideMark/>
          </w:tcPr>
          <w:p w14:paraId="5F3781A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-0.034 (-0.037,-0.030)</w:t>
            </w:r>
          </w:p>
        </w:tc>
        <w:tc>
          <w:tcPr>
            <w:tcW w:w="1461" w:type="dxa"/>
            <w:shd w:val="clear" w:color="auto" w:fill="auto"/>
            <w:noWrap/>
            <w:vAlign w:val="bottom"/>
            <w:hideMark/>
          </w:tcPr>
          <w:p w14:paraId="6F76D22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-0.045 (-0.050,-0.040)</w:t>
            </w:r>
          </w:p>
        </w:tc>
        <w:tc>
          <w:tcPr>
            <w:tcW w:w="1312" w:type="dxa"/>
            <w:shd w:val="clear" w:color="auto" w:fill="auto"/>
            <w:noWrap/>
            <w:vAlign w:val="bottom"/>
            <w:hideMark/>
          </w:tcPr>
          <w:p w14:paraId="3C68986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0.011 (0.006,0.016)</w:t>
            </w:r>
          </w:p>
        </w:tc>
        <w:tc>
          <w:tcPr>
            <w:tcW w:w="1461" w:type="dxa"/>
            <w:shd w:val="clear" w:color="auto" w:fill="auto"/>
            <w:noWrap/>
            <w:vAlign w:val="bottom"/>
            <w:hideMark/>
          </w:tcPr>
          <w:p w14:paraId="13AC766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-0.035 (-0.039,-0.032)</w:t>
            </w:r>
          </w:p>
        </w:tc>
        <w:tc>
          <w:tcPr>
            <w:tcW w:w="1461" w:type="dxa"/>
            <w:shd w:val="clear" w:color="auto" w:fill="auto"/>
            <w:noWrap/>
            <w:vAlign w:val="bottom"/>
            <w:hideMark/>
          </w:tcPr>
          <w:p w14:paraId="5A47EB7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-0.050 (-0.054,-0.045)</w:t>
            </w:r>
          </w:p>
        </w:tc>
        <w:tc>
          <w:tcPr>
            <w:tcW w:w="1312" w:type="dxa"/>
            <w:shd w:val="clear" w:color="auto" w:fill="auto"/>
            <w:noWrap/>
            <w:vAlign w:val="bottom"/>
            <w:hideMark/>
          </w:tcPr>
          <w:p w14:paraId="14222DF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0.014 (0.010,0.019)</w:t>
            </w:r>
          </w:p>
        </w:tc>
      </w:tr>
      <w:tr w:rsidR="00723546" w:rsidRPr="00723546" w14:paraId="7DEC0CE2" w14:textId="77777777" w:rsidTr="00723546">
        <w:trPr>
          <w:trHeight w:val="300"/>
        </w:trPr>
        <w:tc>
          <w:tcPr>
            <w:tcW w:w="892" w:type="dxa"/>
            <w:shd w:val="clear" w:color="auto" w:fill="auto"/>
            <w:noWrap/>
            <w:vAlign w:val="bottom"/>
            <w:hideMark/>
          </w:tcPr>
          <w:p w14:paraId="615B12E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461" w:type="dxa"/>
            <w:shd w:val="clear" w:color="auto" w:fill="auto"/>
            <w:noWrap/>
            <w:vAlign w:val="bottom"/>
            <w:hideMark/>
          </w:tcPr>
          <w:p w14:paraId="7DF23D0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-0.171 (-0.187,-0.154)</w:t>
            </w:r>
          </w:p>
        </w:tc>
        <w:tc>
          <w:tcPr>
            <w:tcW w:w="1461" w:type="dxa"/>
            <w:shd w:val="clear" w:color="auto" w:fill="auto"/>
            <w:noWrap/>
            <w:vAlign w:val="bottom"/>
            <w:hideMark/>
          </w:tcPr>
          <w:p w14:paraId="511D20F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-0.214 (-0.236,-0.192)</w:t>
            </w:r>
          </w:p>
        </w:tc>
        <w:tc>
          <w:tcPr>
            <w:tcW w:w="1312" w:type="dxa"/>
            <w:shd w:val="clear" w:color="auto" w:fill="auto"/>
            <w:noWrap/>
            <w:vAlign w:val="bottom"/>
            <w:hideMark/>
          </w:tcPr>
          <w:p w14:paraId="6585BC41"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0.044 (0.023,0.064)</w:t>
            </w:r>
          </w:p>
        </w:tc>
        <w:tc>
          <w:tcPr>
            <w:tcW w:w="1461" w:type="dxa"/>
            <w:shd w:val="clear" w:color="auto" w:fill="auto"/>
            <w:noWrap/>
            <w:vAlign w:val="bottom"/>
            <w:hideMark/>
          </w:tcPr>
          <w:p w14:paraId="5693E95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-0.180 (-0.195,-0.165)</w:t>
            </w:r>
          </w:p>
        </w:tc>
        <w:tc>
          <w:tcPr>
            <w:tcW w:w="1461" w:type="dxa"/>
            <w:shd w:val="clear" w:color="auto" w:fill="auto"/>
            <w:noWrap/>
            <w:vAlign w:val="bottom"/>
            <w:hideMark/>
          </w:tcPr>
          <w:p w14:paraId="036CC09A"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-0.239 (-0.258,-0.221)</w:t>
            </w:r>
          </w:p>
        </w:tc>
        <w:tc>
          <w:tcPr>
            <w:tcW w:w="1312" w:type="dxa"/>
            <w:shd w:val="clear" w:color="auto" w:fill="auto"/>
            <w:noWrap/>
            <w:vAlign w:val="bottom"/>
            <w:hideMark/>
          </w:tcPr>
          <w:p w14:paraId="7E257450"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0.060 (0.043,0.076)</w:t>
            </w:r>
          </w:p>
        </w:tc>
      </w:tr>
      <w:tr w:rsidR="00723546" w:rsidRPr="00723546" w14:paraId="0D69207A" w14:textId="77777777" w:rsidTr="00723546">
        <w:trPr>
          <w:trHeight w:val="300"/>
        </w:trPr>
        <w:tc>
          <w:tcPr>
            <w:tcW w:w="892" w:type="dxa"/>
            <w:shd w:val="clear" w:color="auto" w:fill="auto"/>
            <w:noWrap/>
            <w:vAlign w:val="bottom"/>
            <w:hideMark/>
          </w:tcPr>
          <w:p w14:paraId="63B722A0"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461" w:type="dxa"/>
            <w:shd w:val="clear" w:color="auto" w:fill="auto"/>
            <w:noWrap/>
            <w:vAlign w:val="bottom"/>
            <w:hideMark/>
          </w:tcPr>
          <w:p w14:paraId="03B83CF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-0.340 (-0.372,-0.309)</w:t>
            </w:r>
          </w:p>
        </w:tc>
        <w:tc>
          <w:tcPr>
            <w:tcW w:w="1461" w:type="dxa"/>
            <w:shd w:val="clear" w:color="auto" w:fill="auto"/>
            <w:noWrap/>
            <w:vAlign w:val="bottom"/>
            <w:hideMark/>
          </w:tcPr>
          <w:p w14:paraId="4E07148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-0.414 (-0.457,-0.371)</w:t>
            </w:r>
          </w:p>
        </w:tc>
        <w:tc>
          <w:tcPr>
            <w:tcW w:w="1312" w:type="dxa"/>
            <w:shd w:val="clear" w:color="auto" w:fill="auto"/>
            <w:noWrap/>
            <w:vAlign w:val="bottom"/>
            <w:hideMark/>
          </w:tcPr>
          <w:p w14:paraId="00ABB8F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0.074 (0.036,0.112)</w:t>
            </w:r>
          </w:p>
        </w:tc>
        <w:tc>
          <w:tcPr>
            <w:tcW w:w="1461" w:type="dxa"/>
            <w:shd w:val="clear" w:color="auto" w:fill="auto"/>
            <w:noWrap/>
            <w:vAlign w:val="bottom"/>
            <w:hideMark/>
          </w:tcPr>
          <w:p w14:paraId="56E2C1FA"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-0.359 (-0.387,-0.330)</w:t>
            </w:r>
          </w:p>
        </w:tc>
        <w:tc>
          <w:tcPr>
            <w:tcW w:w="1461" w:type="dxa"/>
            <w:shd w:val="clear" w:color="auto" w:fill="auto"/>
            <w:noWrap/>
            <w:vAlign w:val="bottom"/>
            <w:hideMark/>
          </w:tcPr>
          <w:p w14:paraId="5438782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-0.465 (-0.500,-0.430)</w:t>
            </w:r>
          </w:p>
        </w:tc>
        <w:tc>
          <w:tcPr>
            <w:tcW w:w="1312" w:type="dxa"/>
            <w:shd w:val="clear" w:color="auto" w:fill="auto"/>
            <w:noWrap/>
            <w:vAlign w:val="bottom"/>
            <w:hideMark/>
          </w:tcPr>
          <w:p w14:paraId="1566376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0.107 (0.076,0.137)</w:t>
            </w:r>
          </w:p>
        </w:tc>
      </w:tr>
    </w:tbl>
    <w:p w14:paraId="537C9C46" w14:textId="77777777" w:rsidR="00DA2822" w:rsidRDefault="00DA2822"/>
    <w:p w14:paraId="03B21621" w14:textId="77777777" w:rsidR="00777D1E" w:rsidRDefault="00777D1E" w:rsidP="00777D1E">
      <w:pPr>
        <w:rPr>
          <w:lang w:val="en-GB"/>
        </w:rPr>
      </w:pPr>
      <w:r>
        <w:rPr>
          <w:lang w:val="en-GB"/>
        </w:rPr>
        <w:t xml:space="preserve">Differences were similar in terms of direction and significance, with less survival and average survival at different time points for those who dropout when compared to those who complete, while more survival and average survival at different years for those who had a late dropout vs. those who dropout </w:t>
      </w:r>
      <w:proofErr w:type="gramStart"/>
      <w:r>
        <w:rPr>
          <w:lang w:val="en-GB"/>
        </w:rPr>
        <w:t>early(</w:t>
      </w:r>
      <w:proofErr w:type="gramEnd"/>
      <w:r>
        <w:rPr>
          <w:lang w:val="en-GB"/>
        </w:rPr>
        <w:t>See Table SXZ).</w:t>
      </w:r>
    </w:p>
    <w:p w14:paraId="241B6997" w14:textId="77777777" w:rsidR="00DA2822" w:rsidRPr="00777D1E" w:rsidRDefault="00DA2822">
      <w:pPr>
        <w:rPr>
          <w:lang w:val="en-GB"/>
        </w:rPr>
      </w:pPr>
    </w:p>
    <w:p w14:paraId="3B3E3688" w14:textId="5A05F9C7" w:rsidR="00DA2822" w:rsidRDefault="00DA2822" w:rsidP="00DA2822">
      <w:r>
        <w:lastRenderedPageBreak/>
        <w:t>Table SXZ. Differences in survival probabilities, time to contact with the justice system leading to imprisonment</w:t>
      </w:r>
      <w:r w:rsidR="00F44BC6">
        <w:t xml:space="preserve"> for complete case analysis (a) and with i</w:t>
      </w:r>
      <w:r w:rsidR="00F44BC6" w:rsidRPr="00F44BC6">
        <w:t xml:space="preserve">mputed </w:t>
      </w:r>
      <w:r w:rsidR="00F44BC6">
        <w:t xml:space="preserve">values replacing </w:t>
      </w:r>
      <w:r w:rsidR="00F44BC6" w:rsidRPr="00F44BC6">
        <w:t>comorbidities in study</w:t>
      </w:r>
      <w:r w:rsidR="00F44BC6">
        <w:t xml:space="preserve"> (b)</w:t>
      </w:r>
    </w:p>
    <w:tbl>
      <w:tblPr>
        <w:tblW w:w="936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653"/>
        <w:gridCol w:w="1535"/>
        <w:gridCol w:w="1534"/>
        <w:gridCol w:w="1378"/>
        <w:gridCol w:w="1534"/>
        <w:gridCol w:w="1534"/>
        <w:gridCol w:w="1378"/>
      </w:tblGrid>
      <w:tr w:rsidR="00723546" w:rsidRPr="00723546" w14:paraId="0DE2C204" w14:textId="77777777" w:rsidTr="00723546">
        <w:trPr>
          <w:trHeight w:val="300"/>
        </w:trPr>
        <w:tc>
          <w:tcPr>
            <w:tcW w:w="467" w:type="dxa"/>
            <w:tcBorders>
              <w:top w:val="single" w:sz="4" w:space="0" w:color="auto"/>
              <w:bottom w:val="single" w:sz="4" w:space="0" w:color="auto"/>
            </w:tcBorders>
            <w:shd w:val="clear" w:color="auto" w:fill="auto"/>
            <w:vAlign w:val="center"/>
          </w:tcPr>
          <w:p w14:paraId="5CC981C6" w14:textId="77777777" w:rsidR="00723546" w:rsidRPr="000A68E9" w:rsidRDefault="00723546" w:rsidP="00723546">
            <w:pPr>
              <w:spacing w:after="0" w:line="240" w:lineRule="auto"/>
              <w:rPr>
                <w:rFonts w:ascii="Calibri" w:eastAsia="Times New Roman" w:hAnsi="Calibri" w:cs="Calibri"/>
                <w:b/>
                <w:bCs/>
                <w:color w:val="333333"/>
                <w:sz w:val="20"/>
                <w:szCs w:val="20"/>
                <w:lang w:val="en-GB" w:eastAsia="es-CL"/>
              </w:rPr>
            </w:pPr>
          </w:p>
        </w:tc>
        <w:tc>
          <w:tcPr>
            <w:tcW w:w="1535" w:type="dxa"/>
            <w:tcBorders>
              <w:top w:val="single" w:sz="4" w:space="0" w:color="auto"/>
              <w:bottom w:val="single" w:sz="4" w:space="0" w:color="auto"/>
            </w:tcBorders>
            <w:shd w:val="clear" w:color="auto" w:fill="auto"/>
            <w:noWrap/>
            <w:vAlign w:val="bottom"/>
          </w:tcPr>
          <w:p w14:paraId="39846518" w14:textId="78F88E74"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a)</w:t>
            </w:r>
          </w:p>
        </w:tc>
        <w:tc>
          <w:tcPr>
            <w:tcW w:w="1534" w:type="dxa"/>
            <w:tcBorders>
              <w:top w:val="single" w:sz="4" w:space="0" w:color="auto"/>
              <w:bottom w:val="single" w:sz="4" w:space="0" w:color="auto"/>
            </w:tcBorders>
            <w:shd w:val="clear" w:color="auto" w:fill="auto"/>
            <w:noWrap/>
            <w:vAlign w:val="bottom"/>
          </w:tcPr>
          <w:p w14:paraId="27270D3B"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378" w:type="dxa"/>
            <w:tcBorders>
              <w:top w:val="single" w:sz="4" w:space="0" w:color="auto"/>
              <w:bottom w:val="single" w:sz="4" w:space="0" w:color="auto"/>
            </w:tcBorders>
            <w:shd w:val="clear" w:color="auto" w:fill="auto"/>
            <w:noWrap/>
            <w:vAlign w:val="bottom"/>
          </w:tcPr>
          <w:p w14:paraId="20335D2A"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534" w:type="dxa"/>
            <w:tcBorders>
              <w:top w:val="single" w:sz="4" w:space="0" w:color="auto"/>
              <w:bottom w:val="single" w:sz="4" w:space="0" w:color="auto"/>
            </w:tcBorders>
            <w:shd w:val="clear" w:color="auto" w:fill="auto"/>
            <w:noWrap/>
            <w:vAlign w:val="bottom"/>
          </w:tcPr>
          <w:p w14:paraId="6D89C7BB" w14:textId="65AD19B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b)</w:t>
            </w:r>
          </w:p>
        </w:tc>
        <w:tc>
          <w:tcPr>
            <w:tcW w:w="1534" w:type="dxa"/>
            <w:tcBorders>
              <w:top w:val="single" w:sz="4" w:space="0" w:color="auto"/>
              <w:bottom w:val="single" w:sz="4" w:space="0" w:color="auto"/>
            </w:tcBorders>
            <w:shd w:val="clear" w:color="auto" w:fill="auto"/>
            <w:noWrap/>
            <w:vAlign w:val="bottom"/>
          </w:tcPr>
          <w:p w14:paraId="59C048F8"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c>
          <w:tcPr>
            <w:tcW w:w="1378" w:type="dxa"/>
            <w:tcBorders>
              <w:top w:val="single" w:sz="4" w:space="0" w:color="auto"/>
              <w:bottom w:val="single" w:sz="4" w:space="0" w:color="auto"/>
            </w:tcBorders>
            <w:shd w:val="clear" w:color="auto" w:fill="auto"/>
            <w:noWrap/>
            <w:vAlign w:val="bottom"/>
          </w:tcPr>
          <w:p w14:paraId="40BC2BA2"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
        </w:tc>
      </w:tr>
      <w:tr w:rsidR="00723546" w:rsidRPr="00723546" w14:paraId="411AAF46" w14:textId="77777777" w:rsidTr="00723546">
        <w:trPr>
          <w:trHeight w:val="300"/>
        </w:trPr>
        <w:tc>
          <w:tcPr>
            <w:tcW w:w="467" w:type="dxa"/>
            <w:tcBorders>
              <w:top w:val="single" w:sz="4" w:space="0" w:color="auto"/>
              <w:bottom w:val="single" w:sz="4" w:space="0" w:color="auto"/>
            </w:tcBorders>
            <w:shd w:val="clear" w:color="auto" w:fill="auto"/>
            <w:vAlign w:val="center"/>
            <w:hideMark/>
          </w:tcPr>
          <w:p w14:paraId="06A97CCF" w14:textId="77777777" w:rsidR="00723546" w:rsidRPr="00723546" w:rsidRDefault="00723546" w:rsidP="00723546">
            <w:pPr>
              <w:spacing w:after="0" w:line="240" w:lineRule="auto"/>
              <w:rPr>
                <w:rFonts w:ascii="Calibri" w:eastAsia="Times New Roman" w:hAnsi="Calibri" w:cs="Calibri"/>
                <w:b/>
                <w:bCs/>
                <w:color w:val="333333"/>
                <w:sz w:val="20"/>
                <w:szCs w:val="20"/>
                <w:lang w:val="es-CL" w:eastAsia="es-CL"/>
              </w:rPr>
            </w:pPr>
            <w:r w:rsidRPr="00723546">
              <w:rPr>
                <w:rFonts w:ascii="Calibri" w:eastAsia="Times New Roman" w:hAnsi="Calibri" w:cs="Calibri"/>
                <w:b/>
                <w:bCs/>
                <w:color w:val="333333"/>
                <w:sz w:val="20"/>
                <w:szCs w:val="20"/>
                <w:lang w:val="es-CL" w:eastAsia="es-CL"/>
              </w:rPr>
              <w:t>Time</w:t>
            </w:r>
          </w:p>
        </w:tc>
        <w:tc>
          <w:tcPr>
            <w:tcW w:w="1535" w:type="dxa"/>
            <w:tcBorders>
              <w:top w:val="single" w:sz="4" w:space="0" w:color="auto"/>
              <w:bottom w:val="single" w:sz="4" w:space="0" w:color="auto"/>
            </w:tcBorders>
            <w:shd w:val="clear" w:color="auto" w:fill="auto"/>
            <w:noWrap/>
            <w:vAlign w:val="bottom"/>
            <w:hideMark/>
          </w:tcPr>
          <w:p w14:paraId="2F25D53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534" w:type="dxa"/>
            <w:tcBorders>
              <w:top w:val="single" w:sz="4" w:space="0" w:color="auto"/>
              <w:bottom w:val="single" w:sz="4" w:space="0" w:color="auto"/>
            </w:tcBorders>
            <w:shd w:val="clear" w:color="auto" w:fill="auto"/>
            <w:noWrap/>
            <w:vAlign w:val="bottom"/>
            <w:hideMark/>
          </w:tcPr>
          <w:p w14:paraId="597235F0"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78" w:type="dxa"/>
            <w:tcBorders>
              <w:top w:val="single" w:sz="4" w:space="0" w:color="auto"/>
              <w:bottom w:val="single" w:sz="4" w:space="0" w:color="auto"/>
            </w:tcBorders>
            <w:shd w:val="clear" w:color="auto" w:fill="auto"/>
            <w:noWrap/>
            <w:vAlign w:val="bottom"/>
            <w:hideMark/>
          </w:tcPr>
          <w:p w14:paraId="0D8C1B8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c>
          <w:tcPr>
            <w:tcW w:w="1534" w:type="dxa"/>
            <w:tcBorders>
              <w:top w:val="single" w:sz="4" w:space="0" w:color="auto"/>
              <w:bottom w:val="single" w:sz="4" w:space="0" w:color="auto"/>
            </w:tcBorders>
            <w:shd w:val="clear" w:color="auto" w:fill="auto"/>
            <w:noWrap/>
            <w:vAlign w:val="bottom"/>
            <w:hideMark/>
          </w:tcPr>
          <w:p w14:paraId="530977CA"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Comp. vs Late</w:t>
            </w:r>
          </w:p>
        </w:tc>
        <w:tc>
          <w:tcPr>
            <w:tcW w:w="1534" w:type="dxa"/>
            <w:tcBorders>
              <w:top w:val="single" w:sz="4" w:space="0" w:color="auto"/>
              <w:bottom w:val="single" w:sz="4" w:space="0" w:color="auto"/>
            </w:tcBorders>
            <w:shd w:val="clear" w:color="auto" w:fill="auto"/>
            <w:noWrap/>
            <w:vAlign w:val="bottom"/>
            <w:hideMark/>
          </w:tcPr>
          <w:p w14:paraId="2D45677C"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r w:rsidRPr="00723546">
              <w:rPr>
                <w:rFonts w:ascii="Calibri" w:eastAsia="Times New Roman" w:hAnsi="Calibri" w:cs="Calibri"/>
                <w:b/>
                <w:bCs/>
                <w:color w:val="000000"/>
                <w:sz w:val="20"/>
                <w:szCs w:val="20"/>
                <w:lang w:val="es-CL" w:eastAsia="es-CL"/>
              </w:rPr>
              <w:t xml:space="preserve">Comp. vs </w:t>
            </w:r>
            <w:proofErr w:type="spellStart"/>
            <w:r w:rsidRPr="00723546">
              <w:rPr>
                <w:rFonts w:ascii="Calibri" w:eastAsia="Times New Roman" w:hAnsi="Calibri" w:cs="Calibri"/>
                <w:b/>
                <w:bCs/>
                <w:color w:val="000000"/>
                <w:sz w:val="20"/>
                <w:szCs w:val="20"/>
                <w:lang w:val="es-CL" w:eastAsia="es-CL"/>
              </w:rPr>
              <w:t>Early</w:t>
            </w:r>
            <w:proofErr w:type="spellEnd"/>
          </w:p>
        </w:tc>
        <w:tc>
          <w:tcPr>
            <w:tcW w:w="1378" w:type="dxa"/>
            <w:tcBorders>
              <w:top w:val="single" w:sz="4" w:space="0" w:color="auto"/>
              <w:bottom w:val="single" w:sz="4" w:space="0" w:color="auto"/>
            </w:tcBorders>
            <w:shd w:val="clear" w:color="auto" w:fill="auto"/>
            <w:noWrap/>
            <w:vAlign w:val="bottom"/>
            <w:hideMark/>
          </w:tcPr>
          <w:p w14:paraId="5A9FD77D" w14:textId="77777777" w:rsidR="00723546" w:rsidRPr="00723546" w:rsidRDefault="00723546" w:rsidP="00723546">
            <w:pPr>
              <w:spacing w:after="0" w:line="240" w:lineRule="auto"/>
              <w:rPr>
                <w:rFonts w:ascii="Calibri" w:eastAsia="Times New Roman" w:hAnsi="Calibri" w:cs="Calibri"/>
                <w:b/>
                <w:bCs/>
                <w:color w:val="000000"/>
                <w:sz w:val="20"/>
                <w:szCs w:val="20"/>
                <w:lang w:val="es-CL" w:eastAsia="es-CL"/>
              </w:rPr>
            </w:pPr>
            <w:proofErr w:type="spellStart"/>
            <w:r w:rsidRPr="00723546">
              <w:rPr>
                <w:rFonts w:ascii="Calibri" w:eastAsia="Times New Roman" w:hAnsi="Calibri" w:cs="Calibri"/>
                <w:b/>
                <w:bCs/>
                <w:color w:val="000000"/>
                <w:sz w:val="20"/>
                <w:szCs w:val="20"/>
                <w:lang w:val="es-CL" w:eastAsia="es-CL"/>
              </w:rPr>
              <w:t>Early</w:t>
            </w:r>
            <w:proofErr w:type="spellEnd"/>
            <w:r w:rsidRPr="00723546">
              <w:rPr>
                <w:rFonts w:ascii="Calibri" w:eastAsia="Times New Roman" w:hAnsi="Calibri" w:cs="Calibri"/>
                <w:b/>
                <w:bCs/>
                <w:color w:val="000000"/>
                <w:sz w:val="20"/>
                <w:szCs w:val="20"/>
                <w:lang w:val="es-CL" w:eastAsia="es-CL"/>
              </w:rPr>
              <w:t xml:space="preserve"> vs Late</w:t>
            </w:r>
          </w:p>
        </w:tc>
      </w:tr>
      <w:tr w:rsidR="00723546" w:rsidRPr="00723546" w14:paraId="2E11F14E" w14:textId="77777777" w:rsidTr="00723546">
        <w:trPr>
          <w:trHeight w:val="300"/>
        </w:trPr>
        <w:tc>
          <w:tcPr>
            <w:tcW w:w="467" w:type="dxa"/>
            <w:tcBorders>
              <w:top w:val="single" w:sz="4" w:space="0" w:color="auto"/>
            </w:tcBorders>
            <w:shd w:val="clear" w:color="auto" w:fill="auto"/>
            <w:noWrap/>
            <w:vAlign w:val="bottom"/>
            <w:hideMark/>
          </w:tcPr>
          <w:p w14:paraId="37C2FA9B"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roofErr w:type="spellStart"/>
            <w:r w:rsidRPr="00723546">
              <w:rPr>
                <w:rFonts w:ascii="Calibri" w:eastAsia="Times New Roman" w:hAnsi="Calibri" w:cs="Calibri"/>
                <w:color w:val="000000"/>
                <w:sz w:val="20"/>
                <w:szCs w:val="20"/>
                <w:lang w:val="es-CL" w:eastAsia="es-CL"/>
              </w:rPr>
              <w:t>Probs</w:t>
            </w:r>
            <w:proofErr w:type="spellEnd"/>
            <w:r w:rsidRPr="00723546">
              <w:rPr>
                <w:rFonts w:ascii="Calibri" w:eastAsia="Times New Roman" w:hAnsi="Calibri" w:cs="Calibri"/>
                <w:color w:val="000000"/>
                <w:sz w:val="20"/>
                <w:szCs w:val="20"/>
                <w:lang w:val="es-CL" w:eastAsia="es-CL"/>
              </w:rPr>
              <w:t>.</w:t>
            </w:r>
          </w:p>
        </w:tc>
        <w:tc>
          <w:tcPr>
            <w:tcW w:w="1535" w:type="dxa"/>
            <w:tcBorders>
              <w:top w:val="single" w:sz="4" w:space="0" w:color="auto"/>
            </w:tcBorders>
            <w:shd w:val="clear" w:color="auto" w:fill="auto"/>
            <w:noWrap/>
            <w:vAlign w:val="bottom"/>
            <w:hideMark/>
          </w:tcPr>
          <w:p w14:paraId="4E14CE8B"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
        </w:tc>
        <w:tc>
          <w:tcPr>
            <w:tcW w:w="1534" w:type="dxa"/>
            <w:tcBorders>
              <w:top w:val="single" w:sz="4" w:space="0" w:color="auto"/>
            </w:tcBorders>
            <w:shd w:val="clear" w:color="auto" w:fill="auto"/>
            <w:noWrap/>
            <w:vAlign w:val="bottom"/>
            <w:hideMark/>
          </w:tcPr>
          <w:p w14:paraId="0F449A38"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78" w:type="dxa"/>
            <w:tcBorders>
              <w:top w:val="single" w:sz="4" w:space="0" w:color="auto"/>
            </w:tcBorders>
            <w:shd w:val="clear" w:color="auto" w:fill="auto"/>
            <w:noWrap/>
            <w:vAlign w:val="bottom"/>
            <w:hideMark/>
          </w:tcPr>
          <w:p w14:paraId="55DD0326"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534" w:type="dxa"/>
            <w:tcBorders>
              <w:top w:val="single" w:sz="4" w:space="0" w:color="auto"/>
            </w:tcBorders>
            <w:shd w:val="clear" w:color="auto" w:fill="auto"/>
            <w:noWrap/>
            <w:vAlign w:val="bottom"/>
            <w:hideMark/>
          </w:tcPr>
          <w:p w14:paraId="1ACEBA79"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534" w:type="dxa"/>
            <w:tcBorders>
              <w:top w:val="single" w:sz="4" w:space="0" w:color="auto"/>
            </w:tcBorders>
            <w:shd w:val="clear" w:color="auto" w:fill="auto"/>
            <w:noWrap/>
            <w:vAlign w:val="bottom"/>
            <w:hideMark/>
          </w:tcPr>
          <w:p w14:paraId="07D47C7E"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78" w:type="dxa"/>
            <w:tcBorders>
              <w:top w:val="single" w:sz="4" w:space="0" w:color="auto"/>
            </w:tcBorders>
            <w:shd w:val="clear" w:color="auto" w:fill="auto"/>
            <w:noWrap/>
            <w:vAlign w:val="bottom"/>
            <w:hideMark/>
          </w:tcPr>
          <w:p w14:paraId="7DB89AA7"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r>
      <w:tr w:rsidR="00723546" w:rsidRPr="00723546" w14:paraId="0777B844" w14:textId="77777777" w:rsidTr="00723546">
        <w:trPr>
          <w:trHeight w:val="300"/>
        </w:trPr>
        <w:tc>
          <w:tcPr>
            <w:tcW w:w="467" w:type="dxa"/>
            <w:shd w:val="clear" w:color="auto" w:fill="auto"/>
            <w:noWrap/>
            <w:vAlign w:val="bottom"/>
            <w:hideMark/>
          </w:tcPr>
          <w:p w14:paraId="016301E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535" w:type="dxa"/>
            <w:shd w:val="clear" w:color="auto" w:fill="auto"/>
            <w:noWrap/>
            <w:vAlign w:val="bottom"/>
            <w:hideMark/>
          </w:tcPr>
          <w:p w14:paraId="4E4C8FB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-1.2 (-1.4,-1.0)</w:t>
            </w:r>
          </w:p>
        </w:tc>
        <w:tc>
          <w:tcPr>
            <w:tcW w:w="1534" w:type="dxa"/>
            <w:shd w:val="clear" w:color="auto" w:fill="auto"/>
            <w:noWrap/>
            <w:vAlign w:val="bottom"/>
            <w:hideMark/>
          </w:tcPr>
          <w:p w14:paraId="6A337F4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-1.8 (-2.1,-1.4)</w:t>
            </w:r>
          </w:p>
        </w:tc>
        <w:tc>
          <w:tcPr>
            <w:tcW w:w="1378" w:type="dxa"/>
            <w:shd w:val="clear" w:color="auto" w:fill="auto"/>
            <w:noWrap/>
            <w:vAlign w:val="bottom"/>
            <w:hideMark/>
          </w:tcPr>
          <w:p w14:paraId="54A5E95B"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0.5 (0.2,0.9)</w:t>
            </w:r>
          </w:p>
        </w:tc>
        <w:tc>
          <w:tcPr>
            <w:tcW w:w="1534" w:type="dxa"/>
            <w:shd w:val="clear" w:color="auto" w:fill="auto"/>
            <w:noWrap/>
            <w:vAlign w:val="bottom"/>
            <w:hideMark/>
          </w:tcPr>
          <w:p w14:paraId="7BF634DA"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-1.2 (-1.5,-1.0)</w:t>
            </w:r>
          </w:p>
        </w:tc>
        <w:tc>
          <w:tcPr>
            <w:tcW w:w="1534" w:type="dxa"/>
            <w:shd w:val="clear" w:color="auto" w:fill="auto"/>
            <w:noWrap/>
            <w:vAlign w:val="bottom"/>
            <w:hideMark/>
          </w:tcPr>
          <w:p w14:paraId="2F56858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-2.0 (-2.3,-1.7)</w:t>
            </w:r>
          </w:p>
        </w:tc>
        <w:tc>
          <w:tcPr>
            <w:tcW w:w="1378" w:type="dxa"/>
            <w:shd w:val="clear" w:color="auto" w:fill="auto"/>
            <w:noWrap/>
            <w:vAlign w:val="bottom"/>
            <w:hideMark/>
          </w:tcPr>
          <w:p w14:paraId="254C9EE0"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0.8 (0.5,1.0)</w:t>
            </w:r>
          </w:p>
        </w:tc>
      </w:tr>
      <w:tr w:rsidR="00723546" w:rsidRPr="00723546" w14:paraId="6D33D556" w14:textId="77777777" w:rsidTr="00723546">
        <w:trPr>
          <w:trHeight w:val="300"/>
        </w:trPr>
        <w:tc>
          <w:tcPr>
            <w:tcW w:w="467" w:type="dxa"/>
            <w:shd w:val="clear" w:color="auto" w:fill="auto"/>
            <w:noWrap/>
            <w:vAlign w:val="bottom"/>
            <w:hideMark/>
          </w:tcPr>
          <w:p w14:paraId="16E4C7B8"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535" w:type="dxa"/>
            <w:shd w:val="clear" w:color="auto" w:fill="auto"/>
            <w:noWrap/>
            <w:vAlign w:val="bottom"/>
            <w:hideMark/>
          </w:tcPr>
          <w:p w14:paraId="61CEAE7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-2.1 (-2.5,-1.7)</w:t>
            </w:r>
          </w:p>
        </w:tc>
        <w:tc>
          <w:tcPr>
            <w:tcW w:w="1534" w:type="dxa"/>
            <w:shd w:val="clear" w:color="auto" w:fill="auto"/>
            <w:noWrap/>
            <w:vAlign w:val="bottom"/>
            <w:hideMark/>
          </w:tcPr>
          <w:p w14:paraId="5107F62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-3.1 (-3.6,-2.5)</w:t>
            </w:r>
          </w:p>
        </w:tc>
        <w:tc>
          <w:tcPr>
            <w:tcW w:w="1378" w:type="dxa"/>
            <w:shd w:val="clear" w:color="auto" w:fill="auto"/>
            <w:noWrap/>
            <w:vAlign w:val="bottom"/>
            <w:hideMark/>
          </w:tcPr>
          <w:p w14:paraId="397B17BA"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0.9 (0.4,1.4)</w:t>
            </w:r>
          </w:p>
        </w:tc>
        <w:tc>
          <w:tcPr>
            <w:tcW w:w="1534" w:type="dxa"/>
            <w:shd w:val="clear" w:color="auto" w:fill="auto"/>
            <w:noWrap/>
            <w:vAlign w:val="bottom"/>
            <w:hideMark/>
          </w:tcPr>
          <w:p w14:paraId="424A011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-2.2 (-2.5,-1.8)</w:t>
            </w:r>
          </w:p>
        </w:tc>
        <w:tc>
          <w:tcPr>
            <w:tcW w:w="1534" w:type="dxa"/>
            <w:shd w:val="clear" w:color="auto" w:fill="auto"/>
            <w:noWrap/>
            <w:vAlign w:val="bottom"/>
            <w:hideMark/>
          </w:tcPr>
          <w:p w14:paraId="2C18332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-3.5 (-3.9,-3.0)</w:t>
            </w:r>
          </w:p>
        </w:tc>
        <w:tc>
          <w:tcPr>
            <w:tcW w:w="1378" w:type="dxa"/>
            <w:shd w:val="clear" w:color="auto" w:fill="auto"/>
            <w:noWrap/>
            <w:vAlign w:val="bottom"/>
            <w:hideMark/>
          </w:tcPr>
          <w:p w14:paraId="3770608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1.3 (0.9,1.7)</w:t>
            </w:r>
          </w:p>
        </w:tc>
      </w:tr>
      <w:tr w:rsidR="00723546" w:rsidRPr="00723546" w14:paraId="13E3FAC7" w14:textId="77777777" w:rsidTr="00723546">
        <w:trPr>
          <w:trHeight w:val="300"/>
        </w:trPr>
        <w:tc>
          <w:tcPr>
            <w:tcW w:w="467" w:type="dxa"/>
            <w:shd w:val="clear" w:color="auto" w:fill="auto"/>
            <w:noWrap/>
            <w:vAlign w:val="bottom"/>
            <w:hideMark/>
          </w:tcPr>
          <w:p w14:paraId="788C2A3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535" w:type="dxa"/>
            <w:shd w:val="clear" w:color="auto" w:fill="auto"/>
            <w:noWrap/>
            <w:vAlign w:val="bottom"/>
            <w:hideMark/>
          </w:tcPr>
          <w:p w14:paraId="343C886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-2.6 (-3.1,-2.1)</w:t>
            </w:r>
          </w:p>
        </w:tc>
        <w:tc>
          <w:tcPr>
            <w:tcW w:w="1534" w:type="dxa"/>
            <w:shd w:val="clear" w:color="auto" w:fill="auto"/>
            <w:noWrap/>
            <w:vAlign w:val="bottom"/>
            <w:hideMark/>
          </w:tcPr>
          <w:p w14:paraId="114A8E9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-3.7 (-4.3,-3.0)</w:t>
            </w:r>
          </w:p>
        </w:tc>
        <w:tc>
          <w:tcPr>
            <w:tcW w:w="1378" w:type="dxa"/>
            <w:shd w:val="clear" w:color="auto" w:fill="auto"/>
            <w:noWrap/>
            <w:vAlign w:val="bottom"/>
            <w:hideMark/>
          </w:tcPr>
          <w:p w14:paraId="744D449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1.1 (0.5,1.7)</w:t>
            </w:r>
          </w:p>
        </w:tc>
        <w:tc>
          <w:tcPr>
            <w:tcW w:w="1534" w:type="dxa"/>
            <w:shd w:val="clear" w:color="auto" w:fill="auto"/>
            <w:noWrap/>
            <w:vAlign w:val="bottom"/>
            <w:hideMark/>
          </w:tcPr>
          <w:p w14:paraId="534E54B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-2.6 (-3.1,-2.2)</w:t>
            </w:r>
          </w:p>
        </w:tc>
        <w:tc>
          <w:tcPr>
            <w:tcW w:w="1534" w:type="dxa"/>
            <w:shd w:val="clear" w:color="auto" w:fill="auto"/>
            <w:noWrap/>
            <w:vAlign w:val="bottom"/>
            <w:hideMark/>
          </w:tcPr>
          <w:p w14:paraId="7F14B8E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-4.3 (-4.8,-3.7)</w:t>
            </w:r>
          </w:p>
        </w:tc>
        <w:tc>
          <w:tcPr>
            <w:tcW w:w="1378" w:type="dxa"/>
            <w:shd w:val="clear" w:color="auto" w:fill="auto"/>
            <w:noWrap/>
            <w:vAlign w:val="bottom"/>
            <w:hideMark/>
          </w:tcPr>
          <w:p w14:paraId="59079B7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1.6 (1.1,2.1)</w:t>
            </w:r>
          </w:p>
        </w:tc>
      </w:tr>
      <w:tr w:rsidR="00723546" w:rsidRPr="00723546" w14:paraId="7DA4126B" w14:textId="77777777" w:rsidTr="00723546">
        <w:trPr>
          <w:trHeight w:val="300"/>
        </w:trPr>
        <w:tc>
          <w:tcPr>
            <w:tcW w:w="467" w:type="dxa"/>
            <w:shd w:val="clear" w:color="auto" w:fill="auto"/>
            <w:noWrap/>
            <w:vAlign w:val="bottom"/>
            <w:hideMark/>
          </w:tcPr>
          <w:p w14:paraId="2C184FE7"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RMST</w:t>
            </w:r>
          </w:p>
        </w:tc>
        <w:tc>
          <w:tcPr>
            <w:tcW w:w="1535" w:type="dxa"/>
            <w:shd w:val="clear" w:color="auto" w:fill="auto"/>
            <w:noWrap/>
            <w:vAlign w:val="bottom"/>
            <w:hideMark/>
          </w:tcPr>
          <w:p w14:paraId="3BBE1FD1"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p>
        </w:tc>
        <w:tc>
          <w:tcPr>
            <w:tcW w:w="1534" w:type="dxa"/>
            <w:shd w:val="clear" w:color="auto" w:fill="auto"/>
            <w:noWrap/>
            <w:vAlign w:val="bottom"/>
            <w:hideMark/>
          </w:tcPr>
          <w:p w14:paraId="07D77909"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78" w:type="dxa"/>
            <w:shd w:val="clear" w:color="auto" w:fill="auto"/>
            <w:noWrap/>
            <w:vAlign w:val="bottom"/>
            <w:hideMark/>
          </w:tcPr>
          <w:p w14:paraId="704AF528"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534" w:type="dxa"/>
            <w:shd w:val="clear" w:color="auto" w:fill="auto"/>
            <w:noWrap/>
            <w:vAlign w:val="bottom"/>
            <w:hideMark/>
          </w:tcPr>
          <w:p w14:paraId="06ABE3CA"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534" w:type="dxa"/>
            <w:shd w:val="clear" w:color="auto" w:fill="auto"/>
            <w:noWrap/>
            <w:vAlign w:val="bottom"/>
            <w:hideMark/>
          </w:tcPr>
          <w:p w14:paraId="0B4E715C"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c>
          <w:tcPr>
            <w:tcW w:w="1378" w:type="dxa"/>
            <w:shd w:val="clear" w:color="auto" w:fill="auto"/>
            <w:noWrap/>
            <w:vAlign w:val="bottom"/>
            <w:hideMark/>
          </w:tcPr>
          <w:p w14:paraId="5B5F9A01" w14:textId="77777777" w:rsidR="00723546" w:rsidRPr="00723546" w:rsidRDefault="00723546" w:rsidP="00723546">
            <w:pPr>
              <w:spacing w:after="0" w:line="240" w:lineRule="auto"/>
              <w:rPr>
                <w:rFonts w:ascii="Times New Roman" w:eastAsia="Times New Roman" w:hAnsi="Times New Roman" w:cs="Times New Roman"/>
                <w:sz w:val="20"/>
                <w:szCs w:val="20"/>
                <w:lang w:val="es-CL" w:eastAsia="es-CL"/>
              </w:rPr>
            </w:pPr>
          </w:p>
        </w:tc>
      </w:tr>
      <w:tr w:rsidR="00723546" w:rsidRPr="00723546" w14:paraId="432E0A21" w14:textId="77777777" w:rsidTr="00723546">
        <w:trPr>
          <w:trHeight w:val="300"/>
        </w:trPr>
        <w:tc>
          <w:tcPr>
            <w:tcW w:w="467" w:type="dxa"/>
            <w:shd w:val="clear" w:color="auto" w:fill="auto"/>
            <w:noWrap/>
            <w:vAlign w:val="bottom"/>
            <w:hideMark/>
          </w:tcPr>
          <w:p w14:paraId="1A638EF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1_yr</w:t>
            </w:r>
          </w:p>
        </w:tc>
        <w:tc>
          <w:tcPr>
            <w:tcW w:w="1535" w:type="dxa"/>
            <w:shd w:val="clear" w:color="auto" w:fill="auto"/>
            <w:noWrap/>
            <w:vAlign w:val="bottom"/>
            <w:hideMark/>
          </w:tcPr>
          <w:p w14:paraId="786FF8A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-0.007 (-0.009,-0.006)</w:t>
            </w:r>
          </w:p>
        </w:tc>
        <w:tc>
          <w:tcPr>
            <w:tcW w:w="1534" w:type="dxa"/>
            <w:shd w:val="clear" w:color="auto" w:fill="auto"/>
            <w:noWrap/>
            <w:vAlign w:val="bottom"/>
            <w:hideMark/>
          </w:tcPr>
          <w:p w14:paraId="7AA44DC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-0.011 (-0.013,-0.009)</w:t>
            </w:r>
          </w:p>
        </w:tc>
        <w:tc>
          <w:tcPr>
            <w:tcW w:w="1378" w:type="dxa"/>
            <w:shd w:val="clear" w:color="auto" w:fill="auto"/>
            <w:noWrap/>
            <w:vAlign w:val="bottom"/>
            <w:hideMark/>
          </w:tcPr>
          <w:p w14:paraId="0C49B7F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0.004 (0.001,0.006)</w:t>
            </w:r>
          </w:p>
        </w:tc>
        <w:tc>
          <w:tcPr>
            <w:tcW w:w="1534" w:type="dxa"/>
            <w:shd w:val="clear" w:color="auto" w:fill="auto"/>
            <w:noWrap/>
            <w:vAlign w:val="bottom"/>
            <w:hideMark/>
          </w:tcPr>
          <w:p w14:paraId="032380BC"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-0.008 (-0.009,-0.006)</w:t>
            </w:r>
          </w:p>
        </w:tc>
        <w:tc>
          <w:tcPr>
            <w:tcW w:w="1534" w:type="dxa"/>
            <w:shd w:val="clear" w:color="auto" w:fill="auto"/>
            <w:noWrap/>
            <w:vAlign w:val="bottom"/>
            <w:hideMark/>
          </w:tcPr>
          <w:p w14:paraId="040E6565"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-0.012 (-0.014,-0.010)</w:t>
            </w:r>
          </w:p>
        </w:tc>
        <w:tc>
          <w:tcPr>
            <w:tcW w:w="1378" w:type="dxa"/>
            <w:shd w:val="clear" w:color="auto" w:fill="auto"/>
            <w:noWrap/>
            <w:vAlign w:val="bottom"/>
            <w:hideMark/>
          </w:tcPr>
          <w:p w14:paraId="375496E8"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0.005 (0.003,0.007)</w:t>
            </w:r>
          </w:p>
        </w:tc>
      </w:tr>
      <w:tr w:rsidR="00723546" w:rsidRPr="00723546" w14:paraId="13CF82A8" w14:textId="77777777" w:rsidTr="00723546">
        <w:trPr>
          <w:trHeight w:val="300"/>
        </w:trPr>
        <w:tc>
          <w:tcPr>
            <w:tcW w:w="467" w:type="dxa"/>
            <w:shd w:val="clear" w:color="auto" w:fill="auto"/>
            <w:noWrap/>
            <w:vAlign w:val="bottom"/>
            <w:hideMark/>
          </w:tcPr>
          <w:p w14:paraId="584765F5"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3_yrs</w:t>
            </w:r>
          </w:p>
        </w:tc>
        <w:tc>
          <w:tcPr>
            <w:tcW w:w="1535" w:type="dxa"/>
            <w:shd w:val="clear" w:color="auto" w:fill="auto"/>
            <w:noWrap/>
            <w:vAlign w:val="bottom"/>
            <w:hideMark/>
          </w:tcPr>
          <w:p w14:paraId="461F5D44"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-0.041 (-0.049,-0.033)</w:t>
            </w:r>
          </w:p>
        </w:tc>
        <w:tc>
          <w:tcPr>
            <w:tcW w:w="1534" w:type="dxa"/>
            <w:shd w:val="clear" w:color="auto" w:fill="auto"/>
            <w:noWrap/>
            <w:vAlign w:val="bottom"/>
            <w:hideMark/>
          </w:tcPr>
          <w:p w14:paraId="3C49DDCF"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-0.059 (-0.070,-0.049)</w:t>
            </w:r>
          </w:p>
        </w:tc>
        <w:tc>
          <w:tcPr>
            <w:tcW w:w="1378" w:type="dxa"/>
            <w:shd w:val="clear" w:color="auto" w:fill="auto"/>
            <w:noWrap/>
            <w:vAlign w:val="bottom"/>
            <w:hideMark/>
          </w:tcPr>
          <w:p w14:paraId="78CF1B72"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0.018 (0.009,0.028)</w:t>
            </w:r>
          </w:p>
        </w:tc>
        <w:tc>
          <w:tcPr>
            <w:tcW w:w="1534" w:type="dxa"/>
            <w:shd w:val="clear" w:color="auto" w:fill="auto"/>
            <w:noWrap/>
            <w:vAlign w:val="bottom"/>
            <w:hideMark/>
          </w:tcPr>
          <w:p w14:paraId="3C5CEF08"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-0.042 (-0.049,-0.034)</w:t>
            </w:r>
          </w:p>
        </w:tc>
        <w:tc>
          <w:tcPr>
            <w:tcW w:w="1534" w:type="dxa"/>
            <w:shd w:val="clear" w:color="auto" w:fill="auto"/>
            <w:noWrap/>
            <w:vAlign w:val="bottom"/>
            <w:hideMark/>
          </w:tcPr>
          <w:p w14:paraId="544AE13E"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-0.068 (-0.077,-0.059)</w:t>
            </w:r>
          </w:p>
        </w:tc>
        <w:tc>
          <w:tcPr>
            <w:tcW w:w="1378" w:type="dxa"/>
            <w:shd w:val="clear" w:color="auto" w:fill="auto"/>
            <w:noWrap/>
            <w:vAlign w:val="bottom"/>
            <w:hideMark/>
          </w:tcPr>
          <w:p w14:paraId="57AFF17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0.026 (0.018,0.034)</w:t>
            </w:r>
          </w:p>
        </w:tc>
      </w:tr>
      <w:tr w:rsidR="00723546" w:rsidRPr="00723546" w14:paraId="74265172" w14:textId="77777777" w:rsidTr="00723546">
        <w:trPr>
          <w:trHeight w:val="300"/>
        </w:trPr>
        <w:tc>
          <w:tcPr>
            <w:tcW w:w="467" w:type="dxa"/>
            <w:shd w:val="clear" w:color="auto" w:fill="auto"/>
            <w:noWrap/>
            <w:vAlign w:val="bottom"/>
            <w:hideMark/>
          </w:tcPr>
          <w:p w14:paraId="1AD41663"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5_yrs</w:t>
            </w:r>
          </w:p>
        </w:tc>
        <w:tc>
          <w:tcPr>
            <w:tcW w:w="1535" w:type="dxa"/>
            <w:shd w:val="clear" w:color="auto" w:fill="auto"/>
            <w:noWrap/>
            <w:vAlign w:val="bottom"/>
            <w:hideMark/>
          </w:tcPr>
          <w:p w14:paraId="556BA603"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-0.087 (-0.103,-0.071)</w:t>
            </w:r>
          </w:p>
        </w:tc>
        <w:tc>
          <w:tcPr>
            <w:tcW w:w="1534" w:type="dxa"/>
            <w:shd w:val="clear" w:color="auto" w:fill="auto"/>
            <w:noWrap/>
            <w:vAlign w:val="bottom"/>
            <w:hideMark/>
          </w:tcPr>
          <w:p w14:paraId="1DCC96F6"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-0.125 (-0.147,-0.104)</w:t>
            </w:r>
          </w:p>
        </w:tc>
        <w:tc>
          <w:tcPr>
            <w:tcW w:w="1378" w:type="dxa"/>
            <w:shd w:val="clear" w:color="auto" w:fill="auto"/>
            <w:noWrap/>
            <w:vAlign w:val="bottom"/>
            <w:hideMark/>
          </w:tcPr>
          <w:p w14:paraId="4CC814FD"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0.038 (0.018,0.058)</w:t>
            </w:r>
          </w:p>
        </w:tc>
        <w:tc>
          <w:tcPr>
            <w:tcW w:w="1534" w:type="dxa"/>
            <w:shd w:val="clear" w:color="auto" w:fill="auto"/>
            <w:noWrap/>
            <w:vAlign w:val="bottom"/>
            <w:hideMark/>
          </w:tcPr>
          <w:p w14:paraId="32D9FB89"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-0.089 (-0.103,-0.074)</w:t>
            </w:r>
          </w:p>
        </w:tc>
        <w:tc>
          <w:tcPr>
            <w:tcW w:w="1534" w:type="dxa"/>
            <w:shd w:val="clear" w:color="auto" w:fill="auto"/>
            <w:noWrap/>
            <w:vAlign w:val="bottom"/>
            <w:hideMark/>
          </w:tcPr>
          <w:p w14:paraId="6F939780"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-0.144 (-0.162,-0.126)</w:t>
            </w:r>
          </w:p>
        </w:tc>
        <w:tc>
          <w:tcPr>
            <w:tcW w:w="1378" w:type="dxa"/>
            <w:shd w:val="clear" w:color="auto" w:fill="auto"/>
            <w:noWrap/>
            <w:vAlign w:val="bottom"/>
            <w:hideMark/>
          </w:tcPr>
          <w:p w14:paraId="0C27F673" w14:textId="77777777" w:rsidR="00723546" w:rsidRPr="00723546" w:rsidRDefault="00723546" w:rsidP="00723546">
            <w:pPr>
              <w:spacing w:after="0" w:line="240" w:lineRule="auto"/>
              <w:rPr>
                <w:rFonts w:ascii="Calibri" w:eastAsia="Times New Roman" w:hAnsi="Calibri" w:cs="Calibri"/>
                <w:color w:val="000000"/>
                <w:sz w:val="20"/>
                <w:szCs w:val="20"/>
                <w:lang w:val="es-CL" w:eastAsia="es-CL"/>
              </w:rPr>
            </w:pPr>
            <w:r w:rsidRPr="00723546">
              <w:rPr>
                <w:rFonts w:ascii="Calibri" w:eastAsia="Times New Roman" w:hAnsi="Calibri" w:cs="Calibri"/>
                <w:color w:val="000000"/>
                <w:sz w:val="20"/>
                <w:szCs w:val="20"/>
                <w:lang w:val="es-CL" w:eastAsia="es-CL"/>
              </w:rPr>
              <w:t>0.055 (0.039,0.071)</w:t>
            </w:r>
          </w:p>
        </w:tc>
      </w:tr>
    </w:tbl>
    <w:p w14:paraId="107BB56E" w14:textId="77777777" w:rsidR="00F23E14" w:rsidRDefault="00F23E14"/>
    <w:p w14:paraId="361A8EDA" w14:textId="3E6630B7" w:rsidR="00890CB4" w:rsidRDefault="00890CB4">
      <w:r>
        <w:br w:type="page"/>
      </w:r>
    </w:p>
    <w:p w14:paraId="33E700A9" w14:textId="431EA3B0" w:rsidR="00890CB4" w:rsidRDefault="00890CB4" w:rsidP="00890CB4">
      <w:pPr>
        <w:pStyle w:val="Ttulo3"/>
        <w:spacing w:line="276" w:lineRule="auto"/>
      </w:pPr>
      <w:r w:rsidRPr="002077F6">
        <w:rPr>
          <w:lang w:val="en-GB"/>
        </w:rPr>
        <w:lastRenderedPageBreak/>
        <w:t xml:space="preserve">Section </w:t>
      </w:r>
      <w:r>
        <w:rPr>
          <w:lang w:val="en-GB"/>
        </w:rPr>
        <w:t>4</w:t>
      </w:r>
      <w:r w:rsidR="003F6E47">
        <w:rPr>
          <w:lang w:val="en-GB"/>
        </w:rPr>
        <w:t xml:space="preserve">. </w:t>
      </w:r>
      <w:r w:rsidR="005174F1">
        <w:rPr>
          <w:lang w:val="en-GB"/>
        </w:rPr>
        <w:t>Original and extended</w:t>
      </w:r>
      <w:r w:rsidR="003F6E47">
        <w:rPr>
          <w:lang w:val="en-GB"/>
        </w:rPr>
        <w:t xml:space="preserve"> Cox model</w:t>
      </w:r>
    </w:p>
    <w:p w14:paraId="68722E1B" w14:textId="25B04208" w:rsidR="005174F1" w:rsidRDefault="00035C73" w:rsidP="00FA1578">
      <w:pPr>
        <w:pStyle w:val="NormalWeb"/>
        <w:spacing w:line="276" w:lineRule="auto"/>
        <w:textAlignment w:val="baseline"/>
        <w:rPr>
          <w:rFonts w:ascii="Calibri" w:hAnsi="Calibri" w:cs="Calibri"/>
          <w:color w:val="000000"/>
          <w:sz w:val="22"/>
          <w:szCs w:val="22"/>
          <w:lang w:val="en-GB"/>
        </w:rPr>
      </w:pPr>
      <w:r>
        <w:rPr>
          <w:rFonts w:ascii="Calibri" w:hAnsi="Calibri" w:cs="Calibri"/>
          <w:color w:val="000000"/>
          <w:sz w:val="22"/>
          <w:szCs w:val="22"/>
          <w:lang w:val="en-GB"/>
        </w:rPr>
        <w:t xml:space="preserve">As a sensitivity analysis, we obtained the hazard ratios from the original Cox model under the proportional hazards </w:t>
      </w:r>
      <w:proofErr w:type="gramStart"/>
      <w:r>
        <w:rPr>
          <w:rFonts w:ascii="Calibri" w:hAnsi="Calibri" w:cs="Calibri"/>
          <w:color w:val="000000"/>
          <w:sz w:val="22"/>
          <w:szCs w:val="22"/>
          <w:lang w:val="en-GB"/>
        </w:rPr>
        <w:t>assumption</w:t>
      </w:r>
      <w:r w:rsidR="00FA1578">
        <w:rPr>
          <w:rFonts w:ascii="Calibri" w:hAnsi="Calibri" w:cs="Calibri"/>
          <w:color w:val="000000"/>
          <w:sz w:val="22"/>
          <w:szCs w:val="22"/>
          <w:lang w:val="en-GB"/>
        </w:rPr>
        <w:t>, and</w:t>
      </w:r>
      <w:proofErr w:type="gramEnd"/>
      <w:r w:rsidR="00FA1578">
        <w:rPr>
          <w:rFonts w:ascii="Calibri" w:hAnsi="Calibri" w:cs="Calibri"/>
          <w:color w:val="000000"/>
          <w:sz w:val="22"/>
          <w:szCs w:val="22"/>
          <w:lang w:val="en-GB"/>
        </w:rPr>
        <w:t xml:space="preserve"> adjusting for covariates</w:t>
      </w:r>
      <w:r>
        <w:rPr>
          <w:rFonts w:ascii="Calibri" w:hAnsi="Calibri" w:cs="Calibri"/>
          <w:color w:val="000000"/>
          <w:sz w:val="22"/>
          <w:szCs w:val="22"/>
          <w:lang w:val="en-GB"/>
        </w:rPr>
        <w:t>. Additionally, t</w:t>
      </w:r>
      <w:r w:rsidR="005174F1" w:rsidRPr="005174F1">
        <w:rPr>
          <w:rFonts w:ascii="Calibri" w:hAnsi="Calibri" w:cs="Calibri"/>
          <w:color w:val="000000"/>
          <w:sz w:val="22"/>
          <w:szCs w:val="22"/>
          <w:lang w:val="en-GB"/>
        </w:rPr>
        <w:t>he R package "</w:t>
      </w:r>
      <w:proofErr w:type="spellStart"/>
      <w:r w:rsidR="005174F1" w:rsidRPr="005174F1">
        <w:rPr>
          <w:rFonts w:ascii="Calibri" w:hAnsi="Calibri" w:cs="Calibri"/>
          <w:color w:val="000000"/>
          <w:sz w:val="22"/>
          <w:szCs w:val="22"/>
          <w:lang w:val="en-GB"/>
        </w:rPr>
        <w:t>coxphw</w:t>
      </w:r>
      <w:proofErr w:type="spellEnd"/>
      <w:r w:rsidR="005174F1" w:rsidRPr="005174F1">
        <w:rPr>
          <w:rFonts w:ascii="Calibri" w:hAnsi="Calibri" w:cs="Calibri"/>
          <w:color w:val="000000"/>
          <w:sz w:val="22"/>
          <w:szCs w:val="22"/>
          <w:lang w:val="en-GB"/>
        </w:rPr>
        <w:t xml:space="preserve">" was used to conduct </w:t>
      </w:r>
      <w:r w:rsidR="005174F1">
        <w:rPr>
          <w:rFonts w:ascii="Calibri" w:hAnsi="Calibri" w:cs="Calibri"/>
          <w:color w:val="000000"/>
          <w:sz w:val="22"/>
          <w:szCs w:val="22"/>
          <w:lang w:val="en-GB"/>
        </w:rPr>
        <w:t>weighted C</w:t>
      </w:r>
      <w:r w:rsidR="005174F1" w:rsidRPr="005174F1">
        <w:rPr>
          <w:rFonts w:ascii="Calibri" w:hAnsi="Calibri" w:cs="Calibri"/>
          <w:color w:val="000000"/>
          <w:sz w:val="22"/>
          <w:szCs w:val="22"/>
          <w:lang w:val="en-GB"/>
        </w:rPr>
        <w:t xml:space="preserve">ox </w:t>
      </w:r>
      <w:r w:rsidR="005174F1">
        <w:rPr>
          <w:rFonts w:ascii="Calibri" w:hAnsi="Calibri" w:cs="Calibri"/>
          <w:color w:val="000000"/>
          <w:sz w:val="22"/>
          <w:szCs w:val="22"/>
          <w:lang w:val="en-GB"/>
        </w:rPr>
        <w:t>analysis while accounting for non-</w:t>
      </w:r>
      <w:r w:rsidR="005174F1" w:rsidRPr="005174F1">
        <w:rPr>
          <w:rFonts w:ascii="Calibri" w:hAnsi="Calibri" w:cs="Calibri"/>
          <w:color w:val="000000"/>
          <w:sz w:val="22"/>
          <w:szCs w:val="22"/>
          <w:lang w:val="en-GB"/>
        </w:rPr>
        <w:t>proportional hazard</w:t>
      </w:r>
      <w:r w:rsidR="00FA1578">
        <w:rPr>
          <w:rFonts w:ascii="Calibri" w:hAnsi="Calibri" w:cs="Calibri"/>
          <w:color w:val="000000"/>
          <w:sz w:val="22"/>
          <w:szCs w:val="22"/>
          <w:lang w:val="en-GB"/>
        </w:rPr>
        <w:t xml:space="preserve"> and adjusting for covariates</w:t>
      </w:r>
      <w:r w:rsidR="005174F1" w:rsidRPr="005174F1">
        <w:rPr>
          <w:rFonts w:ascii="Calibri" w:hAnsi="Calibri" w:cs="Calibri"/>
          <w:color w:val="000000"/>
          <w:sz w:val="22"/>
          <w:szCs w:val="22"/>
          <w:lang w:val="en-GB"/>
        </w:rPr>
        <w:t>.</w:t>
      </w:r>
      <w:r w:rsidR="005174F1">
        <w:rPr>
          <w:rFonts w:ascii="Calibri" w:hAnsi="Calibri" w:cs="Calibri"/>
          <w:color w:val="000000"/>
          <w:sz w:val="22"/>
          <w:szCs w:val="22"/>
          <w:lang w:val="en-GB"/>
        </w:rPr>
        <w:t xml:space="preserve"> </w:t>
      </w:r>
      <w:r w:rsidR="005174F1" w:rsidRPr="005174F1">
        <w:rPr>
          <w:rFonts w:ascii="Calibri" w:hAnsi="Calibri" w:cs="Calibri"/>
          <w:color w:val="000000"/>
          <w:sz w:val="22"/>
          <w:szCs w:val="22"/>
          <w:lang w:val="en-GB"/>
        </w:rPr>
        <w:t>This method uses inverse probability weighting to adjust for censoring and to estimate robust standard errors</w:t>
      </w:r>
      <w:r w:rsidR="005174F1">
        <w:rPr>
          <w:rFonts w:ascii="Calibri" w:hAnsi="Calibri" w:cs="Calibri"/>
          <w:color w:val="000000"/>
          <w:sz w:val="22"/>
          <w:szCs w:val="22"/>
          <w:lang w:val="en-GB"/>
        </w:rPr>
        <w:t>, ruling out outlying survival times that may affects the value of parameter estimates</w:t>
      </w:r>
      <w:r w:rsidR="005174F1" w:rsidRPr="005174F1">
        <w:rPr>
          <w:rFonts w:ascii="Calibri" w:hAnsi="Calibri" w:cs="Calibri"/>
          <w:color w:val="000000"/>
          <w:sz w:val="22"/>
          <w:szCs w:val="22"/>
          <w:lang w:val="en-GB"/>
        </w:rPr>
        <w:t>.</w:t>
      </w:r>
      <w:r w:rsidR="005174F1">
        <w:rPr>
          <w:rFonts w:ascii="Calibri" w:hAnsi="Calibri" w:cs="Calibri"/>
          <w:color w:val="000000"/>
          <w:sz w:val="22"/>
          <w:szCs w:val="22"/>
          <w:lang w:val="en-GB"/>
        </w:rPr>
        <w:t xml:space="preserve"> </w:t>
      </w:r>
      <w:r w:rsidR="005174F1" w:rsidRPr="005174F1">
        <w:rPr>
          <w:rFonts w:ascii="Calibri" w:hAnsi="Calibri" w:cs="Calibri"/>
          <w:color w:val="000000"/>
          <w:sz w:val="22"/>
          <w:szCs w:val="22"/>
          <w:lang w:val="en-GB"/>
        </w:rPr>
        <w:t>The method has been shown to be effective in both parametric and non-parametric survival models</w:t>
      </w:r>
      <w:r w:rsidR="005174F1">
        <w:rPr>
          <w:rFonts w:ascii="Calibri" w:hAnsi="Calibri" w:cs="Calibri"/>
          <w:color w:val="000000"/>
          <w:sz w:val="22"/>
          <w:szCs w:val="22"/>
          <w:lang w:val="en-GB"/>
        </w:rPr>
        <w:t xml:space="preserve">, and </w:t>
      </w:r>
      <w:proofErr w:type="gramStart"/>
      <w:r w:rsidR="005174F1" w:rsidRPr="005174F1">
        <w:rPr>
          <w:rFonts w:ascii="Calibri" w:hAnsi="Calibri" w:cs="Calibri"/>
          <w:color w:val="000000"/>
          <w:sz w:val="22"/>
          <w:szCs w:val="22"/>
          <w:lang w:val="en-GB"/>
        </w:rPr>
        <w:t>It</w:t>
      </w:r>
      <w:proofErr w:type="gramEnd"/>
      <w:r w:rsidR="005174F1" w:rsidRPr="005174F1">
        <w:rPr>
          <w:rFonts w:ascii="Calibri" w:hAnsi="Calibri" w:cs="Calibri"/>
          <w:color w:val="000000"/>
          <w:sz w:val="22"/>
          <w:szCs w:val="22"/>
          <w:lang w:val="en-GB"/>
        </w:rPr>
        <w:t xml:space="preserve"> has been used in a variety of applications, including studies of cancer, </w:t>
      </w:r>
      <w:r>
        <w:rPr>
          <w:rFonts w:ascii="Calibri" w:hAnsi="Calibri" w:cs="Calibri"/>
          <w:color w:val="000000"/>
          <w:sz w:val="22"/>
          <w:szCs w:val="22"/>
          <w:lang w:val="en-GB"/>
        </w:rPr>
        <w:t xml:space="preserve">COVID-19, </w:t>
      </w:r>
      <w:r w:rsidR="005174F1" w:rsidRPr="005174F1">
        <w:rPr>
          <w:rFonts w:ascii="Calibri" w:hAnsi="Calibri" w:cs="Calibri"/>
          <w:color w:val="000000"/>
          <w:sz w:val="22"/>
          <w:szCs w:val="22"/>
          <w:lang w:val="en-GB"/>
        </w:rPr>
        <w:t>heart disease, and HIV/</w:t>
      </w:r>
      <w:commentRangeStart w:id="3"/>
      <w:commentRangeStart w:id="4"/>
      <w:commentRangeStart w:id="5"/>
      <w:r w:rsidR="005174F1" w:rsidRPr="005174F1">
        <w:rPr>
          <w:rFonts w:ascii="Calibri" w:hAnsi="Calibri" w:cs="Calibri"/>
          <w:color w:val="000000"/>
          <w:sz w:val="22"/>
          <w:szCs w:val="22"/>
          <w:lang w:val="en-GB"/>
        </w:rPr>
        <w:t>AIDS</w:t>
      </w:r>
      <w:commentRangeEnd w:id="3"/>
      <w:r>
        <w:rPr>
          <w:rStyle w:val="Refdecomentario"/>
          <w:rFonts w:asciiTheme="minorHAnsi" w:eastAsiaTheme="minorHAnsi" w:hAnsiTheme="minorHAnsi" w:cstheme="minorBidi"/>
          <w:lang w:eastAsia="en-US"/>
        </w:rPr>
        <w:commentReference w:id="3"/>
      </w:r>
      <w:commentRangeEnd w:id="4"/>
      <w:r>
        <w:rPr>
          <w:rStyle w:val="Refdecomentario"/>
          <w:rFonts w:asciiTheme="minorHAnsi" w:eastAsiaTheme="minorHAnsi" w:hAnsiTheme="minorHAnsi" w:cstheme="minorBidi"/>
          <w:lang w:eastAsia="en-US"/>
        </w:rPr>
        <w:commentReference w:id="4"/>
      </w:r>
      <w:commentRangeEnd w:id="5"/>
      <w:r>
        <w:rPr>
          <w:rStyle w:val="Refdecomentario"/>
          <w:rFonts w:asciiTheme="minorHAnsi" w:eastAsiaTheme="minorHAnsi" w:hAnsiTheme="minorHAnsi" w:cstheme="minorBidi"/>
          <w:lang w:eastAsia="en-US"/>
        </w:rPr>
        <w:commentReference w:id="5"/>
      </w:r>
      <w:r w:rsidR="00FA1578">
        <w:rPr>
          <w:rFonts w:ascii="Calibri" w:hAnsi="Calibri" w:cs="Calibri"/>
          <w:color w:val="000000"/>
          <w:sz w:val="22"/>
          <w:szCs w:val="22"/>
          <w:lang w:val="en-GB"/>
        </w:rPr>
        <w:t xml:space="preserve"> (REFS)</w:t>
      </w:r>
      <w:r w:rsidR="005174F1" w:rsidRPr="005174F1">
        <w:rPr>
          <w:rFonts w:ascii="Calibri" w:hAnsi="Calibri" w:cs="Calibri"/>
          <w:color w:val="000000"/>
          <w:sz w:val="22"/>
          <w:szCs w:val="22"/>
          <w:lang w:val="en-GB"/>
        </w:rPr>
        <w:t>.</w:t>
      </w:r>
    </w:p>
    <w:p w14:paraId="3B68572F" w14:textId="054250BC" w:rsidR="00035C73" w:rsidRDefault="00035C73" w:rsidP="00FA1578">
      <w:pPr>
        <w:pStyle w:val="NormalWeb"/>
        <w:spacing w:line="276" w:lineRule="auto"/>
        <w:textAlignment w:val="baseline"/>
        <w:rPr>
          <w:rFonts w:ascii="Calibri" w:hAnsi="Calibri" w:cs="Calibri"/>
          <w:color w:val="000000"/>
          <w:sz w:val="22"/>
          <w:szCs w:val="22"/>
          <w:lang w:val="en-GB"/>
        </w:rPr>
      </w:pPr>
      <w:r>
        <w:rPr>
          <w:rFonts w:ascii="Calibri" w:hAnsi="Calibri" w:cs="Calibri"/>
          <w:color w:val="000000"/>
          <w:sz w:val="22"/>
          <w:szCs w:val="22"/>
          <w:lang w:val="en-GB"/>
        </w:rPr>
        <w:t xml:space="preserve">Using the Cox model under the proportional hazard assumption, patients with late and early dropouts had a 53% (HR= </w:t>
      </w:r>
      <w:r w:rsidRPr="00035C73">
        <w:rPr>
          <w:rFonts w:ascii="Calibri" w:hAnsi="Calibri" w:cs="Calibri"/>
          <w:color w:val="000000"/>
          <w:sz w:val="22"/>
          <w:szCs w:val="22"/>
          <w:lang w:val="en-GB"/>
        </w:rPr>
        <w:t>1.53 95% CI 1.47, 1.59</w:t>
      </w:r>
      <w:r>
        <w:rPr>
          <w:rFonts w:ascii="Calibri" w:hAnsi="Calibri" w:cs="Calibri"/>
          <w:color w:val="000000"/>
          <w:sz w:val="22"/>
          <w:szCs w:val="22"/>
          <w:lang w:val="en-GB"/>
        </w:rPr>
        <w:t>) and 66% (</w:t>
      </w:r>
      <w:r w:rsidRPr="00035C73">
        <w:rPr>
          <w:rFonts w:ascii="Calibri" w:hAnsi="Calibri" w:cs="Calibri"/>
          <w:color w:val="000000"/>
          <w:sz w:val="22"/>
          <w:szCs w:val="22"/>
          <w:lang w:val="en-GB"/>
        </w:rPr>
        <w:t>HR= 1.66 95% CI 1.58, 1.74</w:t>
      </w:r>
      <w:r>
        <w:rPr>
          <w:rFonts w:ascii="Calibri" w:hAnsi="Calibri" w:cs="Calibri"/>
          <w:color w:val="000000"/>
          <w:sz w:val="22"/>
          <w:szCs w:val="22"/>
          <w:lang w:val="en-GB"/>
        </w:rPr>
        <w:t xml:space="preserve">) greater likelihood of any contact with the criminal justice system vs. those who completed treatment, respectively, while 58% </w:t>
      </w:r>
      <w:r w:rsidR="00FA1578">
        <w:rPr>
          <w:rFonts w:ascii="Calibri" w:hAnsi="Calibri" w:cs="Calibri"/>
          <w:color w:val="000000"/>
          <w:sz w:val="22"/>
          <w:szCs w:val="22"/>
          <w:lang w:val="en-GB"/>
        </w:rPr>
        <w:t>(HR=</w:t>
      </w:r>
      <w:r w:rsidR="00FA1578" w:rsidRPr="00FA1578">
        <w:rPr>
          <w:rFonts w:ascii="Calibri" w:hAnsi="Calibri" w:cs="Calibri"/>
          <w:color w:val="000000"/>
          <w:sz w:val="22"/>
          <w:szCs w:val="22"/>
          <w:lang w:val="en-GB"/>
        </w:rPr>
        <w:t xml:space="preserve"> 1.58 95% CI 1.45, 1.72</w:t>
      </w:r>
      <w:r w:rsidR="00FA1578">
        <w:rPr>
          <w:rFonts w:ascii="Calibri" w:hAnsi="Calibri" w:cs="Calibri"/>
          <w:color w:val="000000"/>
          <w:sz w:val="22"/>
          <w:szCs w:val="22"/>
          <w:lang w:val="en-GB"/>
        </w:rPr>
        <w:t xml:space="preserve">) </w:t>
      </w:r>
      <w:r>
        <w:rPr>
          <w:rFonts w:ascii="Calibri" w:hAnsi="Calibri" w:cs="Calibri"/>
          <w:color w:val="000000"/>
          <w:sz w:val="22"/>
          <w:szCs w:val="22"/>
          <w:lang w:val="en-GB"/>
        </w:rPr>
        <w:t xml:space="preserve">and 88% </w:t>
      </w:r>
      <w:r w:rsidR="00FA1578">
        <w:rPr>
          <w:rFonts w:ascii="Calibri" w:hAnsi="Calibri" w:cs="Calibri"/>
          <w:color w:val="000000"/>
          <w:sz w:val="22"/>
          <w:szCs w:val="22"/>
          <w:lang w:val="en-GB"/>
        </w:rPr>
        <w:t xml:space="preserve">(HR= </w:t>
      </w:r>
      <w:r w:rsidR="00FA1578" w:rsidRPr="00FA1578">
        <w:rPr>
          <w:rFonts w:ascii="Calibri" w:hAnsi="Calibri" w:cs="Calibri"/>
          <w:color w:val="000000"/>
          <w:sz w:val="22"/>
          <w:szCs w:val="22"/>
          <w:lang w:val="en-GB"/>
        </w:rPr>
        <w:t>1.88 95% CI 1.70, 2.09</w:t>
      </w:r>
      <w:r w:rsidR="00FA1578">
        <w:rPr>
          <w:rFonts w:ascii="Calibri" w:hAnsi="Calibri" w:cs="Calibri"/>
          <w:color w:val="000000"/>
          <w:sz w:val="22"/>
          <w:szCs w:val="22"/>
          <w:lang w:val="en-GB"/>
        </w:rPr>
        <w:t xml:space="preserve">) </w:t>
      </w:r>
      <w:r>
        <w:rPr>
          <w:rFonts w:ascii="Calibri" w:hAnsi="Calibri" w:cs="Calibri"/>
          <w:color w:val="000000"/>
          <w:sz w:val="22"/>
          <w:szCs w:val="22"/>
          <w:lang w:val="en-GB"/>
        </w:rPr>
        <w:t>greater likelihood of contact with the criminal justice system leading to imprisonment vs. those who completed treatment.</w:t>
      </w:r>
    </w:p>
    <w:p w14:paraId="21C1380B" w14:textId="07007495" w:rsidR="00777D1E" w:rsidRDefault="00FA1578" w:rsidP="004C66D6">
      <w:pPr>
        <w:pStyle w:val="NormalWeb"/>
        <w:spacing w:line="276" w:lineRule="auto"/>
        <w:textAlignment w:val="baseline"/>
        <w:rPr>
          <w:rFonts w:ascii="Calibri" w:hAnsi="Calibri" w:cs="Calibri"/>
          <w:color w:val="000000"/>
          <w:sz w:val="22"/>
          <w:szCs w:val="22"/>
          <w:lang w:val="en-GB"/>
        </w:rPr>
      </w:pPr>
      <w:r>
        <w:rPr>
          <w:rFonts w:ascii="Calibri" w:hAnsi="Calibri" w:cs="Calibri"/>
          <w:color w:val="000000"/>
          <w:sz w:val="22"/>
          <w:szCs w:val="22"/>
          <w:lang w:val="en-GB"/>
        </w:rPr>
        <w:t>However, these hazards dropped in terms of magnitude but not in direction. Also, none of them overlap the null association. An exception was the comparison between patients who dropped late from treatment vs. those who completed in the time to any contact with the criminal justice system, which remained stable and with narrower but with arguably biased confidence intervals</w:t>
      </w:r>
      <w:r w:rsidR="004C66D6">
        <w:rPr>
          <w:rFonts w:ascii="Calibri" w:hAnsi="Calibri" w:cs="Calibri"/>
          <w:color w:val="000000"/>
          <w:sz w:val="22"/>
          <w:szCs w:val="22"/>
          <w:lang w:val="en-GB"/>
        </w:rPr>
        <w:t xml:space="preserve"> (See Table SXZ)</w:t>
      </w:r>
      <w:r>
        <w:rPr>
          <w:rFonts w:ascii="Calibri" w:hAnsi="Calibri" w:cs="Calibri"/>
          <w:color w:val="000000"/>
          <w:sz w:val="22"/>
          <w:szCs w:val="22"/>
          <w:lang w:val="en-GB"/>
        </w:rPr>
        <w:t>.</w:t>
      </w:r>
    </w:p>
    <w:p w14:paraId="5D6E40BC" w14:textId="5BEAF460" w:rsidR="00FA1578" w:rsidRPr="00FA1578" w:rsidRDefault="00FA1578" w:rsidP="00FA1578">
      <w:pPr>
        <w:rPr>
          <w:sz w:val="22"/>
          <w:szCs w:val="22"/>
          <w:lang w:val="en-GB"/>
        </w:rPr>
      </w:pPr>
      <w:r w:rsidRPr="00FA1578">
        <w:rPr>
          <w:sz w:val="22"/>
          <w:szCs w:val="22"/>
          <w:lang w:val="en-GB"/>
        </w:rPr>
        <w:t xml:space="preserve">Table SXZ. Averaged adjusted HRs from weighted Cox </w:t>
      </w:r>
      <w:proofErr w:type="gramStart"/>
      <w:r w:rsidRPr="00FA1578">
        <w:rPr>
          <w:sz w:val="22"/>
          <w:szCs w:val="22"/>
          <w:lang w:val="en-GB"/>
        </w:rPr>
        <w:t>model</w:t>
      </w:r>
      <w:proofErr w:type="gramEnd"/>
    </w:p>
    <w:tbl>
      <w:tblPr>
        <w:tblW w:w="5000" w:type="pct"/>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7"/>
        <w:gridCol w:w="3127"/>
        <w:gridCol w:w="2293"/>
        <w:gridCol w:w="1041"/>
      </w:tblGrid>
      <w:tr w:rsidR="00FA1578" w:rsidRPr="00FA1578" w14:paraId="5D67E52C" w14:textId="77777777" w:rsidTr="00FA1578">
        <w:trPr>
          <w:tblHeader/>
        </w:trPr>
        <w:tc>
          <w:tcPr>
            <w:tcW w:w="1345"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465F07BB" w14:textId="6CA55184" w:rsidR="00FA1578" w:rsidRPr="00777D1E" w:rsidRDefault="00FA1578" w:rsidP="00777D1E">
            <w:pPr>
              <w:rPr>
                <w:b/>
                <w:bCs/>
                <w:sz w:val="20"/>
                <w:szCs w:val="20"/>
                <w:lang w:val="es-CL"/>
              </w:rPr>
            </w:pPr>
            <w:r>
              <w:rPr>
                <w:b/>
                <w:bCs/>
                <w:sz w:val="20"/>
                <w:szCs w:val="20"/>
                <w:lang w:val="en-GB"/>
              </w:rPr>
              <w:t>Term</w:t>
            </w:r>
          </w:p>
        </w:tc>
        <w:tc>
          <w:tcPr>
            <w:tcW w:w="1769"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46B87DE1" w14:textId="24B38AD2" w:rsidR="00FA1578" w:rsidRPr="00777D1E" w:rsidRDefault="00FA1578" w:rsidP="00777D1E">
            <w:pPr>
              <w:rPr>
                <w:b/>
                <w:bCs/>
                <w:sz w:val="20"/>
                <w:szCs w:val="20"/>
                <w:lang w:val="es-CL"/>
              </w:rPr>
            </w:pPr>
            <w:r>
              <w:rPr>
                <w:b/>
                <w:bCs/>
                <w:sz w:val="20"/>
                <w:szCs w:val="20"/>
                <w:lang w:val="es-CL"/>
              </w:rPr>
              <w:t xml:space="preserve">Time </w:t>
            </w:r>
            <w:proofErr w:type="spellStart"/>
            <w:r>
              <w:rPr>
                <w:b/>
                <w:bCs/>
                <w:sz w:val="20"/>
                <w:szCs w:val="20"/>
                <w:lang w:val="es-CL"/>
              </w:rPr>
              <w:t>to</w:t>
            </w:r>
            <w:proofErr w:type="spellEnd"/>
            <w:r>
              <w:rPr>
                <w:b/>
                <w:bCs/>
                <w:sz w:val="20"/>
                <w:szCs w:val="20"/>
                <w:lang w:val="es-CL"/>
              </w:rPr>
              <w:t>…</w:t>
            </w:r>
          </w:p>
        </w:tc>
        <w:tc>
          <w:tcPr>
            <w:tcW w:w="1297"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EC1FEA0" w14:textId="7668E075" w:rsidR="00FA1578" w:rsidRPr="00777D1E" w:rsidRDefault="00FA1578" w:rsidP="00777D1E">
            <w:pPr>
              <w:rPr>
                <w:b/>
                <w:bCs/>
                <w:sz w:val="20"/>
                <w:szCs w:val="20"/>
                <w:lang w:val="es-CL"/>
              </w:rPr>
            </w:pPr>
            <w:proofErr w:type="spellStart"/>
            <w:r>
              <w:rPr>
                <w:b/>
                <w:bCs/>
                <w:sz w:val="20"/>
                <w:szCs w:val="20"/>
                <w:lang w:val="es-CL"/>
              </w:rPr>
              <w:t>Estimation</w:t>
            </w:r>
            <w:proofErr w:type="spellEnd"/>
          </w:p>
        </w:tc>
        <w:tc>
          <w:tcPr>
            <w:tcW w:w="589" w:type="pct"/>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3520A74" w14:textId="501236DD" w:rsidR="00FA1578" w:rsidRPr="00777D1E" w:rsidRDefault="00FA1578" w:rsidP="00777D1E">
            <w:pPr>
              <w:rPr>
                <w:b/>
                <w:bCs/>
                <w:sz w:val="20"/>
                <w:szCs w:val="20"/>
                <w:lang w:val="es-CL"/>
              </w:rPr>
            </w:pPr>
            <w:r>
              <w:rPr>
                <w:b/>
                <w:bCs/>
                <w:sz w:val="20"/>
                <w:szCs w:val="20"/>
                <w:lang w:val="es-CL"/>
              </w:rPr>
              <w:t>95% CI</w:t>
            </w:r>
          </w:p>
        </w:tc>
      </w:tr>
      <w:tr w:rsidR="00FA1578" w:rsidRPr="00FA1578" w14:paraId="31CF04DD" w14:textId="77777777" w:rsidTr="00FA1578">
        <w:tc>
          <w:tcPr>
            <w:tcW w:w="1345" w:type="pct"/>
            <w:tcBorders>
              <w:top w:val="single" w:sz="4" w:space="0" w:color="auto"/>
            </w:tcBorders>
            <w:shd w:val="clear" w:color="auto" w:fill="FFFFFF"/>
            <w:tcMar>
              <w:top w:w="30" w:type="dxa"/>
              <w:left w:w="0" w:type="dxa"/>
              <w:bottom w:w="0" w:type="dxa"/>
              <w:right w:w="0" w:type="dxa"/>
            </w:tcMar>
            <w:vAlign w:val="center"/>
            <w:hideMark/>
          </w:tcPr>
          <w:p w14:paraId="75CFAB70" w14:textId="113BCCC2" w:rsidR="00FA1578" w:rsidRPr="00777D1E" w:rsidRDefault="00FA1578" w:rsidP="00777D1E">
            <w:pPr>
              <w:rPr>
                <w:sz w:val="20"/>
                <w:szCs w:val="20"/>
                <w:lang w:val="en-GB"/>
              </w:rPr>
            </w:pPr>
            <w:r w:rsidRPr="00FA1578">
              <w:rPr>
                <w:sz w:val="20"/>
                <w:szCs w:val="20"/>
                <w:lang w:val="en-GB"/>
              </w:rPr>
              <w:t>Early dropout vs. tr. completion</w:t>
            </w:r>
          </w:p>
        </w:tc>
        <w:tc>
          <w:tcPr>
            <w:tcW w:w="1769" w:type="pct"/>
            <w:tcBorders>
              <w:top w:val="single" w:sz="4" w:space="0" w:color="auto"/>
            </w:tcBorders>
            <w:shd w:val="clear" w:color="auto" w:fill="FFFFFF"/>
            <w:tcMar>
              <w:top w:w="30" w:type="dxa"/>
              <w:left w:w="0" w:type="dxa"/>
              <w:bottom w:w="0" w:type="dxa"/>
              <w:right w:w="0" w:type="dxa"/>
            </w:tcMar>
            <w:vAlign w:val="center"/>
            <w:hideMark/>
          </w:tcPr>
          <w:p w14:paraId="3AF0DB74" w14:textId="77777777" w:rsidR="00FA1578" w:rsidRPr="00777D1E" w:rsidRDefault="00FA1578" w:rsidP="00777D1E">
            <w:pPr>
              <w:rPr>
                <w:sz w:val="20"/>
                <w:szCs w:val="20"/>
                <w:lang w:val="es-CL"/>
              </w:rPr>
            </w:pPr>
            <w:proofErr w:type="spellStart"/>
            <w:r w:rsidRPr="00777D1E">
              <w:rPr>
                <w:sz w:val="20"/>
                <w:szCs w:val="20"/>
                <w:lang w:val="es-CL"/>
              </w:rPr>
              <w:t>Condemnatory</w:t>
            </w:r>
            <w:proofErr w:type="spellEnd"/>
            <w:r w:rsidRPr="00777D1E">
              <w:rPr>
                <w:sz w:val="20"/>
                <w:szCs w:val="20"/>
                <w:lang w:val="es-CL"/>
              </w:rPr>
              <w:t xml:space="preserve"> </w:t>
            </w:r>
            <w:proofErr w:type="spellStart"/>
            <w:r w:rsidRPr="00777D1E">
              <w:rPr>
                <w:sz w:val="20"/>
                <w:szCs w:val="20"/>
                <w:lang w:val="es-CL"/>
              </w:rPr>
              <w:t>Sentence</w:t>
            </w:r>
            <w:proofErr w:type="spellEnd"/>
          </w:p>
        </w:tc>
        <w:tc>
          <w:tcPr>
            <w:tcW w:w="1297" w:type="pct"/>
            <w:tcBorders>
              <w:top w:val="single" w:sz="4" w:space="0" w:color="auto"/>
            </w:tcBorders>
            <w:shd w:val="clear" w:color="auto" w:fill="FFFFFF"/>
            <w:tcMar>
              <w:top w:w="30" w:type="dxa"/>
              <w:left w:w="0" w:type="dxa"/>
              <w:bottom w:w="0" w:type="dxa"/>
              <w:right w:w="0" w:type="dxa"/>
            </w:tcMar>
            <w:vAlign w:val="center"/>
            <w:hideMark/>
          </w:tcPr>
          <w:p w14:paraId="451FBD0B" w14:textId="77777777" w:rsidR="00FA1578" w:rsidRPr="00777D1E" w:rsidRDefault="00FA1578" w:rsidP="00777D1E">
            <w:pPr>
              <w:rPr>
                <w:sz w:val="20"/>
                <w:szCs w:val="20"/>
                <w:lang w:val="es-CL"/>
              </w:rPr>
            </w:pPr>
            <w:r w:rsidRPr="00777D1E">
              <w:rPr>
                <w:sz w:val="20"/>
                <w:szCs w:val="20"/>
                <w:lang w:val="es-CL"/>
              </w:rPr>
              <w:t>1.70</w:t>
            </w:r>
          </w:p>
        </w:tc>
        <w:tc>
          <w:tcPr>
            <w:tcW w:w="589" w:type="pct"/>
            <w:tcBorders>
              <w:top w:val="single" w:sz="4" w:space="0" w:color="auto"/>
            </w:tcBorders>
            <w:shd w:val="clear" w:color="auto" w:fill="FFFFFF"/>
            <w:tcMar>
              <w:top w:w="30" w:type="dxa"/>
              <w:left w:w="0" w:type="dxa"/>
              <w:bottom w:w="0" w:type="dxa"/>
              <w:right w:w="0" w:type="dxa"/>
            </w:tcMar>
            <w:vAlign w:val="center"/>
            <w:hideMark/>
          </w:tcPr>
          <w:p w14:paraId="6DA428E8" w14:textId="740274DB" w:rsidR="00FA1578" w:rsidRPr="00777D1E" w:rsidRDefault="00FA1578" w:rsidP="00777D1E">
            <w:pPr>
              <w:rPr>
                <w:sz w:val="20"/>
                <w:szCs w:val="20"/>
                <w:lang w:val="es-CL"/>
              </w:rPr>
            </w:pPr>
            <w:r w:rsidRPr="00777D1E">
              <w:rPr>
                <w:sz w:val="20"/>
                <w:szCs w:val="20"/>
                <w:lang w:val="es-CL"/>
              </w:rPr>
              <w:t>1.59</w:t>
            </w:r>
            <w:r>
              <w:rPr>
                <w:sz w:val="20"/>
                <w:szCs w:val="20"/>
                <w:lang w:val="es-CL"/>
              </w:rPr>
              <w:t>,</w:t>
            </w:r>
            <w:r>
              <w:t xml:space="preserve"> </w:t>
            </w:r>
            <w:r w:rsidRPr="00FA1578">
              <w:rPr>
                <w:sz w:val="20"/>
                <w:szCs w:val="20"/>
                <w:lang w:val="es-CL"/>
              </w:rPr>
              <w:t>1.81</w:t>
            </w:r>
            <w:r>
              <w:rPr>
                <w:sz w:val="20"/>
                <w:szCs w:val="20"/>
                <w:lang w:val="es-CL"/>
              </w:rPr>
              <w:t xml:space="preserve"> </w:t>
            </w:r>
          </w:p>
        </w:tc>
      </w:tr>
      <w:tr w:rsidR="00FA1578" w:rsidRPr="00FA1578" w14:paraId="17E0F92C" w14:textId="77777777" w:rsidTr="00FA1578">
        <w:tc>
          <w:tcPr>
            <w:tcW w:w="1345" w:type="pct"/>
            <w:shd w:val="clear" w:color="auto" w:fill="FFFFFF"/>
            <w:tcMar>
              <w:top w:w="0" w:type="dxa"/>
              <w:left w:w="0" w:type="dxa"/>
              <w:bottom w:w="0" w:type="dxa"/>
              <w:right w:w="0" w:type="dxa"/>
            </w:tcMar>
            <w:vAlign w:val="center"/>
            <w:hideMark/>
          </w:tcPr>
          <w:p w14:paraId="6DFA67DA" w14:textId="6A6F2998" w:rsidR="00FA1578" w:rsidRPr="00777D1E" w:rsidRDefault="00FA1578" w:rsidP="00FA1578">
            <w:pPr>
              <w:rPr>
                <w:sz w:val="20"/>
                <w:szCs w:val="20"/>
                <w:lang w:val="en-GB"/>
              </w:rPr>
            </w:pPr>
            <w:r>
              <w:rPr>
                <w:sz w:val="20"/>
                <w:szCs w:val="20"/>
                <w:lang w:val="en-GB"/>
              </w:rPr>
              <w:t>Late</w:t>
            </w:r>
            <w:r w:rsidRPr="00FA1578">
              <w:rPr>
                <w:sz w:val="20"/>
                <w:szCs w:val="20"/>
                <w:lang w:val="en-GB"/>
              </w:rPr>
              <w:t xml:space="preserve"> dropout vs. tr. completion</w:t>
            </w:r>
          </w:p>
        </w:tc>
        <w:tc>
          <w:tcPr>
            <w:tcW w:w="1769" w:type="pct"/>
            <w:shd w:val="clear" w:color="auto" w:fill="FFFFFF"/>
            <w:tcMar>
              <w:top w:w="0" w:type="dxa"/>
              <w:left w:w="0" w:type="dxa"/>
              <w:bottom w:w="0" w:type="dxa"/>
              <w:right w:w="0" w:type="dxa"/>
            </w:tcMar>
            <w:vAlign w:val="center"/>
            <w:hideMark/>
          </w:tcPr>
          <w:p w14:paraId="3A6F00AB" w14:textId="77777777" w:rsidR="00FA1578" w:rsidRPr="00777D1E" w:rsidRDefault="00FA1578" w:rsidP="00FA1578">
            <w:pPr>
              <w:rPr>
                <w:sz w:val="20"/>
                <w:szCs w:val="20"/>
                <w:lang w:val="es-CL"/>
              </w:rPr>
            </w:pPr>
            <w:proofErr w:type="spellStart"/>
            <w:r w:rsidRPr="00777D1E">
              <w:rPr>
                <w:sz w:val="20"/>
                <w:szCs w:val="20"/>
                <w:lang w:val="es-CL"/>
              </w:rPr>
              <w:t>Condemnatory</w:t>
            </w:r>
            <w:proofErr w:type="spellEnd"/>
            <w:r w:rsidRPr="00777D1E">
              <w:rPr>
                <w:sz w:val="20"/>
                <w:szCs w:val="20"/>
                <w:lang w:val="es-CL"/>
              </w:rPr>
              <w:t xml:space="preserve"> </w:t>
            </w:r>
            <w:proofErr w:type="spellStart"/>
            <w:r w:rsidRPr="00777D1E">
              <w:rPr>
                <w:sz w:val="20"/>
                <w:szCs w:val="20"/>
                <w:lang w:val="es-CL"/>
              </w:rPr>
              <w:t>Sentence</w:t>
            </w:r>
            <w:proofErr w:type="spellEnd"/>
          </w:p>
        </w:tc>
        <w:tc>
          <w:tcPr>
            <w:tcW w:w="1297" w:type="pct"/>
            <w:shd w:val="clear" w:color="auto" w:fill="FFFFFF"/>
            <w:tcMar>
              <w:top w:w="0" w:type="dxa"/>
              <w:left w:w="0" w:type="dxa"/>
              <w:bottom w:w="0" w:type="dxa"/>
              <w:right w:w="0" w:type="dxa"/>
            </w:tcMar>
            <w:vAlign w:val="center"/>
            <w:hideMark/>
          </w:tcPr>
          <w:p w14:paraId="4F797E4E" w14:textId="77777777" w:rsidR="00FA1578" w:rsidRPr="00777D1E" w:rsidRDefault="00FA1578" w:rsidP="00FA1578">
            <w:pPr>
              <w:rPr>
                <w:sz w:val="20"/>
                <w:szCs w:val="20"/>
                <w:lang w:val="es-CL"/>
              </w:rPr>
            </w:pPr>
            <w:r w:rsidRPr="00777D1E">
              <w:rPr>
                <w:sz w:val="20"/>
                <w:szCs w:val="20"/>
                <w:lang w:val="es-CL"/>
              </w:rPr>
              <w:t>1.54</w:t>
            </w:r>
          </w:p>
        </w:tc>
        <w:tc>
          <w:tcPr>
            <w:tcW w:w="589" w:type="pct"/>
            <w:shd w:val="clear" w:color="auto" w:fill="FFFFFF"/>
            <w:tcMar>
              <w:top w:w="0" w:type="dxa"/>
              <w:left w:w="0" w:type="dxa"/>
              <w:bottom w:w="0" w:type="dxa"/>
              <w:right w:w="0" w:type="dxa"/>
            </w:tcMar>
            <w:vAlign w:val="center"/>
            <w:hideMark/>
          </w:tcPr>
          <w:p w14:paraId="02EF5C8B" w14:textId="148279A3" w:rsidR="00FA1578" w:rsidRPr="00777D1E" w:rsidRDefault="00FA1578" w:rsidP="00FA1578">
            <w:pPr>
              <w:rPr>
                <w:sz w:val="20"/>
                <w:szCs w:val="20"/>
                <w:lang w:val="es-CL"/>
              </w:rPr>
            </w:pPr>
            <w:r w:rsidRPr="00777D1E">
              <w:rPr>
                <w:sz w:val="20"/>
                <w:szCs w:val="20"/>
                <w:lang w:val="es-CL"/>
              </w:rPr>
              <w:t>1.46</w:t>
            </w:r>
            <w:r>
              <w:rPr>
                <w:sz w:val="20"/>
                <w:szCs w:val="20"/>
                <w:lang w:val="es-CL"/>
              </w:rPr>
              <w:t>,</w:t>
            </w:r>
            <w:r>
              <w:t xml:space="preserve"> </w:t>
            </w:r>
            <w:r w:rsidRPr="00FA1578">
              <w:rPr>
                <w:sz w:val="20"/>
                <w:szCs w:val="20"/>
                <w:lang w:val="es-CL"/>
              </w:rPr>
              <w:t>1.62</w:t>
            </w:r>
            <w:r>
              <w:rPr>
                <w:sz w:val="20"/>
                <w:szCs w:val="20"/>
                <w:lang w:val="es-CL"/>
              </w:rPr>
              <w:t xml:space="preserve"> </w:t>
            </w:r>
          </w:p>
        </w:tc>
      </w:tr>
      <w:tr w:rsidR="00FA1578" w:rsidRPr="00FA1578" w14:paraId="67E6556C" w14:textId="77777777" w:rsidTr="00FA1578">
        <w:tc>
          <w:tcPr>
            <w:tcW w:w="1345" w:type="pct"/>
            <w:shd w:val="clear" w:color="auto" w:fill="FFFFFF"/>
            <w:tcMar>
              <w:top w:w="0" w:type="dxa"/>
              <w:left w:w="0" w:type="dxa"/>
              <w:bottom w:w="0" w:type="dxa"/>
              <w:right w:w="0" w:type="dxa"/>
            </w:tcMar>
            <w:vAlign w:val="center"/>
            <w:hideMark/>
          </w:tcPr>
          <w:p w14:paraId="2CC3BCF1" w14:textId="1B8132ED" w:rsidR="00FA1578" w:rsidRPr="00777D1E" w:rsidRDefault="00FA1578" w:rsidP="00FA1578">
            <w:pPr>
              <w:rPr>
                <w:sz w:val="20"/>
                <w:szCs w:val="20"/>
                <w:lang w:val="en-GB"/>
              </w:rPr>
            </w:pPr>
            <w:r w:rsidRPr="00FA1578">
              <w:rPr>
                <w:sz w:val="20"/>
                <w:szCs w:val="20"/>
                <w:lang w:val="en-GB"/>
              </w:rPr>
              <w:t>Early dropout vs. tr. completion</w:t>
            </w:r>
          </w:p>
        </w:tc>
        <w:tc>
          <w:tcPr>
            <w:tcW w:w="1769" w:type="pct"/>
            <w:shd w:val="clear" w:color="auto" w:fill="FFFFFF"/>
            <w:tcMar>
              <w:top w:w="0" w:type="dxa"/>
              <w:left w:w="0" w:type="dxa"/>
              <w:bottom w:w="0" w:type="dxa"/>
              <w:right w:w="0" w:type="dxa"/>
            </w:tcMar>
            <w:vAlign w:val="center"/>
            <w:hideMark/>
          </w:tcPr>
          <w:p w14:paraId="6C34269D" w14:textId="77777777" w:rsidR="00FA1578" w:rsidRPr="00777D1E" w:rsidRDefault="00FA1578" w:rsidP="00FA1578">
            <w:pPr>
              <w:rPr>
                <w:sz w:val="20"/>
                <w:szCs w:val="20"/>
                <w:lang w:val="es-CL"/>
              </w:rPr>
            </w:pPr>
            <w:proofErr w:type="spellStart"/>
            <w:r w:rsidRPr="00777D1E">
              <w:rPr>
                <w:sz w:val="20"/>
                <w:szCs w:val="20"/>
                <w:lang w:val="es-CL"/>
              </w:rPr>
              <w:t>Imprisonment</w:t>
            </w:r>
            <w:proofErr w:type="spellEnd"/>
          </w:p>
        </w:tc>
        <w:tc>
          <w:tcPr>
            <w:tcW w:w="1297" w:type="pct"/>
            <w:shd w:val="clear" w:color="auto" w:fill="FFFFFF"/>
            <w:tcMar>
              <w:top w:w="0" w:type="dxa"/>
              <w:left w:w="0" w:type="dxa"/>
              <w:bottom w:w="0" w:type="dxa"/>
              <w:right w:w="0" w:type="dxa"/>
            </w:tcMar>
            <w:vAlign w:val="center"/>
            <w:hideMark/>
          </w:tcPr>
          <w:p w14:paraId="27BA56AA" w14:textId="77777777" w:rsidR="00FA1578" w:rsidRPr="00777D1E" w:rsidRDefault="00FA1578" w:rsidP="00FA1578">
            <w:pPr>
              <w:rPr>
                <w:sz w:val="20"/>
                <w:szCs w:val="20"/>
                <w:lang w:val="es-CL"/>
              </w:rPr>
            </w:pPr>
            <w:r w:rsidRPr="00777D1E">
              <w:rPr>
                <w:sz w:val="20"/>
                <w:szCs w:val="20"/>
                <w:lang w:val="es-CL"/>
              </w:rPr>
              <w:t>1.82</w:t>
            </w:r>
          </w:p>
        </w:tc>
        <w:tc>
          <w:tcPr>
            <w:tcW w:w="589" w:type="pct"/>
            <w:shd w:val="clear" w:color="auto" w:fill="FFFFFF"/>
            <w:tcMar>
              <w:top w:w="0" w:type="dxa"/>
              <w:left w:w="0" w:type="dxa"/>
              <w:bottom w:w="0" w:type="dxa"/>
              <w:right w:w="0" w:type="dxa"/>
            </w:tcMar>
            <w:vAlign w:val="center"/>
            <w:hideMark/>
          </w:tcPr>
          <w:p w14:paraId="329B7487" w14:textId="6F0DF804" w:rsidR="00FA1578" w:rsidRPr="00777D1E" w:rsidRDefault="00FA1578" w:rsidP="00FA1578">
            <w:pPr>
              <w:rPr>
                <w:sz w:val="20"/>
                <w:szCs w:val="20"/>
                <w:lang w:val="es-CL"/>
              </w:rPr>
            </w:pPr>
            <w:r w:rsidRPr="00777D1E">
              <w:rPr>
                <w:sz w:val="20"/>
                <w:szCs w:val="20"/>
                <w:lang w:val="es-CL"/>
              </w:rPr>
              <w:t>1.57</w:t>
            </w:r>
            <w:r>
              <w:rPr>
                <w:sz w:val="20"/>
                <w:szCs w:val="20"/>
                <w:lang w:val="es-CL"/>
              </w:rPr>
              <w:t xml:space="preserve">, </w:t>
            </w:r>
            <w:r w:rsidRPr="00FA1578">
              <w:rPr>
                <w:sz w:val="20"/>
                <w:szCs w:val="20"/>
                <w:lang w:val="es-CL"/>
              </w:rPr>
              <w:t>2.11</w:t>
            </w:r>
          </w:p>
        </w:tc>
      </w:tr>
      <w:tr w:rsidR="00FA1578" w:rsidRPr="00FA1578" w14:paraId="3D1F2417" w14:textId="77777777" w:rsidTr="00FA1578">
        <w:tc>
          <w:tcPr>
            <w:tcW w:w="1345" w:type="pct"/>
            <w:shd w:val="clear" w:color="auto" w:fill="FFFFFF"/>
            <w:tcMar>
              <w:top w:w="0" w:type="dxa"/>
              <w:left w:w="0" w:type="dxa"/>
              <w:bottom w:w="0" w:type="dxa"/>
              <w:right w:w="0" w:type="dxa"/>
            </w:tcMar>
            <w:vAlign w:val="center"/>
            <w:hideMark/>
          </w:tcPr>
          <w:p w14:paraId="0A680CEB" w14:textId="66002986" w:rsidR="00FA1578" w:rsidRPr="00777D1E" w:rsidRDefault="00FA1578" w:rsidP="00FA1578">
            <w:pPr>
              <w:rPr>
                <w:sz w:val="20"/>
                <w:szCs w:val="20"/>
                <w:lang w:val="en-GB"/>
              </w:rPr>
            </w:pPr>
            <w:r>
              <w:rPr>
                <w:sz w:val="20"/>
                <w:szCs w:val="20"/>
                <w:lang w:val="en-GB"/>
              </w:rPr>
              <w:t>Late</w:t>
            </w:r>
            <w:r w:rsidRPr="00FA1578">
              <w:rPr>
                <w:sz w:val="20"/>
                <w:szCs w:val="20"/>
                <w:lang w:val="en-GB"/>
              </w:rPr>
              <w:t xml:space="preserve"> dropout vs. tr. completion</w:t>
            </w:r>
          </w:p>
        </w:tc>
        <w:tc>
          <w:tcPr>
            <w:tcW w:w="1769" w:type="pct"/>
            <w:shd w:val="clear" w:color="auto" w:fill="FFFFFF"/>
            <w:tcMar>
              <w:top w:w="0" w:type="dxa"/>
              <w:left w:w="0" w:type="dxa"/>
              <w:bottom w:w="0" w:type="dxa"/>
              <w:right w:w="0" w:type="dxa"/>
            </w:tcMar>
            <w:vAlign w:val="center"/>
            <w:hideMark/>
          </w:tcPr>
          <w:p w14:paraId="54C45070" w14:textId="77777777" w:rsidR="00FA1578" w:rsidRPr="00777D1E" w:rsidRDefault="00FA1578" w:rsidP="00FA1578">
            <w:pPr>
              <w:rPr>
                <w:sz w:val="20"/>
                <w:szCs w:val="20"/>
                <w:lang w:val="es-CL"/>
              </w:rPr>
            </w:pPr>
            <w:proofErr w:type="spellStart"/>
            <w:r w:rsidRPr="00777D1E">
              <w:rPr>
                <w:sz w:val="20"/>
                <w:szCs w:val="20"/>
                <w:lang w:val="es-CL"/>
              </w:rPr>
              <w:t>Imprisonment</w:t>
            </w:r>
            <w:proofErr w:type="spellEnd"/>
          </w:p>
        </w:tc>
        <w:tc>
          <w:tcPr>
            <w:tcW w:w="1297" w:type="pct"/>
            <w:shd w:val="clear" w:color="auto" w:fill="FFFFFF"/>
            <w:tcMar>
              <w:top w:w="0" w:type="dxa"/>
              <w:left w:w="0" w:type="dxa"/>
              <w:bottom w:w="0" w:type="dxa"/>
              <w:right w:w="0" w:type="dxa"/>
            </w:tcMar>
            <w:vAlign w:val="center"/>
            <w:hideMark/>
          </w:tcPr>
          <w:p w14:paraId="0A4EB3F4" w14:textId="77777777" w:rsidR="00FA1578" w:rsidRPr="00777D1E" w:rsidRDefault="00FA1578" w:rsidP="00FA1578">
            <w:pPr>
              <w:rPr>
                <w:sz w:val="20"/>
                <w:szCs w:val="20"/>
                <w:lang w:val="es-CL"/>
              </w:rPr>
            </w:pPr>
            <w:r w:rsidRPr="00777D1E">
              <w:rPr>
                <w:sz w:val="20"/>
                <w:szCs w:val="20"/>
                <w:lang w:val="es-CL"/>
              </w:rPr>
              <w:t>1.48</w:t>
            </w:r>
          </w:p>
        </w:tc>
        <w:tc>
          <w:tcPr>
            <w:tcW w:w="589" w:type="pct"/>
            <w:shd w:val="clear" w:color="auto" w:fill="FFFFFF"/>
            <w:tcMar>
              <w:top w:w="0" w:type="dxa"/>
              <w:left w:w="0" w:type="dxa"/>
              <w:bottom w:w="0" w:type="dxa"/>
              <w:right w:w="0" w:type="dxa"/>
            </w:tcMar>
            <w:vAlign w:val="center"/>
            <w:hideMark/>
          </w:tcPr>
          <w:p w14:paraId="085A5443" w14:textId="708364CC" w:rsidR="00FA1578" w:rsidRPr="00777D1E" w:rsidRDefault="00FA1578" w:rsidP="00FA1578">
            <w:pPr>
              <w:rPr>
                <w:sz w:val="20"/>
                <w:szCs w:val="20"/>
                <w:lang w:val="es-CL"/>
              </w:rPr>
            </w:pPr>
            <w:r w:rsidRPr="00777D1E">
              <w:rPr>
                <w:sz w:val="20"/>
                <w:szCs w:val="20"/>
                <w:lang w:val="es-CL"/>
              </w:rPr>
              <w:t>1.31</w:t>
            </w:r>
            <w:r>
              <w:rPr>
                <w:sz w:val="20"/>
                <w:szCs w:val="20"/>
                <w:lang w:val="es-CL"/>
              </w:rPr>
              <w:t xml:space="preserve">, </w:t>
            </w:r>
            <w:r w:rsidRPr="00FA1578">
              <w:rPr>
                <w:sz w:val="20"/>
                <w:szCs w:val="20"/>
                <w:lang w:val="es-CL"/>
              </w:rPr>
              <w:t>1.66</w:t>
            </w:r>
          </w:p>
        </w:tc>
      </w:tr>
    </w:tbl>
    <w:p w14:paraId="092A9781" w14:textId="77777777" w:rsidR="00BE4902" w:rsidRDefault="00BE4902" w:rsidP="00BE4902">
      <w:pPr>
        <w:rPr>
          <w:lang w:val="es-CL"/>
        </w:rPr>
      </w:pPr>
    </w:p>
    <w:sectPr w:rsidR="00BE4902" w:rsidSect="00A15AC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González Santa Cruz" w:date="2023-05-12T16:39:00Z" w:initials="AGSC">
    <w:p w14:paraId="45318170" w14:textId="77777777" w:rsidR="000952AB" w:rsidRDefault="000952AB" w:rsidP="000952AB">
      <w:pPr>
        <w:pStyle w:val="Textocomentario"/>
      </w:pPr>
      <w:r>
        <w:rPr>
          <w:rStyle w:val="Refdecomentario"/>
        </w:rPr>
        <w:annotationRef/>
      </w:r>
      <w:r>
        <w:rPr>
          <w:lang w:val="es-CL"/>
        </w:rPr>
        <w:t>No sé si vale la pena decir esto</w:t>
      </w:r>
    </w:p>
  </w:comment>
  <w:comment w:id="1" w:author="Andrés González Santa Cruz" w:date="2023-07-07T14:02:00Z" w:initials="AGSC">
    <w:p w14:paraId="506F2186" w14:textId="77777777" w:rsidR="00936E54" w:rsidRDefault="00936E54" w:rsidP="0007113D">
      <w:pPr>
        <w:pStyle w:val="Textocomentario"/>
      </w:pPr>
      <w:r>
        <w:rPr>
          <w:rStyle w:val="Refdecomentario"/>
        </w:rPr>
        <w:annotationRef/>
      </w:r>
      <w:r>
        <w:t xml:space="preserve">Stekhoven, Daniel J., and Peter Buehlmann. 2011. “MissForest-non-parametric missing value imputation for mixed-type data.” Bioinformatics 28 (1): 112–18. https://doi.org/10.1093/bioinformatics/btr597. </w:t>
      </w:r>
    </w:p>
  </w:comment>
  <w:comment w:id="2" w:author="Andrés González Santa Cruz" w:date="2023-07-07T14:09:00Z" w:initials="AGSC">
    <w:p w14:paraId="110AF682" w14:textId="77777777" w:rsidR="00936E54" w:rsidRDefault="00936E54" w:rsidP="00812C77">
      <w:pPr>
        <w:pStyle w:val="Textocomentario"/>
      </w:pPr>
      <w:r>
        <w:rPr>
          <w:rStyle w:val="Refdecomentario"/>
        </w:rPr>
        <w:annotationRef/>
      </w:r>
      <w:r>
        <w:t>Mayer M (2023). missRanger: Fast Imputation of Missing Values. R package version 2.2.2, </w:t>
      </w:r>
      <w:hyperlink r:id="rId1" w:history="1">
        <w:r w:rsidRPr="00812C77">
          <w:rPr>
            <w:rStyle w:val="Hipervnculo"/>
          </w:rPr>
          <w:t>https://github.com/mayer79/missRanger</w:t>
        </w:r>
      </w:hyperlink>
      <w:r>
        <w:t>.</w:t>
      </w:r>
      <w:r>
        <w:br/>
        <w:t xml:space="preserve">Wright, M. N., &amp; Ziegler, A. (2017). ranger: A Fast Implementation of Random Forests for High Dimensional Data in C++ and R. Journal of Statistical Software, 77(1), 1–17. </w:t>
      </w:r>
      <w:hyperlink r:id="rId2" w:history="1">
        <w:r w:rsidRPr="00812C77">
          <w:rPr>
            <w:rStyle w:val="Hipervnculo"/>
          </w:rPr>
          <w:t>https://doi.org/10.18637/jss.v077.i01</w:t>
        </w:r>
      </w:hyperlink>
    </w:p>
  </w:comment>
  <w:comment w:id="3" w:author="Andrés González Santa Cruz" w:date="2023-07-07T18:53:00Z" w:initials="AGSC">
    <w:p w14:paraId="54116547" w14:textId="77777777" w:rsidR="00035C73" w:rsidRDefault="00035C73">
      <w:pPr>
        <w:pStyle w:val="Textocomentario"/>
      </w:pPr>
      <w:r>
        <w:rPr>
          <w:rStyle w:val="Refdecomentario"/>
        </w:rPr>
        <w:annotationRef/>
      </w:r>
      <w:r>
        <w:rPr>
          <w:lang w:val="en-GB"/>
        </w:rPr>
        <w:t>Xu R, O’Quigley J. Estimating average regression effect under non-proportional hazards. Biostatistics 2000; 1:423–439. DOI: 10.1093/biostatistics/1.4.423.</w:t>
      </w:r>
    </w:p>
    <w:p w14:paraId="43BD4C32" w14:textId="77777777" w:rsidR="00035C73" w:rsidRDefault="00035C73" w:rsidP="000054A5">
      <w:pPr>
        <w:pStyle w:val="Textocomentario"/>
      </w:pPr>
      <w:r>
        <w:rPr>
          <w:lang w:val="en-GB"/>
        </w:rPr>
        <w:t>Daniela Dunkler, Michael Schemper, Georg Heinze, Gene selection in microarray survival studies under possibly non-proportional hazards, </w:t>
      </w:r>
      <w:r>
        <w:rPr>
          <w:i/>
          <w:iCs/>
          <w:lang w:val="en-GB"/>
        </w:rPr>
        <w:t>Bioinformatics</w:t>
      </w:r>
      <w:r>
        <w:rPr>
          <w:lang w:val="en-GB"/>
        </w:rPr>
        <w:t>, Volume 26, Issue 6, 15 March 2010, Pages 784–790, </w:t>
      </w:r>
      <w:hyperlink r:id="rId3" w:history="1">
        <w:r w:rsidRPr="000054A5">
          <w:rPr>
            <w:rStyle w:val="Hipervnculo"/>
            <w:lang w:val="en-GB"/>
          </w:rPr>
          <w:t>https://doi.org/10.1093/bioinformatics/btq035</w:t>
        </w:r>
      </w:hyperlink>
    </w:p>
  </w:comment>
  <w:comment w:id="4" w:author="Andrés González Santa Cruz" w:date="2023-07-07T18:53:00Z" w:initials="AGSC">
    <w:p w14:paraId="589C42D0" w14:textId="77777777" w:rsidR="00035C73" w:rsidRDefault="00035C73" w:rsidP="00D03DCB">
      <w:pPr>
        <w:pStyle w:val="Textocomentario"/>
      </w:pPr>
      <w:r>
        <w:rPr>
          <w:rStyle w:val="Refdecomentario"/>
        </w:rPr>
        <w:annotationRef/>
      </w:r>
      <w:r>
        <w:rPr>
          <w:b/>
          <w:bCs/>
          <w:lang w:val="es-CL"/>
        </w:rPr>
        <w:t>Supplement to: Oikonomou EK, Spatz ES, Suchard MA, Khera R. Individualising intensive systolic blood pressure reduction in hypertension using computational trial phenomaps and machine learning: a post-hoc analysis of randomised clinical trials. Lancet Digit Health 2022; 4: e796–805.</w:t>
      </w:r>
    </w:p>
  </w:comment>
  <w:comment w:id="5" w:author="Andrés González Santa Cruz" w:date="2023-07-07T18:54:00Z" w:initials="AGSC">
    <w:p w14:paraId="77C853C4" w14:textId="77777777" w:rsidR="00035C73" w:rsidRDefault="00035C73">
      <w:pPr>
        <w:pStyle w:val="Textocomentario"/>
      </w:pPr>
      <w:r>
        <w:rPr>
          <w:rStyle w:val="Refdecomentario"/>
        </w:rPr>
        <w:annotationRef/>
      </w:r>
      <w:r>
        <w:rPr>
          <w:color w:val="000000"/>
        </w:rPr>
        <w:t xml:space="preserve">27. Schemper M, Wakounig S, Heinze G. The estimation of average hazard ratios by weighted Cox regression. </w:t>
      </w:r>
      <w:r>
        <w:rPr>
          <w:i/>
          <w:iCs/>
          <w:color w:val="000000"/>
        </w:rPr>
        <w:t xml:space="preserve">Stat Med </w:t>
      </w:r>
      <w:r>
        <w:rPr>
          <w:color w:val="000000"/>
        </w:rPr>
        <w:t>2009;</w:t>
      </w:r>
      <w:r>
        <w:rPr>
          <w:b/>
          <w:bCs/>
          <w:color w:val="000000"/>
        </w:rPr>
        <w:t>28</w:t>
      </w:r>
      <w:r>
        <w:rPr>
          <w:color w:val="000000"/>
        </w:rPr>
        <w:t>(19):2473-89.</w:t>
      </w:r>
    </w:p>
    <w:p w14:paraId="7E698DF9" w14:textId="77777777" w:rsidR="00035C73" w:rsidRDefault="00035C73" w:rsidP="002736F5">
      <w:pPr>
        <w:pStyle w:val="Textocomentario"/>
      </w:pP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18170" w15:done="0"/>
  <w15:commentEx w15:paraId="506F2186" w15:done="0"/>
  <w15:commentEx w15:paraId="110AF682" w15:paraIdParent="506F2186" w15:done="0"/>
  <w15:commentEx w15:paraId="43BD4C32" w15:done="0"/>
  <w15:commentEx w15:paraId="589C42D0" w15:paraIdParent="43BD4C32" w15:done="0"/>
  <w15:commentEx w15:paraId="7E698DF9" w15:paraIdParent="43BD4C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EA5A" w16cex:dateUtc="2023-05-12T20:39:00Z"/>
  <w16cex:commentExtensible w16cex:durableId="2852997C" w16cex:dateUtc="2023-07-07T18:02:00Z"/>
  <w16cex:commentExtensible w16cex:durableId="28529B21" w16cex:dateUtc="2023-07-07T18:09:00Z"/>
  <w16cex:commentExtensible w16cex:durableId="2852DD95" w16cex:dateUtc="2023-07-07T22:53:00Z"/>
  <w16cex:commentExtensible w16cex:durableId="2852DDC0" w16cex:dateUtc="2023-07-07T22:53:00Z"/>
  <w16cex:commentExtensible w16cex:durableId="2852DDF7" w16cex:dateUtc="2023-07-07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18170" w16cid:durableId="2808EA5A"/>
  <w16cid:commentId w16cid:paraId="506F2186" w16cid:durableId="2852997C"/>
  <w16cid:commentId w16cid:paraId="110AF682" w16cid:durableId="28529B21"/>
  <w16cid:commentId w16cid:paraId="43BD4C32" w16cid:durableId="2852DD95"/>
  <w16cid:commentId w16cid:paraId="589C42D0" w16cid:durableId="2852DDC0"/>
  <w16cid:commentId w16cid:paraId="7E698DF9" w16cid:durableId="2852D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142F" w14:textId="77777777" w:rsidR="00047163" w:rsidRDefault="00047163" w:rsidP="00017229">
      <w:pPr>
        <w:spacing w:after="0" w:line="240" w:lineRule="auto"/>
      </w:pPr>
      <w:r>
        <w:separator/>
      </w:r>
    </w:p>
  </w:endnote>
  <w:endnote w:type="continuationSeparator" w:id="0">
    <w:p w14:paraId="4786A5A7" w14:textId="77777777" w:rsidR="00047163" w:rsidRDefault="00047163" w:rsidP="0001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C742" w14:textId="77777777" w:rsidR="00047163" w:rsidRDefault="00047163" w:rsidP="00017229">
      <w:pPr>
        <w:spacing w:after="0" w:line="240" w:lineRule="auto"/>
      </w:pPr>
      <w:r>
        <w:separator/>
      </w:r>
    </w:p>
  </w:footnote>
  <w:footnote w:type="continuationSeparator" w:id="0">
    <w:p w14:paraId="60D87451" w14:textId="77777777" w:rsidR="00047163" w:rsidRDefault="00047163" w:rsidP="00017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ABE"/>
    <w:multiLevelType w:val="multilevel"/>
    <w:tmpl w:val="FEA6B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9530DA"/>
    <w:multiLevelType w:val="hybridMultilevel"/>
    <w:tmpl w:val="BE7AD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1311F1C"/>
    <w:multiLevelType w:val="multilevel"/>
    <w:tmpl w:val="416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6FD"/>
    <w:multiLevelType w:val="multilevel"/>
    <w:tmpl w:val="68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484B"/>
    <w:multiLevelType w:val="multilevel"/>
    <w:tmpl w:val="540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470FC"/>
    <w:multiLevelType w:val="multilevel"/>
    <w:tmpl w:val="6FA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118DA"/>
    <w:multiLevelType w:val="hybridMultilevel"/>
    <w:tmpl w:val="AF8C0210"/>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74C48ED"/>
    <w:multiLevelType w:val="hybridMultilevel"/>
    <w:tmpl w:val="F8FEAE7C"/>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6696BB1"/>
    <w:multiLevelType w:val="hybridMultilevel"/>
    <w:tmpl w:val="30FEF708"/>
    <w:lvl w:ilvl="0" w:tplc="D1BA5600">
      <w:start w:val="5"/>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47893523">
    <w:abstractNumId w:val="0"/>
  </w:num>
  <w:num w:numId="2" w16cid:durableId="1748108701">
    <w:abstractNumId w:val="1"/>
  </w:num>
  <w:num w:numId="3" w16cid:durableId="1117335881">
    <w:abstractNumId w:val="6"/>
  </w:num>
  <w:num w:numId="4" w16cid:durableId="596136881">
    <w:abstractNumId w:val="8"/>
  </w:num>
  <w:num w:numId="5" w16cid:durableId="1531450267">
    <w:abstractNumId w:val="7"/>
  </w:num>
  <w:num w:numId="6" w16cid:durableId="977296626">
    <w:abstractNumId w:val="3"/>
    <w:lvlOverride w:ilvl="0">
      <w:lvl w:ilvl="0">
        <w:numFmt w:val="lowerRoman"/>
        <w:lvlText w:val="%1."/>
        <w:lvlJc w:val="right"/>
      </w:lvl>
    </w:lvlOverride>
  </w:num>
  <w:num w:numId="7" w16cid:durableId="2144424225">
    <w:abstractNumId w:val="2"/>
  </w:num>
  <w:num w:numId="8" w16cid:durableId="1775243923">
    <w:abstractNumId w:val="5"/>
  </w:num>
  <w:num w:numId="9" w16cid:durableId="16170506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wMDIzNjAzMLcwNDZW0lEKTi0uzszPAykwtqwFAC1wpG4tAAAA"/>
    <w:docVar w:name="EN.Layout" w:val="&lt;ENLayout&gt;&lt;Style&gt;Epidemi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214&lt;/item&gt;&lt;item&gt;260&lt;/item&gt;&lt;item&gt;422&lt;/item&gt;&lt;item&gt;425&lt;/item&gt;&lt;item&gt;427&lt;/item&gt;&lt;item&gt;440&lt;/item&gt;&lt;item&gt;636&lt;/item&gt;&lt;item&gt;644&lt;/item&gt;&lt;item&gt;646&lt;/item&gt;&lt;item&gt;660&lt;/item&gt;&lt;item&gt;663&lt;/item&gt;&lt;item&gt;667&lt;/item&gt;&lt;item&gt;668&lt;/item&gt;&lt;item&gt;686&lt;/item&gt;&lt;item&gt;689&lt;/item&gt;&lt;item&gt;690&lt;/item&gt;&lt;item&gt;692&lt;/item&gt;&lt;item&gt;698&lt;/item&gt;&lt;item&gt;699&lt;/item&gt;&lt;item&gt;700&lt;/item&gt;&lt;item&gt;705&lt;/item&gt;&lt;item&gt;706&lt;/item&gt;&lt;item&gt;707&lt;/item&gt;&lt;item&gt;708&lt;/item&gt;&lt;item&gt;724&lt;/item&gt;&lt;item&gt;731&lt;/item&gt;&lt;item&gt;747&lt;/item&gt;&lt;item&gt;749&lt;/item&gt;&lt;item&gt;767&lt;/item&gt;&lt;item&gt;808&lt;/item&gt;&lt;/record-ids&gt;&lt;/item&gt;&lt;/Libraries&gt;"/>
  </w:docVars>
  <w:rsids>
    <w:rsidRoot w:val="00F72B9E"/>
    <w:rsid w:val="0000377A"/>
    <w:rsid w:val="00003FDA"/>
    <w:rsid w:val="00010D50"/>
    <w:rsid w:val="00011191"/>
    <w:rsid w:val="000126DB"/>
    <w:rsid w:val="00012E58"/>
    <w:rsid w:val="00014A34"/>
    <w:rsid w:val="00014E7F"/>
    <w:rsid w:val="00015C79"/>
    <w:rsid w:val="00017229"/>
    <w:rsid w:val="00017C89"/>
    <w:rsid w:val="00017CA1"/>
    <w:rsid w:val="00025D3F"/>
    <w:rsid w:val="00033F33"/>
    <w:rsid w:val="00035C73"/>
    <w:rsid w:val="00036F46"/>
    <w:rsid w:val="000412EC"/>
    <w:rsid w:val="00044FBB"/>
    <w:rsid w:val="000457B0"/>
    <w:rsid w:val="00047163"/>
    <w:rsid w:val="00050E94"/>
    <w:rsid w:val="00057091"/>
    <w:rsid w:val="00060E2B"/>
    <w:rsid w:val="00066F06"/>
    <w:rsid w:val="000722C8"/>
    <w:rsid w:val="00080D0D"/>
    <w:rsid w:val="0008395C"/>
    <w:rsid w:val="00087065"/>
    <w:rsid w:val="00093D81"/>
    <w:rsid w:val="000952AB"/>
    <w:rsid w:val="000A059D"/>
    <w:rsid w:val="000A5A15"/>
    <w:rsid w:val="000A68E9"/>
    <w:rsid w:val="000C1039"/>
    <w:rsid w:val="000C1944"/>
    <w:rsid w:val="000C3EA3"/>
    <w:rsid w:val="000C64CD"/>
    <w:rsid w:val="000D1C5E"/>
    <w:rsid w:val="000D3DF0"/>
    <w:rsid w:val="000D6BF7"/>
    <w:rsid w:val="000E0B8F"/>
    <w:rsid w:val="000E3375"/>
    <w:rsid w:val="000E4FBC"/>
    <w:rsid w:val="000E50A1"/>
    <w:rsid w:val="000E60E0"/>
    <w:rsid w:val="000E6D59"/>
    <w:rsid w:val="000F27E7"/>
    <w:rsid w:val="000F4D5C"/>
    <w:rsid w:val="000F5DDE"/>
    <w:rsid w:val="000F71F0"/>
    <w:rsid w:val="00104D48"/>
    <w:rsid w:val="001117F8"/>
    <w:rsid w:val="00112206"/>
    <w:rsid w:val="001200C1"/>
    <w:rsid w:val="00120969"/>
    <w:rsid w:val="0012173F"/>
    <w:rsid w:val="00122D8B"/>
    <w:rsid w:val="00123FB8"/>
    <w:rsid w:val="00126604"/>
    <w:rsid w:val="00134B70"/>
    <w:rsid w:val="00140D9C"/>
    <w:rsid w:val="00141256"/>
    <w:rsid w:val="00141D3C"/>
    <w:rsid w:val="001437C3"/>
    <w:rsid w:val="0014557D"/>
    <w:rsid w:val="00145882"/>
    <w:rsid w:val="00147286"/>
    <w:rsid w:val="00152D80"/>
    <w:rsid w:val="00152F6D"/>
    <w:rsid w:val="001551E6"/>
    <w:rsid w:val="00155618"/>
    <w:rsid w:val="00155679"/>
    <w:rsid w:val="00162AE6"/>
    <w:rsid w:val="00163355"/>
    <w:rsid w:val="00167C0B"/>
    <w:rsid w:val="0017016D"/>
    <w:rsid w:val="001707D2"/>
    <w:rsid w:val="00170C64"/>
    <w:rsid w:val="0017123D"/>
    <w:rsid w:val="00173A08"/>
    <w:rsid w:val="00174A62"/>
    <w:rsid w:val="001840A7"/>
    <w:rsid w:val="00184CB4"/>
    <w:rsid w:val="00185FB9"/>
    <w:rsid w:val="00191168"/>
    <w:rsid w:val="00195720"/>
    <w:rsid w:val="0019628A"/>
    <w:rsid w:val="001A3BDD"/>
    <w:rsid w:val="001A78E5"/>
    <w:rsid w:val="001B3116"/>
    <w:rsid w:val="001C0BAC"/>
    <w:rsid w:val="001C43EE"/>
    <w:rsid w:val="001C6608"/>
    <w:rsid w:val="001C662F"/>
    <w:rsid w:val="001D7EF8"/>
    <w:rsid w:val="001D7FBB"/>
    <w:rsid w:val="001E1991"/>
    <w:rsid w:val="001E50D4"/>
    <w:rsid w:val="001E59BE"/>
    <w:rsid w:val="001F5185"/>
    <w:rsid w:val="001F692A"/>
    <w:rsid w:val="001F6A14"/>
    <w:rsid w:val="001F6C9C"/>
    <w:rsid w:val="00201AF6"/>
    <w:rsid w:val="00202B70"/>
    <w:rsid w:val="00203FC5"/>
    <w:rsid w:val="00205CE1"/>
    <w:rsid w:val="002068E4"/>
    <w:rsid w:val="002077F6"/>
    <w:rsid w:val="00207F95"/>
    <w:rsid w:val="00215E00"/>
    <w:rsid w:val="00220448"/>
    <w:rsid w:val="00224957"/>
    <w:rsid w:val="0022592D"/>
    <w:rsid w:val="00226087"/>
    <w:rsid w:val="002268AC"/>
    <w:rsid w:val="00227232"/>
    <w:rsid w:val="002278BC"/>
    <w:rsid w:val="00232FD0"/>
    <w:rsid w:val="0023464E"/>
    <w:rsid w:val="00236004"/>
    <w:rsid w:val="00240CA0"/>
    <w:rsid w:val="00242D94"/>
    <w:rsid w:val="002430FB"/>
    <w:rsid w:val="00243A67"/>
    <w:rsid w:val="0024413A"/>
    <w:rsid w:val="00252804"/>
    <w:rsid w:val="002537E0"/>
    <w:rsid w:val="002558E6"/>
    <w:rsid w:val="002609C1"/>
    <w:rsid w:val="00263F01"/>
    <w:rsid w:val="00265715"/>
    <w:rsid w:val="00270743"/>
    <w:rsid w:val="00270AC7"/>
    <w:rsid w:val="002802FB"/>
    <w:rsid w:val="002871BA"/>
    <w:rsid w:val="002904FB"/>
    <w:rsid w:val="00291873"/>
    <w:rsid w:val="00295273"/>
    <w:rsid w:val="002A239B"/>
    <w:rsid w:val="002A2DEA"/>
    <w:rsid w:val="002A54B4"/>
    <w:rsid w:val="002A6407"/>
    <w:rsid w:val="002B0EFB"/>
    <w:rsid w:val="002B4599"/>
    <w:rsid w:val="002C3AA6"/>
    <w:rsid w:val="002C7843"/>
    <w:rsid w:val="002D27E8"/>
    <w:rsid w:val="002D2EDF"/>
    <w:rsid w:val="002D332E"/>
    <w:rsid w:val="002D6476"/>
    <w:rsid w:val="002D7E88"/>
    <w:rsid w:val="002E2341"/>
    <w:rsid w:val="002E5BEB"/>
    <w:rsid w:val="002E6CD0"/>
    <w:rsid w:val="002F11B5"/>
    <w:rsid w:val="002F17F9"/>
    <w:rsid w:val="002F2D0C"/>
    <w:rsid w:val="0030757E"/>
    <w:rsid w:val="003102F7"/>
    <w:rsid w:val="003126DD"/>
    <w:rsid w:val="00314160"/>
    <w:rsid w:val="00314C6B"/>
    <w:rsid w:val="003167D5"/>
    <w:rsid w:val="00320396"/>
    <w:rsid w:val="00320499"/>
    <w:rsid w:val="0032330B"/>
    <w:rsid w:val="00324F50"/>
    <w:rsid w:val="0032576B"/>
    <w:rsid w:val="0033063E"/>
    <w:rsid w:val="00333743"/>
    <w:rsid w:val="003339AA"/>
    <w:rsid w:val="00335E09"/>
    <w:rsid w:val="0033786E"/>
    <w:rsid w:val="003425E8"/>
    <w:rsid w:val="00342CC6"/>
    <w:rsid w:val="00344483"/>
    <w:rsid w:val="003461D3"/>
    <w:rsid w:val="003472A4"/>
    <w:rsid w:val="00351628"/>
    <w:rsid w:val="00355758"/>
    <w:rsid w:val="00355C53"/>
    <w:rsid w:val="00356508"/>
    <w:rsid w:val="00367CE9"/>
    <w:rsid w:val="00371451"/>
    <w:rsid w:val="00372CED"/>
    <w:rsid w:val="003768C4"/>
    <w:rsid w:val="00377589"/>
    <w:rsid w:val="00377784"/>
    <w:rsid w:val="00395913"/>
    <w:rsid w:val="003A3786"/>
    <w:rsid w:val="003A5BA9"/>
    <w:rsid w:val="003B3053"/>
    <w:rsid w:val="003B37A2"/>
    <w:rsid w:val="003B73DD"/>
    <w:rsid w:val="003D2FF1"/>
    <w:rsid w:val="003D59A1"/>
    <w:rsid w:val="003E3C26"/>
    <w:rsid w:val="003E6A54"/>
    <w:rsid w:val="003E7B54"/>
    <w:rsid w:val="003F575F"/>
    <w:rsid w:val="003F6E47"/>
    <w:rsid w:val="004020B6"/>
    <w:rsid w:val="00406AD3"/>
    <w:rsid w:val="00410B8E"/>
    <w:rsid w:val="00413E03"/>
    <w:rsid w:val="00416727"/>
    <w:rsid w:val="00417EB7"/>
    <w:rsid w:val="00420426"/>
    <w:rsid w:val="004218A5"/>
    <w:rsid w:val="004234E2"/>
    <w:rsid w:val="004274CC"/>
    <w:rsid w:val="004316EE"/>
    <w:rsid w:val="00432880"/>
    <w:rsid w:val="004374D7"/>
    <w:rsid w:val="0044520A"/>
    <w:rsid w:val="00454D2B"/>
    <w:rsid w:val="00456E11"/>
    <w:rsid w:val="00457B38"/>
    <w:rsid w:val="004607B8"/>
    <w:rsid w:val="00466D9E"/>
    <w:rsid w:val="0047077D"/>
    <w:rsid w:val="0047078B"/>
    <w:rsid w:val="00472F17"/>
    <w:rsid w:val="00474468"/>
    <w:rsid w:val="00474C48"/>
    <w:rsid w:val="00475AAD"/>
    <w:rsid w:val="00483207"/>
    <w:rsid w:val="00485EDD"/>
    <w:rsid w:val="00487E81"/>
    <w:rsid w:val="004915DD"/>
    <w:rsid w:val="0049279F"/>
    <w:rsid w:val="00495EFF"/>
    <w:rsid w:val="00496465"/>
    <w:rsid w:val="004A38BF"/>
    <w:rsid w:val="004A521D"/>
    <w:rsid w:val="004B1564"/>
    <w:rsid w:val="004B2352"/>
    <w:rsid w:val="004B7802"/>
    <w:rsid w:val="004C190B"/>
    <w:rsid w:val="004C197D"/>
    <w:rsid w:val="004C66D6"/>
    <w:rsid w:val="004C7C9B"/>
    <w:rsid w:val="004D7543"/>
    <w:rsid w:val="004E5790"/>
    <w:rsid w:val="004E5C6E"/>
    <w:rsid w:val="004E7706"/>
    <w:rsid w:val="004F0BB4"/>
    <w:rsid w:val="004F243C"/>
    <w:rsid w:val="004F54F6"/>
    <w:rsid w:val="004F6F2C"/>
    <w:rsid w:val="00503136"/>
    <w:rsid w:val="00505849"/>
    <w:rsid w:val="005067F6"/>
    <w:rsid w:val="00513825"/>
    <w:rsid w:val="00514F3C"/>
    <w:rsid w:val="005174F1"/>
    <w:rsid w:val="00517C9F"/>
    <w:rsid w:val="00520AE7"/>
    <w:rsid w:val="00522201"/>
    <w:rsid w:val="00522EF6"/>
    <w:rsid w:val="00525D4C"/>
    <w:rsid w:val="00534F5B"/>
    <w:rsid w:val="005359C2"/>
    <w:rsid w:val="00543739"/>
    <w:rsid w:val="00545E60"/>
    <w:rsid w:val="00551A5C"/>
    <w:rsid w:val="00556951"/>
    <w:rsid w:val="005614B9"/>
    <w:rsid w:val="0056159A"/>
    <w:rsid w:val="00576937"/>
    <w:rsid w:val="00584486"/>
    <w:rsid w:val="0058466E"/>
    <w:rsid w:val="00585CB9"/>
    <w:rsid w:val="00586AED"/>
    <w:rsid w:val="00587AC6"/>
    <w:rsid w:val="00587EE1"/>
    <w:rsid w:val="005905F1"/>
    <w:rsid w:val="005A171C"/>
    <w:rsid w:val="005A2919"/>
    <w:rsid w:val="005B0899"/>
    <w:rsid w:val="005B3657"/>
    <w:rsid w:val="005B720D"/>
    <w:rsid w:val="005B7BB7"/>
    <w:rsid w:val="005C014D"/>
    <w:rsid w:val="005C0D87"/>
    <w:rsid w:val="005C153C"/>
    <w:rsid w:val="005C1FF4"/>
    <w:rsid w:val="005C5169"/>
    <w:rsid w:val="005C6971"/>
    <w:rsid w:val="005C6E94"/>
    <w:rsid w:val="005D4428"/>
    <w:rsid w:val="005D5493"/>
    <w:rsid w:val="005D6E80"/>
    <w:rsid w:val="005E0CE6"/>
    <w:rsid w:val="005E4D27"/>
    <w:rsid w:val="005E59E6"/>
    <w:rsid w:val="005E63F3"/>
    <w:rsid w:val="005E672D"/>
    <w:rsid w:val="005F0CB7"/>
    <w:rsid w:val="005F161A"/>
    <w:rsid w:val="005F3224"/>
    <w:rsid w:val="00602028"/>
    <w:rsid w:val="006135E8"/>
    <w:rsid w:val="00614CC5"/>
    <w:rsid w:val="0061569B"/>
    <w:rsid w:val="006208AB"/>
    <w:rsid w:val="00622BB1"/>
    <w:rsid w:val="0063533A"/>
    <w:rsid w:val="00636DC7"/>
    <w:rsid w:val="00641745"/>
    <w:rsid w:val="00641B09"/>
    <w:rsid w:val="00642AFD"/>
    <w:rsid w:val="00644B3A"/>
    <w:rsid w:val="00645D96"/>
    <w:rsid w:val="00661CCF"/>
    <w:rsid w:val="00663FD1"/>
    <w:rsid w:val="006656D4"/>
    <w:rsid w:val="00666313"/>
    <w:rsid w:val="00666FC0"/>
    <w:rsid w:val="0067160D"/>
    <w:rsid w:val="00677B0F"/>
    <w:rsid w:val="006814F3"/>
    <w:rsid w:val="00682269"/>
    <w:rsid w:val="006850FF"/>
    <w:rsid w:val="00691041"/>
    <w:rsid w:val="00697389"/>
    <w:rsid w:val="006A0402"/>
    <w:rsid w:val="006A5A23"/>
    <w:rsid w:val="006B24BB"/>
    <w:rsid w:val="006B2FD2"/>
    <w:rsid w:val="006B3484"/>
    <w:rsid w:val="006C2BD5"/>
    <w:rsid w:val="006D118D"/>
    <w:rsid w:val="006D4553"/>
    <w:rsid w:val="006D62E0"/>
    <w:rsid w:val="006E0A6B"/>
    <w:rsid w:val="006E176B"/>
    <w:rsid w:val="006E2C4D"/>
    <w:rsid w:val="006E41F6"/>
    <w:rsid w:val="006E4D6D"/>
    <w:rsid w:val="006E6F8D"/>
    <w:rsid w:val="006E744E"/>
    <w:rsid w:val="006F6019"/>
    <w:rsid w:val="00700FA3"/>
    <w:rsid w:val="007054B6"/>
    <w:rsid w:val="007150AB"/>
    <w:rsid w:val="00723546"/>
    <w:rsid w:val="007250A2"/>
    <w:rsid w:val="0072662F"/>
    <w:rsid w:val="00730FD9"/>
    <w:rsid w:val="007339CE"/>
    <w:rsid w:val="00736CC0"/>
    <w:rsid w:val="007375D2"/>
    <w:rsid w:val="007434B7"/>
    <w:rsid w:val="007450C8"/>
    <w:rsid w:val="00745AC8"/>
    <w:rsid w:val="00746A12"/>
    <w:rsid w:val="00757093"/>
    <w:rsid w:val="00761C29"/>
    <w:rsid w:val="0076424C"/>
    <w:rsid w:val="0076549F"/>
    <w:rsid w:val="00765C5E"/>
    <w:rsid w:val="00766395"/>
    <w:rsid w:val="00771A8D"/>
    <w:rsid w:val="0077202A"/>
    <w:rsid w:val="0077743B"/>
    <w:rsid w:val="00777D1E"/>
    <w:rsid w:val="00780033"/>
    <w:rsid w:val="007806AE"/>
    <w:rsid w:val="00783FC8"/>
    <w:rsid w:val="00790D43"/>
    <w:rsid w:val="00792AFF"/>
    <w:rsid w:val="00793162"/>
    <w:rsid w:val="007967E0"/>
    <w:rsid w:val="007A0237"/>
    <w:rsid w:val="007A3AF8"/>
    <w:rsid w:val="007A45AA"/>
    <w:rsid w:val="007A5375"/>
    <w:rsid w:val="007B0131"/>
    <w:rsid w:val="007B11EC"/>
    <w:rsid w:val="007B4C74"/>
    <w:rsid w:val="007C57A4"/>
    <w:rsid w:val="007C5EDA"/>
    <w:rsid w:val="007C6A5F"/>
    <w:rsid w:val="007C7702"/>
    <w:rsid w:val="007C7B55"/>
    <w:rsid w:val="007D1F8D"/>
    <w:rsid w:val="007D2F9B"/>
    <w:rsid w:val="007D300E"/>
    <w:rsid w:val="007D3785"/>
    <w:rsid w:val="007D403B"/>
    <w:rsid w:val="007D4362"/>
    <w:rsid w:val="007D47FC"/>
    <w:rsid w:val="007E363C"/>
    <w:rsid w:val="007F3522"/>
    <w:rsid w:val="007F6D84"/>
    <w:rsid w:val="0080172D"/>
    <w:rsid w:val="0080305C"/>
    <w:rsid w:val="00803900"/>
    <w:rsid w:val="00803CAB"/>
    <w:rsid w:val="00805768"/>
    <w:rsid w:val="00807C70"/>
    <w:rsid w:val="00807D44"/>
    <w:rsid w:val="00812558"/>
    <w:rsid w:val="00812CA4"/>
    <w:rsid w:val="008152FF"/>
    <w:rsid w:val="00817967"/>
    <w:rsid w:val="008251BD"/>
    <w:rsid w:val="008252ED"/>
    <w:rsid w:val="00832649"/>
    <w:rsid w:val="008339F9"/>
    <w:rsid w:val="008377CD"/>
    <w:rsid w:val="0084067C"/>
    <w:rsid w:val="0084105E"/>
    <w:rsid w:val="008432BB"/>
    <w:rsid w:val="008547F0"/>
    <w:rsid w:val="008554B8"/>
    <w:rsid w:val="008609BC"/>
    <w:rsid w:val="0086753E"/>
    <w:rsid w:val="00874D4E"/>
    <w:rsid w:val="00875F8A"/>
    <w:rsid w:val="00880B09"/>
    <w:rsid w:val="00887B12"/>
    <w:rsid w:val="00890CB4"/>
    <w:rsid w:val="0089263F"/>
    <w:rsid w:val="00896D4D"/>
    <w:rsid w:val="00897BB3"/>
    <w:rsid w:val="00897C96"/>
    <w:rsid w:val="008A4B96"/>
    <w:rsid w:val="008A7A8D"/>
    <w:rsid w:val="008B12F5"/>
    <w:rsid w:val="008B1445"/>
    <w:rsid w:val="008B36B4"/>
    <w:rsid w:val="008B5A9A"/>
    <w:rsid w:val="008B5B29"/>
    <w:rsid w:val="008B7EA4"/>
    <w:rsid w:val="008C74AE"/>
    <w:rsid w:val="008D3F4A"/>
    <w:rsid w:val="008D4B30"/>
    <w:rsid w:val="008D4B63"/>
    <w:rsid w:val="008D5106"/>
    <w:rsid w:val="008D530E"/>
    <w:rsid w:val="008E6868"/>
    <w:rsid w:val="008F1B0E"/>
    <w:rsid w:val="008F59C3"/>
    <w:rsid w:val="008F6416"/>
    <w:rsid w:val="00905BBE"/>
    <w:rsid w:val="00907B65"/>
    <w:rsid w:val="00914FFD"/>
    <w:rsid w:val="00915740"/>
    <w:rsid w:val="00915B69"/>
    <w:rsid w:val="00916910"/>
    <w:rsid w:val="009212B0"/>
    <w:rsid w:val="00930096"/>
    <w:rsid w:val="0093081E"/>
    <w:rsid w:val="009318B2"/>
    <w:rsid w:val="00935A49"/>
    <w:rsid w:val="0093601C"/>
    <w:rsid w:val="00936E54"/>
    <w:rsid w:val="00940368"/>
    <w:rsid w:val="00940D74"/>
    <w:rsid w:val="00940E48"/>
    <w:rsid w:val="00942CA6"/>
    <w:rsid w:val="00942DCC"/>
    <w:rsid w:val="00943C39"/>
    <w:rsid w:val="00956C66"/>
    <w:rsid w:val="00967707"/>
    <w:rsid w:val="00974322"/>
    <w:rsid w:val="0098109E"/>
    <w:rsid w:val="00981808"/>
    <w:rsid w:val="00982FE8"/>
    <w:rsid w:val="00983321"/>
    <w:rsid w:val="00985969"/>
    <w:rsid w:val="00987D89"/>
    <w:rsid w:val="00991200"/>
    <w:rsid w:val="00991FEE"/>
    <w:rsid w:val="00992499"/>
    <w:rsid w:val="009924C0"/>
    <w:rsid w:val="00993FD4"/>
    <w:rsid w:val="00995845"/>
    <w:rsid w:val="009A5D21"/>
    <w:rsid w:val="009B0D37"/>
    <w:rsid w:val="009B0E5E"/>
    <w:rsid w:val="009B1A45"/>
    <w:rsid w:val="009B419F"/>
    <w:rsid w:val="009B7ACA"/>
    <w:rsid w:val="009C1E9E"/>
    <w:rsid w:val="009D6B1E"/>
    <w:rsid w:val="009E23BC"/>
    <w:rsid w:val="009E29D8"/>
    <w:rsid w:val="009E3ADD"/>
    <w:rsid w:val="009F0016"/>
    <w:rsid w:val="009F114F"/>
    <w:rsid w:val="009F3778"/>
    <w:rsid w:val="009F411B"/>
    <w:rsid w:val="009F4B10"/>
    <w:rsid w:val="009F506E"/>
    <w:rsid w:val="009F5E95"/>
    <w:rsid w:val="00A013DD"/>
    <w:rsid w:val="00A03937"/>
    <w:rsid w:val="00A04980"/>
    <w:rsid w:val="00A05338"/>
    <w:rsid w:val="00A067FE"/>
    <w:rsid w:val="00A12F7D"/>
    <w:rsid w:val="00A1491E"/>
    <w:rsid w:val="00A15ACA"/>
    <w:rsid w:val="00A241CA"/>
    <w:rsid w:val="00A256B3"/>
    <w:rsid w:val="00A25EAF"/>
    <w:rsid w:val="00A31B5D"/>
    <w:rsid w:val="00A34A44"/>
    <w:rsid w:val="00A45B80"/>
    <w:rsid w:val="00A52184"/>
    <w:rsid w:val="00A6214E"/>
    <w:rsid w:val="00A625B6"/>
    <w:rsid w:val="00A638E1"/>
    <w:rsid w:val="00A67C25"/>
    <w:rsid w:val="00A729BF"/>
    <w:rsid w:val="00A7308F"/>
    <w:rsid w:val="00A73162"/>
    <w:rsid w:val="00A73344"/>
    <w:rsid w:val="00A73A88"/>
    <w:rsid w:val="00A750E8"/>
    <w:rsid w:val="00A75C74"/>
    <w:rsid w:val="00A80423"/>
    <w:rsid w:val="00A84072"/>
    <w:rsid w:val="00A8451E"/>
    <w:rsid w:val="00A84604"/>
    <w:rsid w:val="00A8650D"/>
    <w:rsid w:val="00A90F04"/>
    <w:rsid w:val="00A91B49"/>
    <w:rsid w:val="00A922A7"/>
    <w:rsid w:val="00A94538"/>
    <w:rsid w:val="00A954AC"/>
    <w:rsid w:val="00A9699A"/>
    <w:rsid w:val="00A97D06"/>
    <w:rsid w:val="00AA3027"/>
    <w:rsid w:val="00AA3A9F"/>
    <w:rsid w:val="00AA587F"/>
    <w:rsid w:val="00AB2249"/>
    <w:rsid w:val="00AB58B1"/>
    <w:rsid w:val="00AB675C"/>
    <w:rsid w:val="00AC5E43"/>
    <w:rsid w:val="00AD328A"/>
    <w:rsid w:val="00AD3FAD"/>
    <w:rsid w:val="00AD4EF6"/>
    <w:rsid w:val="00AD5204"/>
    <w:rsid w:val="00AD56ED"/>
    <w:rsid w:val="00AE6E2F"/>
    <w:rsid w:val="00AE7B67"/>
    <w:rsid w:val="00AF00A0"/>
    <w:rsid w:val="00AF51D6"/>
    <w:rsid w:val="00B00787"/>
    <w:rsid w:val="00B01B2E"/>
    <w:rsid w:val="00B053CB"/>
    <w:rsid w:val="00B0651C"/>
    <w:rsid w:val="00B14F94"/>
    <w:rsid w:val="00B15B77"/>
    <w:rsid w:val="00B1627D"/>
    <w:rsid w:val="00B170C9"/>
    <w:rsid w:val="00B22B96"/>
    <w:rsid w:val="00B25B1D"/>
    <w:rsid w:val="00B34CD9"/>
    <w:rsid w:val="00B34D21"/>
    <w:rsid w:val="00B34F31"/>
    <w:rsid w:val="00B3551E"/>
    <w:rsid w:val="00B371CD"/>
    <w:rsid w:val="00B37765"/>
    <w:rsid w:val="00B4340E"/>
    <w:rsid w:val="00B4627B"/>
    <w:rsid w:val="00B46F02"/>
    <w:rsid w:val="00B5050E"/>
    <w:rsid w:val="00B53972"/>
    <w:rsid w:val="00B5480E"/>
    <w:rsid w:val="00B606AC"/>
    <w:rsid w:val="00B621F0"/>
    <w:rsid w:val="00B667D2"/>
    <w:rsid w:val="00B73AA0"/>
    <w:rsid w:val="00B759E0"/>
    <w:rsid w:val="00B802BE"/>
    <w:rsid w:val="00B80B65"/>
    <w:rsid w:val="00B84729"/>
    <w:rsid w:val="00B91AD2"/>
    <w:rsid w:val="00B96020"/>
    <w:rsid w:val="00B961F9"/>
    <w:rsid w:val="00B96C96"/>
    <w:rsid w:val="00BA52B8"/>
    <w:rsid w:val="00BA74C0"/>
    <w:rsid w:val="00BB18D8"/>
    <w:rsid w:val="00BB22BF"/>
    <w:rsid w:val="00BB5E79"/>
    <w:rsid w:val="00BC2635"/>
    <w:rsid w:val="00BC3078"/>
    <w:rsid w:val="00BC76A7"/>
    <w:rsid w:val="00BD1B8D"/>
    <w:rsid w:val="00BD6481"/>
    <w:rsid w:val="00BD7B3F"/>
    <w:rsid w:val="00BE4902"/>
    <w:rsid w:val="00BE4F35"/>
    <w:rsid w:val="00BF0710"/>
    <w:rsid w:val="00C065CA"/>
    <w:rsid w:val="00C07B84"/>
    <w:rsid w:val="00C10B03"/>
    <w:rsid w:val="00C11FE2"/>
    <w:rsid w:val="00C12B1C"/>
    <w:rsid w:val="00C14D89"/>
    <w:rsid w:val="00C1592B"/>
    <w:rsid w:val="00C15FB4"/>
    <w:rsid w:val="00C20A4D"/>
    <w:rsid w:val="00C20EA9"/>
    <w:rsid w:val="00C220B4"/>
    <w:rsid w:val="00C22D83"/>
    <w:rsid w:val="00C23264"/>
    <w:rsid w:val="00C23C68"/>
    <w:rsid w:val="00C27DD2"/>
    <w:rsid w:val="00C32EDC"/>
    <w:rsid w:val="00C34C63"/>
    <w:rsid w:val="00C40876"/>
    <w:rsid w:val="00C41376"/>
    <w:rsid w:val="00C4194A"/>
    <w:rsid w:val="00C45E97"/>
    <w:rsid w:val="00C515A2"/>
    <w:rsid w:val="00C51D9A"/>
    <w:rsid w:val="00C5601B"/>
    <w:rsid w:val="00C61BE9"/>
    <w:rsid w:val="00C629A0"/>
    <w:rsid w:val="00C62FC1"/>
    <w:rsid w:val="00C64091"/>
    <w:rsid w:val="00C64378"/>
    <w:rsid w:val="00C64CCC"/>
    <w:rsid w:val="00C762F1"/>
    <w:rsid w:val="00C7794B"/>
    <w:rsid w:val="00C84130"/>
    <w:rsid w:val="00C91924"/>
    <w:rsid w:val="00C92E25"/>
    <w:rsid w:val="00C93078"/>
    <w:rsid w:val="00C955A0"/>
    <w:rsid w:val="00C96EFE"/>
    <w:rsid w:val="00C97ABA"/>
    <w:rsid w:val="00C97B30"/>
    <w:rsid w:val="00CA0BB4"/>
    <w:rsid w:val="00CA1B2A"/>
    <w:rsid w:val="00CA1F8E"/>
    <w:rsid w:val="00CA465D"/>
    <w:rsid w:val="00CA526B"/>
    <w:rsid w:val="00CB2FA8"/>
    <w:rsid w:val="00CB3521"/>
    <w:rsid w:val="00CC4387"/>
    <w:rsid w:val="00CC4470"/>
    <w:rsid w:val="00CC63D6"/>
    <w:rsid w:val="00CD24C5"/>
    <w:rsid w:val="00CD727F"/>
    <w:rsid w:val="00CD7A14"/>
    <w:rsid w:val="00CE730D"/>
    <w:rsid w:val="00CE749B"/>
    <w:rsid w:val="00CF1F26"/>
    <w:rsid w:val="00CF366B"/>
    <w:rsid w:val="00CF3D99"/>
    <w:rsid w:val="00CF551D"/>
    <w:rsid w:val="00D0025F"/>
    <w:rsid w:val="00D13324"/>
    <w:rsid w:val="00D21E44"/>
    <w:rsid w:val="00D33C33"/>
    <w:rsid w:val="00D40C91"/>
    <w:rsid w:val="00D418FD"/>
    <w:rsid w:val="00D41CA2"/>
    <w:rsid w:val="00D50A33"/>
    <w:rsid w:val="00D51AE2"/>
    <w:rsid w:val="00D60027"/>
    <w:rsid w:val="00D60BAC"/>
    <w:rsid w:val="00D61129"/>
    <w:rsid w:val="00D617E7"/>
    <w:rsid w:val="00D67CEF"/>
    <w:rsid w:val="00D715F0"/>
    <w:rsid w:val="00D75D4D"/>
    <w:rsid w:val="00D75F71"/>
    <w:rsid w:val="00D807CC"/>
    <w:rsid w:val="00D812BE"/>
    <w:rsid w:val="00D81766"/>
    <w:rsid w:val="00D817E0"/>
    <w:rsid w:val="00D81840"/>
    <w:rsid w:val="00D854FD"/>
    <w:rsid w:val="00D861F0"/>
    <w:rsid w:val="00D907A1"/>
    <w:rsid w:val="00DA139F"/>
    <w:rsid w:val="00DA2822"/>
    <w:rsid w:val="00DA7655"/>
    <w:rsid w:val="00DB1BEE"/>
    <w:rsid w:val="00DB2B37"/>
    <w:rsid w:val="00DB3176"/>
    <w:rsid w:val="00DB6739"/>
    <w:rsid w:val="00DB7892"/>
    <w:rsid w:val="00DC0114"/>
    <w:rsid w:val="00DD7AC2"/>
    <w:rsid w:val="00DE07B0"/>
    <w:rsid w:val="00DE0A20"/>
    <w:rsid w:val="00DE0DE9"/>
    <w:rsid w:val="00DE5042"/>
    <w:rsid w:val="00DF05DB"/>
    <w:rsid w:val="00DF29E8"/>
    <w:rsid w:val="00E03B75"/>
    <w:rsid w:val="00E03C0E"/>
    <w:rsid w:val="00E0575F"/>
    <w:rsid w:val="00E06046"/>
    <w:rsid w:val="00E06D10"/>
    <w:rsid w:val="00E1091B"/>
    <w:rsid w:val="00E15859"/>
    <w:rsid w:val="00E16A16"/>
    <w:rsid w:val="00E16D19"/>
    <w:rsid w:val="00E17B89"/>
    <w:rsid w:val="00E304F6"/>
    <w:rsid w:val="00E33A5D"/>
    <w:rsid w:val="00E35328"/>
    <w:rsid w:val="00E401B8"/>
    <w:rsid w:val="00E4084D"/>
    <w:rsid w:val="00E40FFC"/>
    <w:rsid w:val="00E432C5"/>
    <w:rsid w:val="00E5292E"/>
    <w:rsid w:val="00E5531E"/>
    <w:rsid w:val="00E567CE"/>
    <w:rsid w:val="00E61CB0"/>
    <w:rsid w:val="00E647CA"/>
    <w:rsid w:val="00E7373B"/>
    <w:rsid w:val="00E73D0A"/>
    <w:rsid w:val="00E758D2"/>
    <w:rsid w:val="00E771D4"/>
    <w:rsid w:val="00E87977"/>
    <w:rsid w:val="00E90852"/>
    <w:rsid w:val="00E94308"/>
    <w:rsid w:val="00E953EB"/>
    <w:rsid w:val="00E95C54"/>
    <w:rsid w:val="00E96507"/>
    <w:rsid w:val="00E97CC0"/>
    <w:rsid w:val="00EA64D9"/>
    <w:rsid w:val="00EA6721"/>
    <w:rsid w:val="00EB3181"/>
    <w:rsid w:val="00EB47B5"/>
    <w:rsid w:val="00EB6355"/>
    <w:rsid w:val="00EB7A9B"/>
    <w:rsid w:val="00EC0AFD"/>
    <w:rsid w:val="00EC12B6"/>
    <w:rsid w:val="00EC32F0"/>
    <w:rsid w:val="00EC3359"/>
    <w:rsid w:val="00EC76F8"/>
    <w:rsid w:val="00EC78FB"/>
    <w:rsid w:val="00ED4D9E"/>
    <w:rsid w:val="00EE7FC4"/>
    <w:rsid w:val="00EF5354"/>
    <w:rsid w:val="00EF561D"/>
    <w:rsid w:val="00F138AA"/>
    <w:rsid w:val="00F15789"/>
    <w:rsid w:val="00F21DD3"/>
    <w:rsid w:val="00F22FA3"/>
    <w:rsid w:val="00F23CD9"/>
    <w:rsid w:val="00F23E14"/>
    <w:rsid w:val="00F27F32"/>
    <w:rsid w:val="00F32ABB"/>
    <w:rsid w:val="00F40C72"/>
    <w:rsid w:val="00F40E84"/>
    <w:rsid w:val="00F44BC6"/>
    <w:rsid w:val="00F505CB"/>
    <w:rsid w:val="00F50D26"/>
    <w:rsid w:val="00F5568B"/>
    <w:rsid w:val="00F55989"/>
    <w:rsid w:val="00F5790B"/>
    <w:rsid w:val="00F605A9"/>
    <w:rsid w:val="00F618E2"/>
    <w:rsid w:val="00F67B1B"/>
    <w:rsid w:val="00F67BDF"/>
    <w:rsid w:val="00F72B9E"/>
    <w:rsid w:val="00F736A8"/>
    <w:rsid w:val="00F809F0"/>
    <w:rsid w:val="00F82A48"/>
    <w:rsid w:val="00F82F0C"/>
    <w:rsid w:val="00F8336B"/>
    <w:rsid w:val="00F84728"/>
    <w:rsid w:val="00F867DA"/>
    <w:rsid w:val="00F8742A"/>
    <w:rsid w:val="00F9276E"/>
    <w:rsid w:val="00F9494C"/>
    <w:rsid w:val="00FA0DFF"/>
    <w:rsid w:val="00FA0FEC"/>
    <w:rsid w:val="00FA1578"/>
    <w:rsid w:val="00FA7935"/>
    <w:rsid w:val="00FB2C06"/>
    <w:rsid w:val="00FB63EF"/>
    <w:rsid w:val="00FC208C"/>
    <w:rsid w:val="00FC27F9"/>
    <w:rsid w:val="00FC47B5"/>
    <w:rsid w:val="00FC6923"/>
    <w:rsid w:val="00FD68D8"/>
    <w:rsid w:val="00FD7DE0"/>
    <w:rsid w:val="00FE0CBC"/>
    <w:rsid w:val="00FF1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BDA4"/>
  <w15:docId w15:val="{834321D6-2DE8-4A4A-BA5B-A6593148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1E"/>
    <w:rPr>
      <w:rFonts w:asciiTheme="minorHAnsi" w:eastAsiaTheme="minorHAnsi" w:hAnsiTheme="minorHAnsi" w:cstheme="minorBidi"/>
      <w:lang w:eastAsia="en-US"/>
    </w:rPr>
  </w:style>
  <w:style w:type="paragraph" w:styleId="Ttulo1">
    <w:name w:val="heading 1"/>
    <w:basedOn w:val="Normal"/>
    <w:next w:val="Normal"/>
    <w:link w:val="Ttulo1Car"/>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Ttulo3">
    <w:name w:val="heading 3"/>
    <w:basedOn w:val="Normal"/>
    <w:next w:val="Normal"/>
    <w:link w:val="Ttulo3Car"/>
    <w:uiPriority w:val="9"/>
    <w:unhideWhenUsed/>
    <w:qFormat/>
    <w:rsid w:val="000273F7"/>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A27D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27D4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550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qFormat/>
    <w:rPr>
      <w:rFonts w:ascii="Times New Roman" w:hAnsi="Times New Roman" w:cs="Times New Roman"/>
      <w:sz w:val="18"/>
      <w:szCs w:val="1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unhideWhenUsed/>
    <w:qFormat/>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s-CL"/>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qFormat/>
    <w:rPr>
      <w:rFonts w:ascii="Times New Roman" w:hAnsi="Times New Roman" w:cs="Times New Roman"/>
      <w:sz w:val="18"/>
      <w:szCs w:val="18"/>
    </w:rPr>
  </w:style>
  <w:style w:type="paragraph" w:styleId="Prrafodelista">
    <w:name w:val="List Paragraph"/>
    <w:basedOn w:val="Normal"/>
    <w:uiPriority w:val="34"/>
    <w:qFormat/>
    <w:pPr>
      <w:ind w:left="720"/>
      <w:contextualSpacing/>
    </w:p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EndNoteBibliographyTitle">
    <w:name w:val="EndNote Bibliography Title"/>
    <w:basedOn w:val="Normal"/>
    <w:link w:val="EndNoteBibliographyTitleCar"/>
    <w:pPr>
      <w:spacing w:after="0"/>
      <w:jc w:val="center"/>
    </w:pPr>
    <w:rPr>
      <w:rFonts w:ascii="Calibri" w:hAnsi="Calibri" w:cs="Calibri"/>
    </w:rPr>
  </w:style>
  <w:style w:type="character" w:customStyle="1" w:styleId="EndNoteBibliographyTitleCar">
    <w:name w:val="EndNote Bibliography Title Car"/>
    <w:basedOn w:val="Fuentedeprrafopredeter"/>
    <w:link w:val="EndNoteBibliographyTitle"/>
    <w:qFormat/>
    <w:rPr>
      <w:rFonts w:eastAsiaTheme="minorHAnsi"/>
      <w:lang w:eastAsia="en-US"/>
    </w:rPr>
  </w:style>
  <w:style w:type="paragraph" w:customStyle="1" w:styleId="EndNoteBibliography">
    <w:name w:val="EndNote Bibliography"/>
    <w:basedOn w:val="Normal"/>
    <w:link w:val="EndNoteBibliographyCar"/>
    <w:pPr>
      <w:spacing w:line="240" w:lineRule="auto"/>
    </w:pPr>
    <w:rPr>
      <w:rFonts w:ascii="Calibri" w:hAnsi="Calibri" w:cs="Calibri"/>
    </w:rPr>
  </w:style>
  <w:style w:type="character" w:customStyle="1" w:styleId="EndNoteBibliographyCar">
    <w:name w:val="EndNote Bibliography Car"/>
    <w:basedOn w:val="Fuentedeprrafopredeter"/>
    <w:link w:val="EndNoteBibliography"/>
    <w:qFormat/>
    <w:rPr>
      <w:rFonts w:eastAsiaTheme="minorHAnsi"/>
      <w:lang w:eastAsia="en-U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styleId="Revisin">
    <w:name w:val="Revision"/>
    <w:hidden/>
    <w:uiPriority w:val="99"/>
    <w:semiHidden/>
    <w:rsid w:val="00FD3378"/>
    <w:pPr>
      <w:spacing w:after="0" w:line="240" w:lineRule="auto"/>
    </w:pPr>
    <w:rPr>
      <w:rFonts w:asciiTheme="minorHAnsi" w:eastAsiaTheme="minorHAnsi" w:hAnsiTheme="minorHAnsi" w:cstheme="minorBidi"/>
      <w:lang w:eastAsia="en-US"/>
    </w:rPr>
  </w:style>
  <w:style w:type="character" w:styleId="Mencinsinresolver">
    <w:name w:val="Unresolved Mention"/>
    <w:basedOn w:val="Fuentedeprrafopredeter"/>
    <w:uiPriority w:val="99"/>
    <w:semiHidden/>
    <w:unhideWhenUsed/>
    <w:rsid w:val="000273F7"/>
    <w:rPr>
      <w:color w:val="605E5C"/>
      <w:shd w:val="clear" w:color="auto" w:fill="E1DFDD"/>
    </w:rPr>
  </w:style>
  <w:style w:type="character" w:customStyle="1" w:styleId="Ttulo3Car">
    <w:name w:val="Título 3 Car"/>
    <w:basedOn w:val="Fuentedeprrafopredeter"/>
    <w:link w:val="Ttulo3"/>
    <w:uiPriority w:val="9"/>
    <w:rsid w:val="000273F7"/>
    <w:rPr>
      <w:rFonts w:asciiTheme="majorHAnsi" w:eastAsiaTheme="majorEastAsia" w:hAnsiTheme="majorHAnsi" w:cstheme="majorBidi"/>
      <w:color w:val="1F3763" w:themeColor="accent1" w:themeShade="7F"/>
      <w:sz w:val="24"/>
      <w:szCs w:val="24"/>
      <w:lang w:eastAsia="en-US"/>
    </w:rPr>
  </w:style>
  <w:style w:type="character" w:customStyle="1" w:styleId="Ttulo2Car">
    <w:name w:val="Título 2 Car"/>
    <w:basedOn w:val="Fuentedeprrafopredeter"/>
    <w:link w:val="Ttulo2"/>
    <w:uiPriority w:val="9"/>
    <w:rsid w:val="00204E43"/>
    <w:rPr>
      <w:rFonts w:asciiTheme="majorHAnsi" w:eastAsiaTheme="majorEastAsia" w:hAnsiTheme="majorHAnsi" w:cstheme="majorBidi"/>
      <w:color w:val="2F5496" w:themeColor="accent1" w:themeShade="BF"/>
      <w:sz w:val="26"/>
      <w:szCs w:val="26"/>
      <w:lang w:val="en-US" w:eastAsia="en-US"/>
    </w:rPr>
  </w:style>
  <w:style w:type="character" w:customStyle="1" w:styleId="Ttulo1Car">
    <w:name w:val="Título 1 Car"/>
    <w:basedOn w:val="Fuentedeprrafopredeter"/>
    <w:link w:val="Ttulo1"/>
    <w:uiPriority w:val="9"/>
    <w:rsid w:val="00BB3857"/>
    <w:rPr>
      <w:rFonts w:asciiTheme="majorHAnsi" w:eastAsiaTheme="majorEastAsia" w:hAnsiTheme="majorHAnsi" w:cstheme="majorBidi"/>
      <w:color w:val="2F5496" w:themeColor="accent1" w:themeShade="BF"/>
      <w:sz w:val="32"/>
      <w:szCs w:val="32"/>
      <w:lang w:eastAsia="en-US"/>
    </w:rPr>
  </w:style>
  <w:style w:type="paragraph" w:customStyle="1" w:styleId="c-bibliographic-informationcitation">
    <w:name w:val="c-bibliographic-information__citation"/>
    <w:basedOn w:val="Normal"/>
    <w:rsid w:val="00791C58"/>
    <w:pPr>
      <w:spacing w:before="100" w:beforeAutospacing="1" w:after="100" w:afterAutospacing="1" w:line="240" w:lineRule="auto"/>
    </w:pPr>
    <w:rPr>
      <w:rFonts w:ascii="Times New Roman" w:eastAsia="Times New Roman" w:hAnsi="Times New Roman" w:cs="Times New Roman"/>
      <w:lang w:eastAsia="es-CL"/>
    </w:rPr>
  </w:style>
  <w:style w:type="table" w:styleId="Tablanormal3">
    <w:name w:val="Plain Table 3"/>
    <w:basedOn w:val="Tablanormal"/>
    <w:uiPriority w:val="43"/>
    <w:rsid w:val="005055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820D65"/>
    <w:rPr>
      <w:rFonts w:ascii="Courier New" w:eastAsia="Times New Roman" w:hAnsi="Courier New" w:cs="Courier New"/>
      <w:sz w:val="20"/>
      <w:szCs w:val="20"/>
    </w:rPr>
  </w:style>
  <w:style w:type="paragraph" w:styleId="Encabezado">
    <w:name w:val="header"/>
    <w:basedOn w:val="Normal"/>
    <w:link w:val="EncabezadoCar"/>
    <w:uiPriority w:val="99"/>
    <w:unhideWhenUsed/>
    <w:rsid w:val="002D59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D59A5"/>
    <w:rPr>
      <w:rFonts w:asciiTheme="minorHAnsi" w:eastAsiaTheme="minorHAnsi" w:hAnsiTheme="minorHAnsi" w:cstheme="minorBidi"/>
      <w:sz w:val="24"/>
      <w:szCs w:val="24"/>
      <w:lang w:eastAsia="en-US"/>
    </w:rPr>
  </w:style>
  <w:style w:type="paragraph" w:styleId="Piedepgina">
    <w:name w:val="footer"/>
    <w:basedOn w:val="Normal"/>
    <w:link w:val="PiedepginaCar"/>
    <w:uiPriority w:val="99"/>
    <w:unhideWhenUsed/>
    <w:rsid w:val="002D59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D59A5"/>
    <w:rPr>
      <w:rFonts w:asciiTheme="minorHAnsi" w:eastAsiaTheme="minorHAnsi" w:hAnsiTheme="minorHAnsi" w:cstheme="minorBidi"/>
      <w:sz w:val="24"/>
      <w:szCs w:val="24"/>
      <w:lang w:eastAsia="en-US"/>
    </w:rPr>
  </w:style>
  <w:style w:type="character" w:customStyle="1" w:styleId="cv-required-accent">
    <w:name w:val="cv-required-accent"/>
    <w:basedOn w:val="Fuentedeprrafopredeter"/>
    <w:rsid w:val="00083B72"/>
  </w:style>
  <w:style w:type="character" w:customStyle="1" w:styleId="Ttulo4Car">
    <w:name w:val="Título 4 Car"/>
    <w:basedOn w:val="Fuentedeprrafopredeter"/>
    <w:link w:val="Ttulo4"/>
    <w:uiPriority w:val="9"/>
    <w:rsid w:val="00A27D48"/>
    <w:rPr>
      <w:rFonts w:asciiTheme="majorHAnsi" w:eastAsiaTheme="majorEastAsia" w:hAnsiTheme="majorHAnsi" w:cstheme="majorBidi"/>
      <w:i/>
      <w:iCs/>
      <w:color w:val="2F5496" w:themeColor="accent1" w:themeShade="BF"/>
      <w:sz w:val="24"/>
      <w:szCs w:val="24"/>
      <w:lang w:eastAsia="en-US"/>
    </w:rPr>
  </w:style>
  <w:style w:type="character" w:customStyle="1" w:styleId="Ttulo5Car">
    <w:name w:val="Título 5 Car"/>
    <w:basedOn w:val="Fuentedeprrafopredeter"/>
    <w:link w:val="Ttulo5"/>
    <w:uiPriority w:val="9"/>
    <w:rsid w:val="00A27D48"/>
    <w:rPr>
      <w:rFonts w:asciiTheme="majorHAnsi" w:eastAsiaTheme="majorEastAsia" w:hAnsiTheme="majorHAnsi" w:cstheme="majorBidi"/>
      <w:color w:val="2F5496" w:themeColor="accent1" w:themeShade="BF"/>
      <w:sz w:val="24"/>
      <w:szCs w:val="24"/>
      <w:lang w:eastAsia="en-US"/>
    </w:rPr>
  </w:style>
  <w:style w:type="character" w:customStyle="1" w:styleId="Ttulo6Car">
    <w:name w:val="Título 6 Car"/>
    <w:basedOn w:val="Fuentedeprrafopredeter"/>
    <w:link w:val="Ttulo6"/>
    <w:uiPriority w:val="9"/>
    <w:rsid w:val="00C55086"/>
    <w:rPr>
      <w:rFonts w:asciiTheme="majorHAnsi" w:eastAsiaTheme="majorEastAsia" w:hAnsiTheme="majorHAnsi" w:cstheme="majorBidi"/>
      <w:color w:val="1F3763" w:themeColor="accent1" w:themeShade="7F"/>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HTMLconformatoprevio">
    <w:name w:val="HTML Preformatted"/>
    <w:basedOn w:val="Normal"/>
    <w:link w:val="HTMLconformatoprevioCar"/>
    <w:uiPriority w:val="99"/>
    <w:semiHidden/>
    <w:unhideWhenUsed/>
    <w:rsid w:val="0001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010D50"/>
    <w:rPr>
      <w:rFonts w:ascii="Courier New" w:eastAsia="Times New Roman" w:hAnsi="Courier New" w:cs="Courier New"/>
      <w:sz w:val="20"/>
      <w:szCs w:val="20"/>
      <w:lang w:val="es-CL"/>
    </w:rPr>
  </w:style>
  <w:style w:type="paragraph" w:styleId="Lista">
    <w:name w:val="List"/>
    <w:basedOn w:val="Normal"/>
    <w:uiPriority w:val="99"/>
    <w:unhideWhenUsed/>
    <w:rsid w:val="006B24BB"/>
    <w:pPr>
      <w:ind w:left="283" w:hanging="283"/>
      <w:contextualSpacing/>
    </w:pPr>
    <w:rPr>
      <w:lang w:val="es-CL"/>
    </w:rPr>
  </w:style>
  <w:style w:type="paragraph" w:styleId="Descripcin">
    <w:name w:val="caption"/>
    <w:basedOn w:val="Normal"/>
    <w:next w:val="Normal"/>
    <w:uiPriority w:val="35"/>
    <w:unhideWhenUsed/>
    <w:qFormat/>
    <w:rsid w:val="006B24BB"/>
    <w:pPr>
      <w:spacing w:after="200" w:line="240" w:lineRule="auto"/>
    </w:pPr>
    <w:rPr>
      <w:i/>
      <w:iCs/>
      <w:color w:val="44546A" w:themeColor="text2"/>
      <w:sz w:val="18"/>
      <w:szCs w:val="18"/>
      <w:lang w:val="es-CL"/>
    </w:rPr>
  </w:style>
  <w:style w:type="paragraph" w:styleId="Textoindependiente">
    <w:name w:val="Body Text"/>
    <w:basedOn w:val="Normal"/>
    <w:link w:val="TextoindependienteCar"/>
    <w:uiPriority w:val="99"/>
    <w:unhideWhenUsed/>
    <w:rsid w:val="006B24BB"/>
    <w:pPr>
      <w:spacing w:after="120"/>
    </w:pPr>
    <w:rPr>
      <w:lang w:val="es-CL"/>
    </w:rPr>
  </w:style>
  <w:style w:type="character" w:customStyle="1" w:styleId="TextoindependienteCar">
    <w:name w:val="Texto independiente Car"/>
    <w:basedOn w:val="Fuentedeprrafopredeter"/>
    <w:link w:val="Textoindependiente"/>
    <w:uiPriority w:val="99"/>
    <w:rsid w:val="006B24BB"/>
    <w:rPr>
      <w:rFonts w:asciiTheme="minorHAnsi" w:eastAsiaTheme="minorHAnsi" w:hAnsiTheme="minorHAnsi" w:cstheme="minorBidi"/>
      <w:lang w:val="es-CL" w:eastAsia="en-US"/>
    </w:rPr>
  </w:style>
  <w:style w:type="character" w:customStyle="1" w:styleId="normaltextrun">
    <w:name w:val="normaltextrun"/>
    <w:basedOn w:val="Fuentedeprrafopredeter"/>
    <w:rsid w:val="0009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8787">
      <w:bodyDiv w:val="1"/>
      <w:marLeft w:val="0"/>
      <w:marRight w:val="0"/>
      <w:marTop w:val="0"/>
      <w:marBottom w:val="0"/>
      <w:divBdr>
        <w:top w:val="none" w:sz="0" w:space="0" w:color="auto"/>
        <w:left w:val="none" w:sz="0" w:space="0" w:color="auto"/>
        <w:bottom w:val="none" w:sz="0" w:space="0" w:color="auto"/>
        <w:right w:val="none" w:sz="0" w:space="0" w:color="auto"/>
      </w:divBdr>
    </w:div>
    <w:div w:id="157695417">
      <w:bodyDiv w:val="1"/>
      <w:marLeft w:val="0"/>
      <w:marRight w:val="0"/>
      <w:marTop w:val="0"/>
      <w:marBottom w:val="0"/>
      <w:divBdr>
        <w:top w:val="none" w:sz="0" w:space="0" w:color="auto"/>
        <w:left w:val="none" w:sz="0" w:space="0" w:color="auto"/>
        <w:bottom w:val="none" w:sz="0" w:space="0" w:color="auto"/>
        <w:right w:val="none" w:sz="0" w:space="0" w:color="auto"/>
      </w:divBdr>
    </w:div>
    <w:div w:id="175927361">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218367271">
      <w:bodyDiv w:val="1"/>
      <w:marLeft w:val="0"/>
      <w:marRight w:val="0"/>
      <w:marTop w:val="0"/>
      <w:marBottom w:val="0"/>
      <w:divBdr>
        <w:top w:val="none" w:sz="0" w:space="0" w:color="auto"/>
        <w:left w:val="none" w:sz="0" w:space="0" w:color="auto"/>
        <w:bottom w:val="none" w:sz="0" w:space="0" w:color="auto"/>
        <w:right w:val="none" w:sz="0" w:space="0" w:color="auto"/>
      </w:divBdr>
    </w:div>
    <w:div w:id="266694665">
      <w:bodyDiv w:val="1"/>
      <w:marLeft w:val="0"/>
      <w:marRight w:val="0"/>
      <w:marTop w:val="0"/>
      <w:marBottom w:val="0"/>
      <w:divBdr>
        <w:top w:val="none" w:sz="0" w:space="0" w:color="auto"/>
        <w:left w:val="none" w:sz="0" w:space="0" w:color="auto"/>
        <w:bottom w:val="none" w:sz="0" w:space="0" w:color="auto"/>
        <w:right w:val="none" w:sz="0" w:space="0" w:color="auto"/>
      </w:divBdr>
    </w:div>
    <w:div w:id="307789557">
      <w:bodyDiv w:val="1"/>
      <w:marLeft w:val="0"/>
      <w:marRight w:val="0"/>
      <w:marTop w:val="0"/>
      <w:marBottom w:val="0"/>
      <w:divBdr>
        <w:top w:val="none" w:sz="0" w:space="0" w:color="auto"/>
        <w:left w:val="none" w:sz="0" w:space="0" w:color="auto"/>
        <w:bottom w:val="none" w:sz="0" w:space="0" w:color="auto"/>
        <w:right w:val="none" w:sz="0" w:space="0" w:color="auto"/>
      </w:divBdr>
    </w:div>
    <w:div w:id="316154435">
      <w:bodyDiv w:val="1"/>
      <w:marLeft w:val="0"/>
      <w:marRight w:val="0"/>
      <w:marTop w:val="0"/>
      <w:marBottom w:val="0"/>
      <w:divBdr>
        <w:top w:val="none" w:sz="0" w:space="0" w:color="auto"/>
        <w:left w:val="none" w:sz="0" w:space="0" w:color="auto"/>
        <w:bottom w:val="none" w:sz="0" w:space="0" w:color="auto"/>
        <w:right w:val="none" w:sz="0" w:space="0" w:color="auto"/>
      </w:divBdr>
      <w:divsChild>
        <w:div w:id="1071007462">
          <w:blockQuote w:val="1"/>
          <w:marLeft w:val="720"/>
          <w:marRight w:val="720"/>
          <w:marTop w:val="100"/>
          <w:marBottom w:val="100"/>
          <w:divBdr>
            <w:top w:val="none" w:sz="0" w:space="0" w:color="auto"/>
            <w:left w:val="single" w:sz="24" w:space="0" w:color="CFD5E4"/>
            <w:bottom w:val="none" w:sz="0" w:space="0" w:color="auto"/>
            <w:right w:val="none" w:sz="0" w:space="0" w:color="auto"/>
          </w:divBdr>
        </w:div>
      </w:divsChild>
    </w:div>
    <w:div w:id="328337371">
      <w:bodyDiv w:val="1"/>
      <w:marLeft w:val="0"/>
      <w:marRight w:val="0"/>
      <w:marTop w:val="0"/>
      <w:marBottom w:val="0"/>
      <w:divBdr>
        <w:top w:val="none" w:sz="0" w:space="0" w:color="auto"/>
        <w:left w:val="none" w:sz="0" w:space="0" w:color="auto"/>
        <w:bottom w:val="none" w:sz="0" w:space="0" w:color="auto"/>
        <w:right w:val="none" w:sz="0" w:space="0" w:color="auto"/>
      </w:divBdr>
    </w:div>
    <w:div w:id="383674723">
      <w:bodyDiv w:val="1"/>
      <w:marLeft w:val="0"/>
      <w:marRight w:val="0"/>
      <w:marTop w:val="0"/>
      <w:marBottom w:val="0"/>
      <w:divBdr>
        <w:top w:val="none" w:sz="0" w:space="0" w:color="auto"/>
        <w:left w:val="none" w:sz="0" w:space="0" w:color="auto"/>
        <w:bottom w:val="none" w:sz="0" w:space="0" w:color="auto"/>
        <w:right w:val="none" w:sz="0" w:space="0" w:color="auto"/>
      </w:divBdr>
    </w:div>
    <w:div w:id="417599626">
      <w:bodyDiv w:val="1"/>
      <w:marLeft w:val="0"/>
      <w:marRight w:val="0"/>
      <w:marTop w:val="0"/>
      <w:marBottom w:val="0"/>
      <w:divBdr>
        <w:top w:val="none" w:sz="0" w:space="0" w:color="auto"/>
        <w:left w:val="none" w:sz="0" w:space="0" w:color="auto"/>
        <w:bottom w:val="none" w:sz="0" w:space="0" w:color="auto"/>
        <w:right w:val="none" w:sz="0" w:space="0" w:color="auto"/>
      </w:divBdr>
    </w:div>
    <w:div w:id="417989258">
      <w:bodyDiv w:val="1"/>
      <w:marLeft w:val="0"/>
      <w:marRight w:val="0"/>
      <w:marTop w:val="0"/>
      <w:marBottom w:val="0"/>
      <w:divBdr>
        <w:top w:val="none" w:sz="0" w:space="0" w:color="auto"/>
        <w:left w:val="none" w:sz="0" w:space="0" w:color="auto"/>
        <w:bottom w:val="none" w:sz="0" w:space="0" w:color="auto"/>
        <w:right w:val="none" w:sz="0" w:space="0" w:color="auto"/>
      </w:divBdr>
    </w:div>
    <w:div w:id="452289600">
      <w:bodyDiv w:val="1"/>
      <w:marLeft w:val="0"/>
      <w:marRight w:val="0"/>
      <w:marTop w:val="0"/>
      <w:marBottom w:val="0"/>
      <w:divBdr>
        <w:top w:val="none" w:sz="0" w:space="0" w:color="auto"/>
        <w:left w:val="none" w:sz="0" w:space="0" w:color="auto"/>
        <w:bottom w:val="none" w:sz="0" w:space="0" w:color="auto"/>
        <w:right w:val="none" w:sz="0" w:space="0" w:color="auto"/>
      </w:divBdr>
    </w:div>
    <w:div w:id="475495811">
      <w:bodyDiv w:val="1"/>
      <w:marLeft w:val="0"/>
      <w:marRight w:val="0"/>
      <w:marTop w:val="0"/>
      <w:marBottom w:val="0"/>
      <w:divBdr>
        <w:top w:val="none" w:sz="0" w:space="0" w:color="auto"/>
        <w:left w:val="none" w:sz="0" w:space="0" w:color="auto"/>
        <w:bottom w:val="none" w:sz="0" w:space="0" w:color="auto"/>
        <w:right w:val="none" w:sz="0" w:space="0" w:color="auto"/>
      </w:divBdr>
    </w:div>
    <w:div w:id="522012018">
      <w:bodyDiv w:val="1"/>
      <w:marLeft w:val="0"/>
      <w:marRight w:val="0"/>
      <w:marTop w:val="0"/>
      <w:marBottom w:val="0"/>
      <w:divBdr>
        <w:top w:val="none" w:sz="0" w:space="0" w:color="auto"/>
        <w:left w:val="none" w:sz="0" w:space="0" w:color="auto"/>
        <w:bottom w:val="none" w:sz="0" w:space="0" w:color="auto"/>
        <w:right w:val="none" w:sz="0" w:space="0" w:color="auto"/>
      </w:divBdr>
      <w:divsChild>
        <w:div w:id="370569511">
          <w:marLeft w:val="0"/>
          <w:marRight w:val="0"/>
          <w:marTop w:val="90"/>
          <w:marBottom w:val="0"/>
          <w:divBdr>
            <w:top w:val="none" w:sz="0" w:space="0" w:color="auto"/>
            <w:left w:val="none" w:sz="0" w:space="0" w:color="auto"/>
            <w:bottom w:val="none" w:sz="0" w:space="0" w:color="auto"/>
            <w:right w:val="none" w:sz="0" w:space="0" w:color="auto"/>
          </w:divBdr>
          <w:divsChild>
            <w:div w:id="693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80">
      <w:bodyDiv w:val="1"/>
      <w:marLeft w:val="0"/>
      <w:marRight w:val="0"/>
      <w:marTop w:val="0"/>
      <w:marBottom w:val="0"/>
      <w:divBdr>
        <w:top w:val="none" w:sz="0" w:space="0" w:color="auto"/>
        <w:left w:val="none" w:sz="0" w:space="0" w:color="auto"/>
        <w:bottom w:val="none" w:sz="0" w:space="0" w:color="auto"/>
        <w:right w:val="none" w:sz="0" w:space="0" w:color="auto"/>
      </w:divBdr>
    </w:div>
    <w:div w:id="538467982">
      <w:bodyDiv w:val="1"/>
      <w:marLeft w:val="0"/>
      <w:marRight w:val="0"/>
      <w:marTop w:val="0"/>
      <w:marBottom w:val="0"/>
      <w:divBdr>
        <w:top w:val="none" w:sz="0" w:space="0" w:color="auto"/>
        <w:left w:val="none" w:sz="0" w:space="0" w:color="auto"/>
        <w:bottom w:val="none" w:sz="0" w:space="0" w:color="auto"/>
        <w:right w:val="none" w:sz="0" w:space="0" w:color="auto"/>
      </w:divBdr>
    </w:div>
    <w:div w:id="557978038">
      <w:bodyDiv w:val="1"/>
      <w:marLeft w:val="0"/>
      <w:marRight w:val="0"/>
      <w:marTop w:val="0"/>
      <w:marBottom w:val="0"/>
      <w:divBdr>
        <w:top w:val="none" w:sz="0" w:space="0" w:color="auto"/>
        <w:left w:val="none" w:sz="0" w:space="0" w:color="auto"/>
        <w:bottom w:val="none" w:sz="0" w:space="0" w:color="auto"/>
        <w:right w:val="none" w:sz="0" w:space="0" w:color="auto"/>
      </w:divBdr>
    </w:div>
    <w:div w:id="572744202">
      <w:bodyDiv w:val="1"/>
      <w:marLeft w:val="0"/>
      <w:marRight w:val="0"/>
      <w:marTop w:val="0"/>
      <w:marBottom w:val="0"/>
      <w:divBdr>
        <w:top w:val="none" w:sz="0" w:space="0" w:color="auto"/>
        <w:left w:val="none" w:sz="0" w:space="0" w:color="auto"/>
        <w:bottom w:val="none" w:sz="0" w:space="0" w:color="auto"/>
        <w:right w:val="none" w:sz="0" w:space="0" w:color="auto"/>
      </w:divBdr>
    </w:div>
    <w:div w:id="617834102">
      <w:bodyDiv w:val="1"/>
      <w:marLeft w:val="0"/>
      <w:marRight w:val="0"/>
      <w:marTop w:val="0"/>
      <w:marBottom w:val="0"/>
      <w:divBdr>
        <w:top w:val="none" w:sz="0" w:space="0" w:color="auto"/>
        <w:left w:val="none" w:sz="0" w:space="0" w:color="auto"/>
        <w:bottom w:val="none" w:sz="0" w:space="0" w:color="auto"/>
        <w:right w:val="none" w:sz="0" w:space="0" w:color="auto"/>
      </w:divBdr>
    </w:div>
    <w:div w:id="631331714">
      <w:bodyDiv w:val="1"/>
      <w:marLeft w:val="0"/>
      <w:marRight w:val="0"/>
      <w:marTop w:val="0"/>
      <w:marBottom w:val="0"/>
      <w:divBdr>
        <w:top w:val="none" w:sz="0" w:space="0" w:color="auto"/>
        <w:left w:val="none" w:sz="0" w:space="0" w:color="auto"/>
        <w:bottom w:val="none" w:sz="0" w:space="0" w:color="auto"/>
        <w:right w:val="none" w:sz="0" w:space="0" w:color="auto"/>
      </w:divBdr>
    </w:div>
    <w:div w:id="896668173">
      <w:bodyDiv w:val="1"/>
      <w:marLeft w:val="0"/>
      <w:marRight w:val="0"/>
      <w:marTop w:val="0"/>
      <w:marBottom w:val="0"/>
      <w:divBdr>
        <w:top w:val="none" w:sz="0" w:space="0" w:color="auto"/>
        <w:left w:val="none" w:sz="0" w:space="0" w:color="auto"/>
        <w:bottom w:val="none" w:sz="0" w:space="0" w:color="auto"/>
        <w:right w:val="none" w:sz="0" w:space="0" w:color="auto"/>
      </w:divBdr>
      <w:divsChild>
        <w:div w:id="450780058">
          <w:marLeft w:val="-225"/>
          <w:marRight w:val="-225"/>
          <w:marTop w:val="0"/>
          <w:marBottom w:val="0"/>
          <w:divBdr>
            <w:top w:val="none" w:sz="0" w:space="0" w:color="auto"/>
            <w:left w:val="none" w:sz="0" w:space="0" w:color="auto"/>
            <w:bottom w:val="none" w:sz="0" w:space="0" w:color="auto"/>
            <w:right w:val="none" w:sz="0" w:space="0" w:color="auto"/>
          </w:divBdr>
          <w:divsChild>
            <w:div w:id="10266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222">
      <w:bodyDiv w:val="1"/>
      <w:marLeft w:val="0"/>
      <w:marRight w:val="0"/>
      <w:marTop w:val="0"/>
      <w:marBottom w:val="0"/>
      <w:divBdr>
        <w:top w:val="none" w:sz="0" w:space="0" w:color="auto"/>
        <w:left w:val="none" w:sz="0" w:space="0" w:color="auto"/>
        <w:bottom w:val="none" w:sz="0" w:space="0" w:color="auto"/>
        <w:right w:val="none" w:sz="0" w:space="0" w:color="auto"/>
      </w:divBdr>
    </w:div>
    <w:div w:id="1100561467">
      <w:bodyDiv w:val="1"/>
      <w:marLeft w:val="0"/>
      <w:marRight w:val="0"/>
      <w:marTop w:val="0"/>
      <w:marBottom w:val="0"/>
      <w:divBdr>
        <w:top w:val="none" w:sz="0" w:space="0" w:color="auto"/>
        <w:left w:val="none" w:sz="0" w:space="0" w:color="auto"/>
        <w:bottom w:val="none" w:sz="0" w:space="0" w:color="auto"/>
        <w:right w:val="none" w:sz="0" w:space="0" w:color="auto"/>
      </w:divBdr>
    </w:div>
    <w:div w:id="1107000318">
      <w:bodyDiv w:val="1"/>
      <w:marLeft w:val="0"/>
      <w:marRight w:val="0"/>
      <w:marTop w:val="0"/>
      <w:marBottom w:val="0"/>
      <w:divBdr>
        <w:top w:val="none" w:sz="0" w:space="0" w:color="auto"/>
        <w:left w:val="none" w:sz="0" w:space="0" w:color="auto"/>
        <w:bottom w:val="none" w:sz="0" w:space="0" w:color="auto"/>
        <w:right w:val="none" w:sz="0" w:space="0" w:color="auto"/>
      </w:divBdr>
    </w:div>
    <w:div w:id="1110079748">
      <w:bodyDiv w:val="1"/>
      <w:marLeft w:val="0"/>
      <w:marRight w:val="0"/>
      <w:marTop w:val="0"/>
      <w:marBottom w:val="0"/>
      <w:divBdr>
        <w:top w:val="none" w:sz="0" w:space="0" w:color="auto"/>
        <w:left w:val="none" w:sz="0" w:space="0" w:color="auto"/>
        <w:bottom w:val="none" w:sz="0" w:space="0" w:color="auto"/>
        <w:right w:val="none" w:sz="0" w:space="0" w:color="auto"/>
      </w:divBdr>
    </w:div>
    <w:div w:id="1156536219">
      <w:bodyDiv w:val="1"/>
      <w:marLeft w:val="0"/>
      <w:marRight w:val="0"/>
      <w:marTop w:val="0"/>
      <w:marBottom w:val="0"/>
      <w:divBdr>
        <w:top w:val="none" w:sz="0" w:space="0" w:color="auto"/>
        <w:left w:val="none" w:sz="0" w:space="0" w:color="auto"/>
        <w:bottom w:val="none" w:sz="0" w:space="0" w:color="auto"/>
        <w:right w:val="none" w:sz="0" w:space="0" w:color="auto"/>
      </w:divBdr>
    </w:div>
    <w:div w:id="1217816009">
      <w:bodyDiv w:val="1"/>
      <w:marLeft w:val="0"/>
      <w:marRight w:val="0"/>
      <w:marTop w:val="0"/>
      <w:marBottom w:val="0"/>
      <w:divBdr>
        <w:top w:val="none" w:sz="0" w:space="0" w:color="auto"/>
        <w:left w:val="none" w:sz="0" w:space="0" w:color="auto"/>
        <w:bottom w:val="none" w:sz="0" w:space="0" w:color="auto"/>
        <w:right w:val="none" w:sz="0" w:space="0" w:color="auto"/>
      </w:divBdr>
      <w:divsChild>
        <w:div w:id="2016152998">
          <w:marLeft w:val="0"/>
          <w:marRight w:val="0"/>
          <w:marTop w:val="0"/>
          <w:marBottom w:val="0"/>
          <w:divBdr>
            <w:top w:val="none" w:sz="0" w:space="0" w:color="auto"/>
            <w:left w:val="none" w:sz="0" w:space="0" w:color="auto"/>
            <w:bottom w:val="none" w:sz="0" w:space="0" w:color="auto"/>
            <w:right w:val="none" w:sz="0" w:space="0" w:color="auto"/>
          </w:divBdr>
        </w:div>
      </w:divsChild>
    </w:div>
    <w:div w:id="1228079148">
      <w:bodyDiv w:val="1"/>
      <w:marLeft w:val="0"/>
      <w:marRight w:val="0"/>
      <w:marTop w:val="0"/>
      <w:marBottom w:val="0"/>
      <w:divBdr>
        <w:top w:val="none" w:sz="0" w:space="0" w:color="auto"/>
        <w:left w:val="none" w:sz="0" w:space="0" w:color="auto"/>
        <w:bottom w:val="none" w:sz="0" w:space="0" w:color="auto"/>
        <w:right w:val="none" w:sz="0" w:space="0" w:color="auto"/>
      </w:divBdr>
    </w:div>
    <w:div w:id="1295678160">
      <w:bodyDiv w:val="1"/>
      <w:marLeft w:val="0"/>
      <w:marRight w:val="0"/>
      <w:marTop w:val="0"/>
      <w:marBottom w:val="0"/>
      <w:divBdr>
        <w:top w:val="none" w:sz="0" w:space="0" w:color="auto"/>
        <w:left w:val="none" w:sz="0" w:space="0" w:color="auto"/>
        <w:bottom w:val="none" w:sz="0" w:space="0" w:color="auto"/>
        <w:right w:val="none" w:sz="0" w:space="0" w:color="auto"/>
      </w:divBdr>
    </w:div>
    <w:div w:id="1296252734">
      <w:bodyDiv w:val="1"/>
      <w:marLeft w:val="0"/>
      <w:marRight w:val="0"/>
      <w:marTop w:val="0"/>
      <w:marBottom w:val="0"/>
      <w:divBdr>
        <w:top w:val="none" w:sz="0" w:space="0" w:color="auto"/>
        <w:left w:val="none" w:sz="0" w:space="0" w:color="auto"/>
        <w:bottom w:val="none" w:sz="0" w:space="0" w:color="auto"/>
        <w:right w:val="none" w:sz="0" w:space="0" w:color="auto"/>
      </w:divBdr>
    </w:div>
    <w:div w:id="1366564873">
      <w:bodyDiv w:val="1"/>
      <w:marLeft w:val="0"/>
      <w:marRight w:val="0"/>
      <w:marTop w:val="0"/>
      <w:marBottom w:val="0"/>
      <w:divBdr>
        <w:top w:val="none" w:sz="0" w:space="0" w:color="auto"/>
        <w:left w:val="none" w:sz="0" w:space="0" w:color="auto"/>
        <w:bottom w:val="none" w:sz="0" w:space="0" w:color="auto"/>
        <w:right w:val="none" w:sz="0" w:space="0" w:color="auto"/>
      </w:divBdr>
    </w:div>
    <w:div w:id="1370567415">
      <w:bodyDiv w:val="1"/>
      <w:marLeft w:val="0"/>
      <w:marRight w:val="0"/>
      <w:marTop w:val="0"/>
      <w:marBottom w:val="0"/>
      <w:divBdr>
        <w:top w:val="none" w:sz="0" w:space="0" w:color="auto"/>
        <w:left w:val="none" w:sz="0" w:space="0" w:color="auto"/>
        <w:bottom w:val="none" w:sz="0" w:space="0" w:color="auto"/>
        <w:right w:val="none" w:sz="0" w:space="0" w:color="auto"/>
      </w:divBdr>
    </w:div>
    <w:div w:id="1488282727">
      <w:bodyDiv w:val="1"/>
      <w:marLeft w:val="0"/>
      <w:marRight w:val="0"/>
      <w:marTop w:val="0"/>
      <w:marBottom w:val="0"/>
      <w:divBdr>
        <w:top w:val="none" w:sz="0" w:space="0" w:color="auto"/>
        <w:left w:val="none" w:sz="0" w:space="0" w:color="auto"/>
        <w:bottom w:val="none" w:sz="0" w:space="0" w:color="auto"/>
        <w:right w:val="none" w:sz="0" w:space="0" w:color="auto"/>
      </w:divBdr>
    </w:div>
    <w:div w:id="1491210300">
      <w:bodyDiv w:val="1"/>
      <w:marLeft w:val="0"/>
      <w:marRight w:val="0"/>
      <w:marTop w:val="0"/>
      <w:marBottom w:val="0"/>
      <w:divBdr>
        <w:top w:val="none" w:sz="0" w:space="0" w:color="auto"/>
        <w:left w:val="none" w:sz="0" w:space="0" w:color="auto"/>
        <w:bottom w:val="none" w:sz="0" w:space="0" w:color="auto"/>
        <w:right w:val="none" w:sz="0" w:space="0" w:color="auto"/>
      </w:divBdr>
    </w:div>
    <w:div w:id="1520313823">
      <w:bodyDiv w:val="1"/>
      <w:marLeft w:val="0"/>
      <w:marRight w:val="0"/>
      <w:marTop w:val="0"/>
      <w:marBottom w:val="0"/>
      <w:divBdr>
        <w:top w:val="none" w:sz="0" w:space="0" w:color="auto"/>
        <w:left w:val="none" w:sz="0" w:space="0" w:color="auto"/>
        <w:bottom w:val="none" w:sz="0" w:space="0" w:color="auto"/>
        <w:right w:val="none" w:sz="0" w:space="0" w:color="auto"/>
      </w:divBdr>
      <w:divsChild>
        <w:div w:id="109009465">
          <w:marLeft w:val="-225"/>
          <w:marRight w:val="-225"/>
          <w:marTop w:val="0"/>
          <w:marBottom w:val="0"/>
          <w:divBdr>
            <w:top w:val="none" w:sz="0" w:space="0" w:color="auto"/>
            <w:left w:val="none" w:sz="0" w:space="0" w:color="auto"/>
            <w:bottom w:val="none" w:sz="0" w:space="0" w:color="auto"/>
            <w:right w:val="none" w:sz="0" w:space="0" w:color="auto"/>
          </w:divBdr>
          <w:divsChild>
            <w:div w:id="768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9">
      <w:bodyDiv w:val="1"/>
      <w:marLeft w:val="0"/>
      <w:marRight w:val="0"/>
      <w:marTop w:val="0"/>
      <w:marBottom w:val="0"/>
      <w:divBdr>
        <w:top w:val="none" w:sz="0" w:space="0" w:color="auto"/>
        <w:left w:val="none" w:sz="0" w:space="0" w:color="auto"/>
        <w:bottom w:val="none" w:sz="0" w:space="0" w:color="auto"/>
        <w:right w:val="none" w:sz="0" w:space="0" w:color="auto"/>
      </w:divBdr>
    </w:div>
    <w:div w:id="1661230987">
      <w:bodyDiv w:val="1"/>
      <w:marLeft w:val="0"/>
      <w:marRight w:val="0"/>
      <w:marTop w:val="0"/>
      <w:marBottom w:val="0"/>
      <w:divBdr>
        <w:top w:val="none" w:sz="0" w:space="0" w:color="auto"/>
        <w:left w:val="none" w:sz="0" w:space="0" w:color="auto"/>
        <w:bottom w:val="none" w:sz="0" w:space="0" w:color="auto"/>
        <w:right w:val="none" w:sz="0" w:space="0" w:color="auto"/>
      </w:divBdr>
    </w:div>
    <w:div w:id="1661813143">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79503731">
      <w:bodyDiv w:val="1"/>
      <w:marLeft w:val="0"/>
      <w:marRight w:val="0"/>
      <w:marTop w:val="0"/>
      <w:marBottom w:val="0"/>
      <w:divBdr>
        <w:top w:val="none" w:sz="0" w:space="0" w:color="auto"/>
        <w:left w:val="none" w:sz="0" w:space="0" w:color="auto"/>
        <w:bottom w:val="none" w:sz="0" w:space="0" w:color="auto"/>
        <w:right w:val="none" w:sz="0" w:space="0" w:color="auto"/>
      </w:divBdr>
    </w:div>
    <w:div w:id="1686981402">
      <w:bodyDiv w:val="1"/>
      <w:marLeft w:val="0"/>
      <w:marRight w:val="0"/>
      <w:marTop w:val="0"/>
      <w:marBottom w:val="0"/>
      <w:divBdr>
        <w:top w:val="none" w:sz="0" w:space="0" w:color="auto"/>
        <w:left w:val="none" w:sz="0" w:space="0" w:color="auto"/>
        <w:bottom w:val="none" w:sz="0" w:space="0" w:color="auto"/>
        <w:right w:val="none" w:sz="0" w:space="0" w:color="auto"/>
      </w:divBdr>
    </w:div>
    <w:div w:id="1724673685">
      <w:bodyDiv w:val="1"/>
      <w:marLeft w:val="0"/>
      <w:marRight w:val="0"/>
      <w:marTop w:val="0"/>
      <w:marBottom w:val="0"/>
      <w:divBdr>
        <w:top w:val="none" w:sz="0" w:space="0" w:color="auto"/>
        <w:left w:val="none" w:sz="0" w:space="0" w:color="auto"/>
        <w:bottom w:val="none" w:sz="0" w:space="0" w:color="auto"/>
        <w:right w:val="none" w:sz="0" w:space="0" w:color="auto"/>
      </w:divBdr>
    </w:div>
    <w:div w:id="1834298583">
      <w:bodyDiv w:val="1"/>
      <w:marLeft w:val="0"/>
      <w:marRight w:val="0"/>
      <w:marTop w:val="0"/>
      <w:marBottom w:val="0"/>
      <w:divBdr>
        <w:top w:val="none" w:sz="0" w:space="0" w:color="auto"/>
        <w:left w:val="none" w:sz="0" w:space="0" w:color="auto"/>
        <w:bottom w:val="none" w:sz="0" w:space="0" w:color="auto"/>
        <w:right w:val="none" w:sz="0" w:space="0" w:color="auto"/>
      </w:divBdr>
    </w:div>
    <w:div w:id="1855267872">
      <w:bodyDiv w:val="1"/>
      <w:marLeft w:val="0"/>
      <w:marRight w:val="0"/>
      <w:marTop w:val="0"/>
      <w:marBottom w:val="0"/>
      <w:divBdr>
        <w:top w:val="none" w:sz="0" w:space="0" w:color="auto"/>
        <w:left w:val="none" w:sz="0" w:space="0" w:color="auto"/>
        <w:bottom w:val="none" w:sz="0" w:space="0" w:color="auto"/>
        <w:right w:val="none" w:sz="0" w:space="0" w:color="auto"/>
      </w:divBdr>
    </w:div>
    <w:div w:id="1857766469">
      <w:bodyDiv w:val="1"/>
      <w:marLeft w:val="0"/>
      <w:marRight w:val="0"/>
      <w:marTop w:val="0"/>
      <w:marBottom w:val="0"/>
      <w:divBdr>
        <w:top w:val="none" w:sz="0" w:space="0" w:color="auto"/>
        <w:left w:val="none" w:sz="0" w:space="0" w:color="auto"/>
        <w:bottom w:val="none" w:sz="0" w:space="0" w:color="auto"/>
        <w:right w:val="none" w:sz="0" w:space="0" w:color="auto"/>
      </w:divBdr>
      <w:divsChild>
        <w:div w:id="1867476857">
          <w:marLeft w:val="0"/>
          <w:marRight w:val="0"/>
          <w:marTop w:val="0"/>
          <w:marBottom w:val="0"/>
          <w:divBdr>
            <w:top w:val="none" w:sz="0" w:space="0" w:color="auto"/>
            <w:left w:val="none" w:sz="0" w:space="0" w:color="auto"/>
            <w:bottom w:val="none" w:sz="0" w:space="0" w:color="auto"/>
            <w:right w:val="none" w:sz="0" w:space="0" w:color="auto"/>
          </w:divBdr>
        </w:div>
      </w:divsChild>
    </w:div>
    <w:div w:id="1892110716">
      <w:bodyDiv w:val="1"/>
      <w:marLeft w:val="0"/>
      <w:marRight w:val="0"/>
      <w:marTop w:val="0"/>
      <w:marBottom w:val="0"/>
      <w:divBdr>
        <w:top w:val="none" w:sz="0" w:space="0" w:color="auto"/>
        <w:left w:val="none" w:sz="0" w:space="0" w:color="auto"/>
        <w:bottom w:val="none" w:sz="0" w:space="0" w:color="auto"/>
        <w:right w:val="none" w:sz="0" w:space="0" w:color="auto"/>
      </w:divBdr>
    </w:div>
    <w:div w:id="1906453291">
      <w:bodyDiv w:val="1"/>
      <w:marLeft w:val="0"/>
      <w:marRight w:val="0"/>
      <w:marTop w:val="0"/>
      <w:marBottom w:val="0"/>
      <w:divBdr>
        <w:top w:val="none" w:sz="0" w:space="0" w:color="auto"/>
        <w:left w:val="none" w:sz="0" w:space="0" w:color="auto"/>
        <w:bottom w:val="none" w:sz="0" w:space="0" w:color="auto"/>
        <w:right w:val="none" w:sz="0" w:space="0" w:color="auto"/>
      </w:divBdr>
    </w:div>
    <w:div w:id="1961718547">
      <w:bodyDiv w:val="1"/>
      <w:marLeft w:val="0"/>
      <w:marRight w:val="0"/>
      <w:marTop w:val="0"/>
      <w:marBottom w:val="0"/>
      <w:divBdr>
        <w:top w:val="none" w:sz="0" w:space="0" w:color="auto"/>
        <w:left w:val="none" w:sz="0" w:space="0" w:color="auto"/>
        <w:bottom w:val="none" w:sz="0" w:space="0" w:color="auto"/>
        <w:right w:val="none" w:sz="0" w:space="0" w:color="auto"/>
      </w:divBdr>
    </w:div>
    <w:div w:id="1968587681">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46246452">
      <w:bodyDiv w:val="1"/>
      <w:marLeft w:val="0"/>
      <w:marRight w:val="0"/>
      <w:marTop w:val="0"/>
      <w:marBottom w:val="0"/>
      <w:divBdr>
        <w:top w:val="none" w:sz="0" w:space="0" w:color="auto"/>
        <w:left w:val="none" w:sz="0" w:space="0" w:color="auto"/>
        <w:bottom w:val="none" w:sz="0" w:space="0" w:color="auto"/>
        <w:right w:val="none" w:sz="0" w:space="0" w:color="auto"/>
      </w:divBdr>
    </w:div>
    <w:div w:id="2056002652">
      <w:bodyDiv w:val="1"/>
      <w:marLeft w:val="0"/>
      <w:marRight w:val="0"/>
      <w:marTop w:val="0"/>
      <w:marBottom w:val="0"/>
      <w:divBdr>
        <w:top w:val="none" w:sz="0" w:space="0" w:color="auto"/>
        <w:left w:val="none" w:sz="0" w:space="0" w:color="auto"/>
        <w:bottom w:val="none" w:sz="0" w:space="0" w:color="auto"/>
        <w:right w:val="none" w:sz="0" w:space="0" w:color="auto"/>
      </w:divBdr>
    </w:div>
    <w:div w:id="2092117462">
      <w:bodyDiv w:val="1"/>
      <w:marLeft w:val="0"/>
      <w:marRight w:val="0"/>
      <w:marTop w:val="0"/>
      <w:marBottom w:val="0"/>
      <w:divBdr>
        <w:top w:val="none" w:sz="0" w:space="0" w:color="auto"/>
        <w:left w:val="none" w:sz="0" w:space="0" w:color="auto"/>
        <w:bottom w:val="none" w:sz="0" w:space="0" w:color="auto"/>
        <w:right w:val="none" w:sz="0" w:space="0" w:color="auto"/>
      </w:divBdr>
    </w:div>
    <w:div w:id="2110813700">
      <w:bodyDiv w:val="1"/>
      <w:marLeft w:val="0"/>
      <w:marRight w:val="0"/>
      <w:marTop w:val="0"/>
      <w:marBottom w:val="0"/>
      <w:divBdr>
        <w:top w:val="none" w:sz="0" w:space="0" w:color="auto"/>
        <w:left w:val="none" w:sz="0" w:space="0" w:color="auto"/>
        <w:bottom w:val="none" w:sz="0" w:space="0" w:color="auto"/>
        <w:right w:val="none" w:sz="0" w:space="0" w:color="auto"/>
      </w:divBdr>
    </w:div>
    <w:div w:id="2120179970">
      <w:bodyDiv w:val="1"/>
      <w:marLeft w:val="0"/>
      <w:marRight w:val="0"/>
      <w:marTop w:val="0"/>
      <w:marBottom w:val="0"/>
      <w:divBdr>
        <w:top w:val="none" w:sz="0" w:space="0" w:color="auto"/>
        <w:left w:val="none" w:sz="0" w:space="0" w:color="auto"/>
        <w:bottom w:val="none" w:sz="0" w:space="0" w:color="auto"/>
        <w:right w:val="none" w:sz="0" w:space="0" w:color="auto"/>
      </w:divBdr>
    </w:div>
    <w:div w:id="2138645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93/bioinformatics/btq035" TargetMode="External"/><Relationship Id="rId2" Type="http://schemas.openxmlformats.org/officeDocument/2006/relationships/hyperlink" Target="https://doi.org/10.18637/jss.v077.i01" TargetMode="External"/><Relationship Id="rId1" Type="http://schemas.openxmlformats.org/officeDocument/2006/relationships/hyperlink" Target="https://github.com/mayer79/missRang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lcPuGkiuT2XvqfkLQS5cGW7/Ew==">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</go:docsCustomData>
</go:gDocsCustomXmlDataStorage>
</file>

<file path=customXml/itemProps1.xml><?xml version="1.0" encoding="utf-8"?>
<ds:datastoreItem xmlns:ds="http://schemas.openxmlformats.org/officeDocument/2006/customXml" ds:itemID="{1D500AE4-0AFE-4ABE-8B39-0F5E029D2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10</Pages>
  <Words>2889</Words>
  <Characters>15892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Andrés González Santa Cruz</cp:lastModifiedBy>
  <cp:revision>11</cp:revision>
  <cp:lastPrinted>2022-01-17T21:43:00Z</cp:lastPrinted>
  <dcterms:created xsi:type="dcterms:W3CDTF">2023-07-06T20:38:00Z</dcterms:created>
  <dcterms:modified xsi:type="dcterms:W3CDTF">2023-07-07T23:21:00Z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http://csl.mendeley.com/styles/96912/apa-no-ampersand-bupna-4</vt:lpwstr>
  </property>
  <property fmtid="{D5CDD505-2E9C-101B-9397-08002B2CF9AE}" pid="8" name="Mendeley Recent Style Name 2_1">
    <vt:lpwstr>BUPNA - APA 7ª ed. (Spanish-caps-all-no &amp;)</vt:lpwstr>
  </property>
  <property fmtid="{D5CDD505-2E9C-101B-9397-08002B2CF9AE}" pid="9" name="Mendeley Recent Style Id 3_1">
    <vt:lpwstr>http://csl.mendeley.com/styles/96912/apa-no-ampersand-bupna</vt:lpwstr>
  </property>
  <property fmtid="{D5CDD505-2E9C-101B-9397-08002B2CF9AE}" pid="10" name="Mendeley Recent Style Name 3_1">
    <vt:lpwstr>BUPNA - APA 7ª ed. (Spanish-no &amp;)</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9f2c0514-5b27-36ae-b430-911a004a9b78</vt:lpwstr>
  </property>
</Properties>
</file>