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DEFDEE" w14:textId="785D63ED" w:rsidR="00CE241A" w:rsidRDefault="00CE241A" w:rsidP="00CE241A">
      <w:pPr>
        <w:spacing w:line="48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Background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Evidence on the influence of polysubstance use (PSU) on substance use treatment (SUT) non-completion is limited. </w:t>
      </w:r>
      <w:r w:rsidRPr="003966B5">
        <w:rPr>
          <w:rFonts w:ascii="Times New Roman" w:eastAsia="Times New Roman" w:hAnsi="Times New Roman" w:cs="Times New Roman"/>
          <w:sz w:val="24"/>
          <w:szCs w:val="24"/>
        </w:rPr>
        <w:t xml:space="preserve">Previous studies often exclude </w:t>
      </w:r>
      <w:r>
        <w:rPr>
          <w:rFonts w:ascii="Times New Roman" w:eastAsia="Times New Roman" w:hAnsi="Times New Roman" w:cs="Times New Roman"/>
          <w:sz w:val="24"/>
          <w:szCs w:val="24"/>
        </w:rPr>
        <w:t>patients</w:t>
      </w:r>
      <w:r w:rsidRPr="00396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reporting</w:t>
      </w:r>
      <w:r w:rsidRPr="003966B5">
        <w:rPr>
          <w:rFonts w:ascii="Times New Roman" w:eastAsia="Times New Roman" w:hAnsi="Times New Roman" w:cs="Times New Roman"/>
          <w:sz w:val="24"/>
          <w:szCs w:val="24"/>
        </w:rPr>
        <w:t xml:space="preserve"> PSU 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with</w:t>
      </w:r>
      <w:r w:rsidRPr="003966B5">
        <w:rPr>
          <w:rFonts w:ascii="Times New Roman" w:eastAsia="Times New Roman" w:hAnsi="Times New Roman" w:cs="Times New Roman"/>
          <w:sz w:val="24"/>
          <w:szCs w:val="24"/>
        </w:rPr>
        <w:t xml:space="preserve"> prior treatment histories, restricting </w:t>
      </w:r>
      <w:r w:rsidR="00663F88" w:rsidRPr="00663F88">
        <w:rPr>
          <w:rFonts w:ascii="Times New Roman" w:eastAsia="Times New Roman" w:hAnsi="Times New Roman" w:cs="Times New Roman"/>
          <w:sz w:val="24"/>
          <w:szCs w:val="24"/>
        </w:rPr>
        <w:t xml:space="preserve">applicability to real-world </w:t>
      </w:r>
      <w:r w:rsidR="00663F88">
        <w:rPr>
          <w:rFonts w:ascii="Times New Roman" w:eastAsia="Times New Roman" w:hAnsi="Times New Roman" w:cs="Times New Roman"/>
          <w:sz w:val="24"/>
          <w:szCs w:val="24"/>
        </w:rPr>
        <w:t>contexts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396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Therefore, examining the association </w:t>
      </w:r>
      <w:r w:rsidR="00490751">
        <w:rPr>
          <w:rFonts w:ascii="Times New Roman" w:eastAsia="Times New Roman" w:hAnsi="Times New Roman" w:cs="Times New Roman"/>
          <w:sz w:val="24"/>
          <w:szCs w:val="24"/>
        </w:rPr>
        <w:t xml:space="preserve">between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reporting PSU </w:t>
      </w:r>
      <w:r w:rsidR="00490751">
        <w:rPr>
          <w:rFonts w:ascii="Times New Roman" w:eastAsia="Times New Roman" w:hAnsi="Times New Roman" w:cs="Times New Roman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treatment non-completion is crucial for improving treatment</w:t>
      </w:r>
      <w:r w:rsidR="00663F88"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EC09037" w14:textId="29E5B480" w:rsidR="00CE241A" w:rsidRDefault="00CE241A" w:rsidP="00CE241A">
      <w:pPr>
        <w:spacing w:line="480" w:lineRule="auto"/>
        <w:rPr>
          <w:rFonts w:ascii="Times New Roman" w:eastAsia="Times New Roman" w:hAnsi="Times New Roman" w:cs="Times New Roman"/>
          <w:color w:val="222222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Methods</w:t>
      </w:r>
      <w:r>
        <w:rPr>
          <w:rFonts w:ascii="Times New Roman" w:eastAsia="Times New Roman" w:hAnsi="Times New Roman" w:cs="Times New Roman"/>
          <w:sz w:val="24"/>
          <w:szCs w:val="24"/>
        </w:rPr>
        <w:t>: This retrospective cohort study analyzed records from Chilean National Substance Use Agency (2010–2019), encompassing 13,317 adults with 30,988 treatment episodes. Reporting PSU (yes/no) was the primary exposure and SUT non-completion (vs. completion) was the outcome.</w:t>
      </w:r>
      <w:r>
        <w:rPr>
          <w:rFonts w:ascii="Times New Roman" w:eastAsia="Times New Roman" w:hAnsi="Times New Roman" w:cs="Times New Roman"/>
          <w:color w:val="222222"/>
          <w:highlight w:val="white"/>
        </w:rPr>
        <w:t xml:space="preserve"> </w:t>
      </w:r>
      <w:r w:rsidR="00663F88"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elative risk</w:t>
      </w:r>
      <w:r w:rsidR="00EF4119"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(RR) and 95% confidence intervals using Poisson generalized estimating equations with inverse intensity weighting</w:t>
      </w:r>
      <w:r w:rsidR="00663F88">
        <w:rPr>
          <w:rFonts w:ascii="Times New Roman" w:eastAsia="Times New Roman" w:hAnsi="Times New Roman" w:cs="Times New Roman"/>
          <w:sz w:val="24"/>
          <w:szCs w:val="24"/>
        </w:rPr>
        <w:t xml:space="preserve"> were calculated</w:t>
      </w:r>
      <w:r>
        <w:rPr>
          <w:rFonts w:ascii="Times New Roman" w:eastAsia="Times New Roman" w:hAnsi="Times New Roman" w:cs="Times New Roman"/>
          <w:sz w:val="24"/>
          <w:szCs w:val="24"/>
        </w:rPr>
        <w:t>, adjusting for socio</w:t>
      </w:r>
      <w:r w:rsidR="00461E35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demographics, mental health and substance use patterns. Analyses were stratified by baseline treatment settings, and homogeneity of associations was tested.</w:t>
      </w:r>
      <w:r w:rsidR="00663F88">
        <w:rPr>
          <w:rFonts w:ascii="Times New Roman" w:eastAsia="Times New Roman" w:hAnsi="Times New Roman" w:cs="Times New Roman"/>
          <w:sz w:val="24"/>
          <w:szCs w:val="24"/>
        </w:rPr>
        <w:t xml:space="preserve"> Weights were obtained through </w:t>
      </w:r>
      <w:r w:rsidR="00663F88" w:rsidRPr="00663F88">
        <w:rPr>
          <w:rFonts w:ascii="Times New Roman" w:eastAsia="Times New Roman" w:hAnsi="Times New Roman" w:cs="Times New Roman"/>
          <w:sz w:val="24"/>
          <w:szCs w:val="24"/>
        </w:rPr>
        <w:t>Cox model</w:t>
      </w:r>
      <w:r w:rsidR="00663F88">
        <w:rPr>
          <w:rFonts w:ascii="Times New Roman" w:eastAsia="Times New Roman" w:hAnsi="Times New Roman" w:cs="Times New Roman"/>
          <w:sz w:val="24"/>
          <w:szCs w:val="24"/>
        </w:rPr>
        <w:t>s</w:t>
      </w:r>
      <w:r w:rsidR="00663F88" w:rsidRPr="00663F88">
        <w:rPr>
          <w:rFonts w:ascii="Times New Roman" w:eastAsia="Times New Roman" w:hAnsi="Times New Roman" w:cs="Times New Roman"/>
          <w:sz w:val="24"/>
          <w:szCs w:val="24"/>
        </w:rPr>
        <w:t xml:space="preserve"> with fixed lag predictors </w:t>
      </w:r>
      <w:r w:rsidR="00663F88">
        <w:rPr>
          <w:rFonts w:ascii="Times New Roman" w:eastAsia="Times New Roman" w:hAnsi="Times New Roman" w:cs="Times New Roman"/>
          <w:sz w:val="24"/>
          <w:szCs w:val="24"/>
        </w:rPr>
        <w:t xml:space="preserve">at baseline </w:t>
      </w:r>
      <w:r w:rsidR="00663F88" w:rsidRPr="00663F88">
        <w:rPr>
          <w:rFonts w:ascii="Times New Roman" w:eastAsia="Times New Roman" w:hAnsi="Times New Roman" w:cs="Times New Roman"/>
          <w:sz w:val="24"/>
          <w:szCs w:val="24"/>
        </w:rPr>
        <w:t>(0/1)</w:t>
      </w:r>
      <w:r w:rsidR="00663F8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697874" w14:textId="140A3032" w:rsidR="00CE241A" w:rsidRDefault="00CE241A" w:rsidP="00CE241A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Results</w:t>
      </w:r>
      <w:r>
        <w:rPr>
          <w:rFonts w:ascii="Times New Roman" w:eastAsia="Times New Roman" w:hAnsi="Times New Roman" w:cs="Times New Roman"/>
          <w:sz w:val="24"/>
          <w:szCs w:val="24"/>
        </w:rPr>
        <w:t>: The association between PSU and non-completion varied across settings (Cochran's Q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 lag0</w:t>
      </w:r>
      <w:r>
        <w:rPr>
          <w:rFonts w:ascii="Times New Roman" w:eastAsia="Times New Roman" w:hAnsi="Times New Roman" w:cs="Times New Roman"/>
          <w:sz w:val="24"/>
          <w:szCs w:val="24"/>
        </w:rPr>
        <w:t>=14.24, p=.007; Cochran's Q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 lag1</w:t>
      </w:r>
      <w:r>
        <w:rPr>
          <w:rFonts w:ascii="Times New Roman" w:eastAsia="Times New Roman" w:hAnsi="Times New Roman" w:cs="Times New Roman"/>
          <w:sz w:val="24"/>
          <w:szCs w:val="24"/>
        </w:rPr>
        <w:t>=13.32, p=.010). Non-completion risk was higher in patients reporting PSU in general-population intensive ambulatory (RR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lag0</w:t>
      </w:r>
      <w:r>
        <w:rPr>
          <w:rFonts w:ascii="Times New Roman" w:eastAsia="Times New Roman" w:hAnsi="Times New Roman" w:cs="Times New Roman"/>
          <w:sz w:val="24"/>
          <w:szCs w:val="24"/>
        </w:rPr>
        <w:t>=1.04 95%CI 1.01-1.07; RR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lag1</w:t>
      </w:r>
      <w:r>
        <w:rPr>
          <w:rFonts w:ascii="Times New Roman" w:eastAsia="Times New Roman" w:hAnsi="Times New Roman" w:cs="Times New Roman"/>
          <w:sz w:val="24"/>
          <w:szCs w:val="24"/>
        </w:rPr>
        <w:t>=1.04 95%CI 1.01-1.08) and in women-only residential settings (RR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lag0</w:t>
      </w:r>
      <w:r>
        <w:rPr>
          <w:rFonts w:ascii="Times New Roman" w:eastAsia="Times New Roman" w:hAnsi="Times New Roman" w:cs="Times New Roman"/>
          <w:sz w:val="24"/>
          <w:szCs w:val="24"/>
        </w:rPr>
        <w:t>=1.15 95%CI 1.06-1.25; RR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lag1</w:t>
      </w:r>
      <w:r>
        <w:rPr>
          <w:rFonts w:ascii="Times New Roman" w:eastAsia="Times New Roman" w:hAnsi="Times New Roman" w:cs="Times New Roman"/>
          <w:sz w:val="24"/>
          <w:szCs w:val="24"/>
        </w:rPr>
        <w:t>=1.13 95%CI 1.04-1.22) vs. patients not reporting PSU.</w:t>
      </w:r>
    </w:p>
    <w:p w14:paraId="253ED854" w14:textId="73E199C1" w:rsidR="00CE241A" w:rsidRDefault="00CE241A" w:rsidP="00CE241A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Conclusions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Reporting PSU was associated with a modest increase in SUT non-completion risk in intensive ambulatory and </w:t>
      </w:r>
      <w:bookmarkStart w:id="0" w:name="_Hlk190698309"/>
      <w:r>
        <w:rPr>
          <w:rFonts w:ascii="Times New Roman" w:eastAsia="Times New Roman" w:hAnsi="Times New Roman" w:cs="Times New Roman"/>
          <w:sz w:val="24"/>
          <w:szCs w:val="24"/>
        </w:rPr>
        <w:t>women-only</w:t>
      </w:r>
      <w:bookmarkEnd w:id="0"/>
      <w:r>
        <w:rPr>
          <w:rFonts w:ascii="Times New Roman" w:eastAsia="Times New Roman" w:hAnsi="Times New Roman" w:cs="Times New Roman"/>
          <w:sz w:val="24"/>
          <w:szCs w:val="24"/>
        </w:rPr>
        <w:t xml:space="preserve"> residential settings. </w:t>
      </w:r>
      <w:r w:rsidR="00663F88" w:rsidRPr="00663F88">
        <w:rPr>
          <w:rFonts w:ascii="Times New Roman" w:eastAsia="Times New Roman" w:hAnsi="Times New Roman" w:cs="Times New Roman"/>
          <w:sz w:val="24"/>
          <w:szCs w:val="24"/>
        </w:rPr>
        <w:t>As one of the few studies from outside the Global North, it underscores the need for PSU-focused interventions</w:t>
      </w:r>
      <w:r w:rsidR="00663F8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These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results can guide policies and clinical practices to address complex treatment needs of patients reporting PSU and improve SUT outcomes.</w:t>
      </w:r>
    </w:p>
    <w:p w14:paraId="76FDCE6D" w14:textId="77777777" w:rsidR="00CE241A" w:rsidRDefault="00CE241A" w:rsidP="00CE241A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Keywords</w:t>
      </w:r>
      <w:r>
        <w:rPr>
          <w:rFonts w:ascii="Times New Roman" w:eastAsia="Times New Roman" w:hAnsi="Times New Roman" w:cs="Times New Roman"/>
          <w:sz w:val="24"/>
          <w:szCs w:val="24"/>
        </w:rPr>
        <w:t>: Polysubstance use; Substance use; Treatment non-completion; Administrative data; Chile.</w:t>
      </w:r>
    </w:p>
    <w:p w14:paraId="246C8242" w14:textId="14127F6F" w:rsidR="000D5A12" w:rsidRPr="00CE241A" w:rsidRDefault="000D5A12" w:rsidP="00CE241A"/>
    <w:sectPr w:rsidR="000D5A12" w:rsidRPr="00CE241A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D7FE49" w14:textId="77777777" w:rsidR="00962F0B" w:rsidRDefault="00962F0B" w:rsidP="00897715">
      <w:pPr>
        <w:spacing w:after="0" w:line="240" w:lineRule="auto"/>
      </w:pPr>
      <w:r>
        <w:separator/>
      </w:r>
    </w:p>
  </w:endnote>
  <w:endnote w:type="continuationSeparator" w:id="0">
    <w:p w14:paraId="6D57EBCC" w14:textId="77777777" w:rsidR="00962F0B" w:rsidRDefault="00962F0B" w:rsidP="008977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E532F1D0-4D64-43CF-A49E-34CC5B0D66BA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2" w:fontKey="{6F26976F-9DC7-45F9-A650-DA72198CE67A}"/>
    <w:embedBold r:id="rId3" w:fontKey="{4D42B095-C48E-4430-8CEB-2648B56DEC4B}"/>
    <w:embedItalic r:id="rId4" w:fontKey="{4DC32473-FD1D-43CC-B35F-82925A44954A}"/>
  </w:font>
  <w:font w:name="Play">
    <w:charset w:val="00"/>
    <w:family w:val="auto"/>
    <w:pitch w:val="default"/>
    <w:embedRegular r:id="rId5" w:fontKey="{F2563C54-454C-4EFB-A97E-7CF30FBF57E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84A7BCB3-3E05-4CC5-8BCF-F3D2F3BD8CE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DFC71571-F0A2-485D-B182-4A34A445FC1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DA6F97" w14:textId="77777777" w:rsidR="00962F0B" w:rsidRDefault="00962F0B" w:rsidP="00897715">
      <w:pPr>
        <w:spacing w:after="0" w:line="240" w:lineRule="auto"/>
      </w:pPr>
      <w:r>
        <w:separator/>
      </w:r>
    </w:p>
  </w:footnote>
  <w:footnote w:type="continuationSeparator" w:id="0">
    <w:p w14:paraId="5A474411" w14:textId="77777777" w:rsidR="00962F0B" w:rsidRDefault="00962F0B" w:rsidP="008977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286500"/>
    <w:multiLevelType w:val="multilevel"/>
    <w:tmpl w:val="127A4356"/>
    <w:lvl w:ilvl="0"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6F96FE9"/>
    <w:multiLevelType w:val="hybridMultilevel"/>
    <w:tmpl w:val="2EBC3BB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235A85"/>
    <w:multiLevelType w:val="multilevel"/>
    <w:tmpl w:val="D0EEDB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440" w:hanging="108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800" w:hanging="1440"/>
      </w:pPr>
    </w:lvl>
    <w:lvl w:ilvl="5">
      <w:start w:val="1"/>
      <w:numFmt w:val="decimal"/>
      <w:lvlText w:val="%1.%2.%3.%4.%5.%6."/>
      <w:lvlJc w:val="left"/>
      <w:pPr>
        <w:ind w:left="2160" w:hanging="180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520" w:hanging="2160"/>
      </w:pPr>
    </w:lvl>
    <w:lvl w:ilvl="8">
      <w:start w:val="1"/>
      <w:numFmt w:val="decimal"/>
      <w:lvlText w:val="%1.%2.%3.%4.%5.%6.%7.%8.%9."/>
      <w:lvlJc w:val="left"/>
      <w:pPr>
        <w:ind w:left="2880" w:hanging="2520"/>
      </w:pPr>
    </w:lvl>
  </w:abstractNum>
  <w:num w:numId="1" w16cid:durableId="1912887450">
    <w:abstractNumId w:val="0"/>
  </w:num>
  <w:num w:numId="2" w16cid:durableId="1696537798">
    <w:abstractNumId w:val="2"/>
  </w:num>
  <w:num w:numId="3" w16cid:durableId="14601433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83A"/>
    <w:rsid w:val="00003766"/>
    <w:rsid w:val="00025466"/>
    <w:rsid w:val="000336E1"/>
    <w:rsid w:val="0003706F"/>
    <w:rsid w:val="0004589B"/>
    <w:rsid w:val="00066365"/>
    <w:rsid w:val="00072E0D"/>
    <w:rsid w:val="00075F71"/>
    <w:rsid w:val="000A7BF4"/>
    <w:rsid w:val="000D5A12"/>
    <w:rsid w:val="00102B1A"/>
    <w:rsid w:val="00121187"/>
    <w:rsid w:val="00160636"/>
    <w:rsid w:val="00192CEE"/>
    <w:rsid w:val="001B6CCC"/>
    <w:rsid w:val="001D3146"/>
    <w:rsid w:val="00215940"/>
    <w:rsid w:val="0024300D"/>
    <w:rsid w:val="00243D15"/>
    <w:rsid w:val="00286A1B"/>
    <w:rsid w:val="0029609A"/>
    <w:rsid w:val="002E08B7"/>
    <w:rsid w:val="00302B36"/>
    <w:rsid w:val="00317032"/>
    <w:rsid w:val="003233F9"/>
    <w:rsid w:val="00324AE6"/>
    <w:rsid w:val="0032574B"/>
    <w:rsid w:val="00352DD6"/>
    <w:rsid w:val="003966B5"/>
    <w:rsid w:val="003B0DF7"/>
    <w:rsid w:val="003B3E36"/>
    <w:rsid w:val="003B5F3D"/>
    <w:rsid w:val="003D4E45"/>
    <w:rsid w:val="003F2C6D"/>
    <w:rsid w:val="00421CCE"/>
    <w:rsid w:val="00434873"/>
    <w:rsid w:val="00435219"/>
    <w:rsid w:val="0044234F"/>
    <w:rsid w:val="00443F40"/>
    <w:rsid w:val="00461E35"/>
    <w:rsid w:val="00471C57"/>
    <w:rsid w:val="00476859"/>
    <w:rsid w:val="00490751"/>
    <w:rsid w:val="004934DD"/>
    <w:rsid w:val="004A7ABC"/>
    <w:rsid w:val="004B6025"/>
    <w:rsid w:val="00500D1D"/>
    <w:rsid w:val="0050519B"/>
    <w:rsid w:val="005333D3"/>
    <w:rsid w:val="005B19D0"/>
    <w:rsid w:val="005D3645"/>
    <w:rsid w:val="005F1A0D"/>
    <w:rsid w:val="00622626"/>
    <w:rsid w:val="006315F7"/>
    <w:rsid w:val="00663F0B"/>
    <w:rsid w:val="00663F88"/>
    <w:rsid w:val="0068409C"/>
    <w:rsid w:val="006C4E1B"/>
    <w:rsid w:val="006F1EC4"/>
    <w:rsid w:val="0070494A"/>
    <w:rsid w:val="007143AE"/>
    <w:rsid w:val="00735DC1"/>
    <w:rsid w:val="00751FE4"/>
    <w:rsid w:val="00764496"/>
    <w:rsid w:val="007677C5"/>
    <w:rsid w:val="00770788"/>
    <w:rsid w:val="00776742"/>
    <w:rsid w:val="007A1661"/>
    <w:rsid w:val="007C2416"/>
    <w:rsid w:val="007C3D44"/>
    <w:rsid w:val="007D65F0"/>
    <w:rsid w:val="00863E60"/>
    <w:rsid w:val="00896ECC"/>
    <w:rsid w:val="00897715"/>
    <w:rsid w:val="008B2447"/>
    <w:rsid w:val="008B3BDC"/>
    <w:rsid w:val="00900D57"/>
    <w:rsid w:val="00917010"/>
    <w:rsid w:val="009318C3"/>
    <w:rsid w:val="00962F0B"/>
    <w:rsid w:val="009A7B09"/>
    <w:rsid w:val="009B08A0"/>
    <w:rsid w:val="009B42D0"/>
    <w:rsid w:val="009C0C0A"/>
    <w:rsid w:val="00A1724C"/>
    <w:rsid w:val="00A2490A"/>
    <w:rsid w:val="00A37534"/>
    <w:rsid w:val="00A62FEF"/>
    <w:rsid w:val="00AD50B1"/>
    <w:rsid w:val="00AF69C1"/>
    <w:rsid w:val="00B005D6"/>
    <w:rsid w:val="00B9128E"/>
    <w:rsid w:val="00B92105"/>
    <w:rsid w:val="00BA528A"/>
    <w:rsid w:val="00BB487A"/>
    <w:rsid w:val="00C42DB1"/>
    <w:rsid w:val="00C46999"/>
    <w:rsid w:val="00C512C1"/>
    <w:rsid w:val="00C5433D"/>
    <w:rsid w:val="00CE0318"/>
    <w:rsid w:val="00CE241A"/>
    <w:rsid w:val="00CE2C41"/>
    <w:rsid w:val="00D23EC1"/>
    <w:rsid w:val="00D478C4"/>
    <w:rsid w:val="00D533EC"/>
    <w:rsid w:val="00D84C92"/>
    <w:rsid w:val="00DB1D31"/>
    <w:rsid w:val="00DC560D"/>
    <w:rsid w:val="00DF62B8"/>
    <w:rsid w:val="00E4483A"/>
    <w:rsid w:val="00E52297"/>
    <w:rsid w:val="00E60441"/>
    <w:rsid w:val="00E74B97"/>
    <w:rsid w:val="00E769DC"/>
    <w:rsid w:val="00E80548"/>
    <w:rsid w:val="00E8441C"/>
    <w:rsid w:val="00EB0317"/>
    <w:rsid w:val="00EC024F"/>
    <w:rsid w:val="00EF4119"/>
    <w:rsid w:val="00F2111F"/>
    <w:rsid w:val="00F24354"/>
    <w:rsid w:val="00F24AE4"/>
    <w:rsid w:val="00F50570"/>
    <w:rsid w:val="00F63DF3"/>
    <w:rsid w:val="00F776B2"/>
    <w:rsid w:val="00F87F74"/>
    <w:rsid w:val="00FB11C4"/>
    <w:rsid w:val="00FC0BE4"/>
    <w:rsid w:val="00FC4246"/>
    <w:rsid w:val="00FC654A"/>
    <w:rsid w:val="00FE5EB4"/>
    <w:rsid w:val="00FF1551"/>
    <w:rsid w:val="00FF6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BF06C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Verdana" w:eastAsia="Verdana" w:hAnsi="Verdana" w:cs="Verdana"/>
        <w:lang w:val="en-AU" w:eastAsia="es-CL" w:bidi="ar-SA"/>
      </w:rPr>
    </w:rPrDefault>
    <w:pPrDefault>
      <w:pPr>
        <w:spacing w:after="160" w:line="25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ind w:left="720" w:hanging="360"/>
      <w:outlineLvl w:val="0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</w:style>
  <w:style w:type="character" w:customStyle="1" w:styleId="TextocomentarioCar">
    <w:name w:val="Texto comentario Car"/>
    <w:basedOn w:val="Fuentedeprrafopredeter"/>
    <w:link w:val="Textocomentario"/>
    <w:uiPriority w:val="99"/>
    <w:semiHidden/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C3D4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C3D44"/>
    <w:rPr>
      <w:b/>
      <w:bCs/>
    </w:rPr>
  </w:style>
  <w:style w:type="paragraph" w:styleId="Revisin">
    <w:name w:val="Revision"/>
    <w:hidden/>
    <w:uiPriority w:val="99"/>
    <w:semiHidden/>
    <w:rsid w:val="00317032"/>
    <w:pPr>
      <w:spacing w:after="0" w:line="240" w:lineRule="auto"/>
      <w:jc w:val="left"/>
    </w:pPr>
  </w:style>
  <w:style w:type="paragraph" w:styleId="Encabezado">
    <w:name w:val="header"/>
    <w:basedOn w:val="Normal"/>
    <w:link w:val="EncabezadoCar"/>
    <w:uiPriority w:val="99"/>
    <w:unhideWhenUsed/>
    <w:rsid w:val="0089771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97715"/>
  </w:style>
  <w:style w:type="paragraph" w:styleId="Piedepgina">
    <w:name w:val="footer"/>
    <w:basedOn w:val="Normal"/>
    <w:link w:val="PiedepginaCar"/>
    <w:uiPriority w:val="99"/>
    <w:unhideWhenUsed/>
    <w:rsid w:val="0089771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97715"/>
  </w:style>
  <w:style w:type="paragraph" w:styleId="Prrafodelista">
    <w:name w:val="List Paragraph"/>
    <w:basedOn w:val="Normal"/>
    <w:uiPriority w:val="34"/>
    <w:qFormat/>
    <w:rsid w:val="000D5A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45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310</Words>
  <Characters>1707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2025-02-19T22:22:00Z</dcterms:created>
  <dcterms:modified xsi:type="dcterms:W3CDTF">2025-02-19T23:40:00Z</dcterms:modified>
</cp:coreProperties>
</file>