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363EC904"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gramEnd"/>
      <w:r w:rsidRPr="00090B7C">
        <w:rPr>
          <w:rFonts w:ascii="Times New Roman" w:hAnsi="Times New Roman" w:cs="Times New Roman"/>
          <w:sz w:val="24"/>
          <w:szCs w:val="24"/>
          <w:vertAlign w:val="superscript"/>
          <w:lang w:val="es-CL"/>
        </w:rPr>
        <w:t>,c</w:t>
      </w:r>
      <w:proofErr w:type="spellEnd"/>
      <w:r w:rsidRPr="00090B7C">
        <w:rPr>
          <w:rFonts w:ascii="Times New Roman" w:hAnsi="Times New Roman" w:cs="Times New Roman"/>
          <w:sz w:val="24"/>
          <w:szCs w:val="24"/>
          <w:lang w:val="es-CL"/>
        </w:rPr>
        <w:t>; 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357766C5" w14:textId="24BAFE32" w:rsidR="00AA5B6C" w:rsidRPr="00090B7C" w:rsidDel="00F1140E" w:rsidRDefault="00AA5B6C" w:rsidP="00090B7C">
      <w:pPr>
        <w:spacing w:after="0"/>
        <w:rPr>
          <w:del w:id="0" w:author="Andrés González Santa Cruz" w:date="2024-07-19T16:16:00Z" w16du:dateUtc="2024-07-19T20:16:00Z"/>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ins w:id="1" w:author="Andrés González Santa Cruz" w:date="2024-07-19T16:16:00Z" w16du:dateUtc="2024-07-19T20:16:00Z">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ins>
      <w:del w:id="2" w:author="Andrés González Santa Cruz" w:date="2024-07-19T16:16:00Z" w16du:dateUtc="2024-07-19T20:16:00Z">
        <w:r w:rsidRPr="00090B7C" w:rsidDel="00F1140E">
          <w:rPr>
            <w:rFonts w:ascii="Times New Roman" w:hAnsi="Times New Roman" w:cs="Times New Roman"/>
            <w:sz w:val="24"/>
            <w:szCs w:val="24"/>
            <w:lang w:val="en-US"/>
          </w:rPr>
          <w:delText>School of Public Health, Universidad de Chile, Chile</w:delText>
        </w:r>
      </w:del>
    </w:p>
    <w:p w14:paraId="40AE6C95"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7E8861DF"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511FAEBB" w14:textId="400EC31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w:t>
      </w:r>
      <w:r w:rsidR="00845F5E">
        <w:rPr>
          <w:rFonts w:ascii="Times New Roman" w:hAnsi="Times New Roman" w:cs="Times New Roman"/>
          <w:sz w:val="24"/>
          <w:szCs w:val="24"/>
          <w:lang w:val="en-US"/>
        </w:rPr>
        <w:t xml:space="preserve">Santiago, </w:t>
      </w:r>
      <w:r w:rsidRPr="00090B7C">
        <w:rPr>
          <w:rFonts w:ascii="Times New Roman" w:hAnsi="Times New Roman" w:cs="Times New Roman"/>
          <w:sz w:val="24"/>
          <w:szCs w:val="24"/>
          <w:lang w:val="en-US"/>
        </w:rPr>
        <w:t>Chile.</w:t>
      </w:r>
    </w:p>
    <w:p w14:paraId="477F2C8D"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74DCF749"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5C079218" w14:textId="77777777" w:rsidR="00AA5B6C" w:rsidRDefault="00AA5B6C">
      <w:pPr>
        <w:rPr>
          <w:lang w:val="en-US"/>
        </w:rPr>
      </w:pPr>
    </w:p>
    <w:p w14:paraId="297C962F" w14:textId="77777777" w:rsidR="00AA5B6C" w:rsidRDefault="00AA5B6C">
      <w:pPr>
        <w:rPr>
          <w:lang w:val="en-US"/>
        </w:rPr>
      </w:pPr>
    </w:p>
    <w:p w14:paraId="2B9A5F65" w14:textId="77777777" w:rsidR="00AA5B6C" w:rsidRPr="00090B7C" w:rsidRDefault="00AA5B6C" w:rsidP="00090B7C">
      <w:pPr>
        <w:spacing w:line="480" w:lineRule="auto"/>
        <w:rPr>
          <w:rFonts w:ascii="Times New Roman" w:hAnsi="Times New Roman" w:cs="Times New Roman"/>
          <w:i/>
          <w:sz w:val="24"/>
          <w:szCs w:val="24"/>
        </w:rPr>
      </w:pPr>
      <w:r w:rsidRPr="00090B7C">
        <w:rPr>
          <w:rFonts w:ascii="Times New Roman" w:hAnsi="Times New Roman" w:cs="Times New Roman"/>
          <w:i/>
          <w:sz w:val="24"/>
          <w:szCs w:val="24"/>
          <w:highlight w:val="yellow"/>
        </w:rPr>
        <w:t>*Correspondence to:</w:t>
      </w:r>
      <w:r w:rsidRPr="00090B7C">
        <w:rPr>
          <w:rFonts w:ascii="Times New Roman" w:hAnsi="Times New Roman" w:cs="Times New Roman"/>
          <w:i/>
          <w:sz w:val="24"/>
          <w:szCs w:val="24"/>
        </w:rPr>
        <w:t xml:space="preserve"> </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2DC77A7E" w:rsidR="00AA5B6C" w:rsidRDefault="00AA5B6C" w:rsidP="00F80ACA">
      <w:pPr>
        <w:spacing w:line="480" w:lineRule="auto"/>
      </w:pPr>
      <w:r>
        <w:rPr>
          <w:rFonts w:ascii="Times New Roman" w:hAnsi="Times New Roman" w:cs="Times New Roman"/>
          <w:b/>
          <w:bCs/>
          <w:sz w:val="24"/>
          <w:szCs w:val="24"/>
          <w:lang w:val="en-US"/>
        </w:rPr>
        <w:t>Background</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0F254D">
        <w:rPr>
          <w:rFonts w:ascii="Times New Roman" w:hAnsi="Times New Roman" w:cs="Times New Roman"/>
          <w:sz w:val="24"/>
          <w:szCs w:val="24"/>
          <w:lang w:val="en-US"/>
        </w:rPr>
        <w:t xml:space="preserve">vidence regarding the </w:t>
      </w:r>
      <w:r>
        <w:rPr>
          <w:rFonts w:ascii="Times New Roman" w:hAnsi="Times New Roman" w:cs="Times New Roman"/>
          <w:sz w:val="24"/>
          <w:szCs w:val="24"/>
          <w:lang w:val="en-US"/>
        </w:rPr>
        <w:t>implications</w:t>
      </w:r>
      <w:r w:rsidRPr="000F254D">
        <w:rPr>
          <w:rFonts w:ascii="Times New Roman" w:hAnsi="Times New Roman" w:cs="Times New Roman"/>
          <w:sz w:val="24"/>
          <w:szCs w:val="24"/>
          <w:lang w:val="en-US"/>
        </w:rPr>
        <w:t xml:space="preserve"> of reporting </w:t>
      </w:r>
      <w:r w:rsidRPr="00090B7C">
        <w:rPr>
          <w:rFonts w:ascii="Times New Roman" w:hAnsi="Times New Roman" w:cs="Times New Roman"/>
          <w:sz w:val="24"/>
          <w:szCs w:val="24"/>
          <w:lang w:val="en-US"/>
        </w:rPr>
        <w:t xml:space="preserve">polysubstance use </w:t>
      </w:r>
      <w:r>
        <w:rPr>
          <w:rFonts w:ascii="Times New Roman" w:hAnsi="Times New Roman" w:cs="Times New Roman"/>
          <w:sz w:val="24"/>
          <w:szCs w:val="24"/>
          <w:lang w:val="en-US"/>
        </w:rPr>
        <w:t>(</w:t>
      </w:r>
      <w:r w:rsidRPr="000F254D">
        <w:rPr>
          <w:rFonts w:ascii="Times New Roman" w:hAnsi="Times New Roman" w:cs="Times New Roman"/>
          <w:sz w:val="24"/>
          <w:szCs w:val="24"/>
          <w:lang w:val="en-US"/>
        </w:rPr>
        <w:t>PSU</w:t>
      </w:r>
      <w:r>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admission </w:t>
      </w:r>
      <w:r w:rsidRPr="000F254D">
        <w:rPr>
          <w:rFonts w:ascii="Times New Roman" w:hAnsi="Times New Roman" w:cs="Times New Roman"/>
          <w:sz w:val="24"/>
          <w:szCs w:val="24"/>
          <w:lang w:val="en-US"/>
        </w:rPr>
        <w:t>on</w:t>
      </w:r>
      <w:r>
        <w:rPr>
          <w:rFonts w:ascii="Times New Roman" w:hAnsi="Times New Roman" w:cs="Times New Roman"/>
          <w:sz w:val="24"/>
          <w:szCs w:val="24"/>
          <w:lang w:val="en-US"/>
        </w:rPr>
        <w:t xml:space="preserve"> substance use</w:t>
      </w:r>
      <w:r w:rsidRPr="000F254D">
        <w:rPr>
          <w:rFonts w:ascii="Times New Roman" w:hAnsi="Times New Roman" w:cs="Times New Roman"/>
          <w:sz w:val="24"/>
          <w:szCs w:val="24"/>
          <w:lang w:val="en-US"/>
        </w:rPr>
        <w:t xml:space="preserve"> treatment </w:t>
      </w:r>
      <w:r>
        <w:rPr>
          <w:rFonts w:ascii="Times New Roman" w:hAnsi="Times New Roman" w:cs="Times New Roman"/>
          <w:sz w:val="24"/>
          <w:szCs w:val="24"/>
          <w:lang w:val="en-US"/>
        </w:rPr>
        <w:t xml:space="preserve">(SUT) </w:t>
      </w:r>
      <w:r w:rsidRPr="000F254D">
        <w:rPr>
          <w:rFonts w:ascii="Times New Roman" w:hAnsi="Times New Roman" w:cs="Times New Roman"/>
          <w:sz w:val="24"/>
          <w:szCs w:val="24"/>
          <w:lang w:val="en-US"/>
        </w:rPr>
        <w:t xml:space="preserve">outcomes is limited. </w:t>
      </w: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most studies </w:t>
      </w:r>
      <w:r>
        <w:rPr>
          <w:rFonts w:ascii="Times New Roman" w:hAnsi="Times New Roman" w:cs="Times New Roman"/>
          <w:sz w:val="24"/>
          <w:szCs w:val="24"/>
          <w:lang w:val="en-US"/>
        </w:rPr>
        <w:t xml:space="preserve">come from the Global North and </w:t>
      </w:r>
      <w:r w:rsidRPr="000F254D">
        <w:rPr>
          <w:rFonts w:ascii="Times New Roman" w:hAnsi="Times New Roman" w:cs="Times New Roman"/>
          <w:sz w:val="24"/>
          <w:szCs w:val="24"/>
          <w:lang w:val="en-US"/>
        </w:rPr>
        <w:t>have focused on individual substances in isolation</w:t>
      </w:r>
      <w:r>
        <w:rPr>
          <w:rFonts w:ascii="Times New Roman" w:hAnsi="Times New Roman" w:cs="Times New Roman"/>
          <w:sz w:val="24"/>
          <w:szCs w:val="24"/>
          <w:lang w:val="en-US"/>
        </w:rPr>
        <w:t>, with one SUT episode</w:t>
      </w:r>
      <w:ins w:id="3" w:author="Andrés González Santa Cruz" w:date="2024-07-18T14:02:00Z" w16du:dateUtc="2024-07-18T18:02:00Z">
        <w:r w:rsidR="00C77E12">
          <w:rPr>
            <w:rFonts w:ascii="Times New Roman" w:hAnsi="Times New Roman" w:cs="Times New Roman"/>
            <w:sz w:val="24"/>
            <w:szCs w:val="24"/>
            <w:lang w:val="en-US"/>
          </w:rPr>
          <w:t>. They also</w:t>
        </w:r>
      </w:ins>
      <w:del w:id="4" w:author="Andrés González Santa Cruz" w:date="2024-07-18T14:02:00Z" w16du:dateUtc="2024-07-18T18:02:00Z">
        <w:r w:rsidDel="00C77E12">
          <w:rPr>
            <w:rFonts w:ascii="Times New Roman" w:hAnsi="Times New Roman" w:cs="Times New Roman"/>
            <w:sz w:val="24"/>
            <w:szCs w:val="24"/>
            <w:lang w:val="en-US"/>
          </w:rPr>
          <w:delText>,</w:delText>
        </w:r>
        <w:r w:rsidRPr="000F254D" w:rsidDel="00C77E12">
          <w:rPr>
            <w:rFonts w:ascii="Times New Roman" w:hAnsi="Times New Roman" w:cs="Times New Roman"/>
            <w:sz w:val="24"/>
            <w:szCs w:val="24"/>
            <w:lang w:val="en-US"/>
          </w:rPr>
          <w:delText xml:space="preserve"> and</w:delText>
        </w:r>
      </w:del>
      <w:r w:rsidRPr="000F254D">
        <w:rPr>
          <w:rFonts w:ascii="Times New Roman" w:hAnsi="Times New Roman" w:cs="Times New Roman"/>
          <w:sz w:val="24"/>
          <w:szCs w:val="24"/>
          <w:lang w:val="en-US"/>
        </w:rPr>
        <w:t xml:space="preserve"> have considered PSU as an exclusion criterion for studies on treatment effectiveness, rais</w:t>
      </w:r>
      <w:r>
        <w:rPr>
          <w:rFonts w:ascii="Times New Roman" w:hAnsi="Times New Roman" w:cs="Times New Roman"/>
          <w:sz w:val="24"/>
          <w:szCs w:val="24"/>
          <w:lang w:val="en-US"/>
        </w:rPr>
        <w:t>ing</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concerns about </w:t>
      </w:r>
      <w:r w:rsidRPr="000F254D">
        <w:rPr>
          <w:rFonts w:ascii="Times New Roman" w:hAnsi="Times New Roman" w:cs="Times New Roman"/>
          <w:sz w:val="24"/>
          <w:szCs w:val="24"/>
          <w:lang w:val="en-US"/>
        </w:rPr>
        <w:t>its translatability to real health contexts</w:t>
      </w:r>
      <w:r>
        <w:rPr>
          <w:rFonts w:ascii="Times New Roman" w:hAnsi="Times New Roman" w:cs="Times New Roman"/>
          <w:sz w:val="24"/>
          <w:szCs w:val="24"/>
          <w:lang w:val="en-US"/>
        </w:rPr>
        <w:t>. Therefore,</w:t>
      </w:r>
      <w:r w:rsidRPr="000F254D">
        <w:rPr>
          <w:rFonts w:ascii="Times New Roman" w:hAnsi="Times New Roman" w:cs="Times New Roman"/>
          <w:sz w:val="24"/>
          <w:szCs w:val="24"/>
          <w:lang w:val="en-US"/>
        </w:rPr>
        <w:t xml:space="preserve"> it is crucial to determine the role of reporting PSU in treatment </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(i.e., treatment dropouts</w:t>
      </w:r>
      <w:ins w:id="5" w:author="Andrés González Santa Cruz" w:date="2024-07-19T17:55:00Z" w16du:dateUtc="2024-07-19T21:55:00Z">
        <w:r w:rsidR="005F34B7">
          <w:rPr>
            <w:rFonts w:ascii="Times New Roman" w:hAnsi="Times New Roman" w:cs="Times New Roman"/>
            <w:sz w:val="24"/>
            <w:szCs w:val="24"/>
            <w:lang w:val="en-US"/>
          </w:rPr>
          <w:t>, spelled by misconduct</w:t>
        </w:r>
      </w:ins>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to improve treatment </w:t>
      </w:r>
      <w:r>
        <w:rPr>
          <w:rFonts w:ascii="Times New Roman" w:hAnsi="Times New Roman" w:cs="Times New Roman"/>
          <w:sz w:val="24"/>
          <w:szCs w:val="24"/>
          <w:lang w:val="en-US"/>
        </w:rPr>
        <w:t>for these groups</w:t>
      </w:r>
      <w:commentRangeStart w:id="6"/>
      <w:commentRangeEnd w:id="6"/>
      <w:r>
        <w:rPr>
          <w:rStyle w:val="Refdecomentario"/>
          <w:rFonts w:ascii="Times New Roman" w:eastAsia="Times New Roman" w:hAnsi="Times New Roman" w:cs="Times New Roman"/>
          <w:lang w:val="en-US" w:eastAsia="es-CL"/>
        </w:rPr>
        <w:commentReference w:id="6"/>
      </w:r>
      <w:r>
        <w:rPr>
          <w:rFonts w:ascii="Times New Roman" w:hAnsi="Times New Roman" w:cs="Times New Roman"/>
          <w:sz w:val="24"/>
          <w:szCs w:val="24"/>
          <w:lang w:val="en-US"/>
        </w:rPr>
        <w:t>, especially outside the Global North.</w:t>
      </w:r>
    </w:p>
    <w:p w14:paraId="210789D7" w14:textId="7EA567DE" w:rsidR="00AA5B6C" w:rsidRDefault="00AA5B6C" w:rsidP="00373382">
      <w:pPr>
        <w:spacing w:line="480" w:lineRule="auto"/>
        <w:rPr>
          <w:ins w:id="7" w:author="Andrés González Santa Cruz" w:date="2024-07-18T14:33:00Z" w16du:dateUtc="2024-07-18T18:33:00Z"/>
          <w:rFonts w:ascii="Times New Roman" w:hAnsi="Times New Roman" w:cs="Times New Roman"/>
          <w:sz w:val="24"/>
          <w:szCs w:val="24"/>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This </w:t>
      </w:r>
      <w:ins w:id="8" w:author="Andrés González Santa Cruz" w:date="2024-07-18T14:05:00Z" w16du:dateUtc="2024-07-18T18:05:00Z">
        <w:r w:rsidR="00BD2D72">
          <w:rPr>
            <w:rFonts w:ascii="Times New Roman" w:hAnsi="Times New Roman" w:cs="Times New Roman"/>
            <w:sz w:val="24"/>
            <w:szCs w:val="24"/>
            <w:lang w:val="en-US"/>
          </w:rPr>
          <w:t xml:space="preserve">comprehensive </w:t>
        </w:r>
      </w:ins>
      <w:r w:rsidRPr="00090B7C">
        <w:rPr>
          <w:rFonts w:ascii="Times New Roman" w:hAnsi="Times New Roman" w:cs="Times New Roman"/>
          <w:sz w:val="24"/>
          <w:szCs w:val="24"/>
          <w:lang w:val="en-US"/>
        </w:rPr>
        <w:t xml:space="preserve">retrospective cohort study was based on adult treatment records from the Chilean National </w:t>
      </w:r>
      <w:r>
        <w:rPr>
          <w:rFonts w:ascii="Times New Roman" w:hAnsi="Times New Roman" w:cs="Times New Roman"/>
          <w:sz w:val="24"/>
          <w:szCs w:val="24"/>
          <w:lang w:val="en-US"/>
        </w:rPr>
        <w:t xml:space="preserve">Substance Use Agency </w:t>
      </w:r>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were analyzed,</w:t>
      </w:r>
      <w:r>
        <w:rPr>
          <w:rFonts w:ascii="Times New Roman" w:hAnsi="Times New Roman" w:cs="Times New Roman"/>
          <w:sz w:val="24"/>
          <w:szCs w:val="24"/>
          <w:lang w:val="en-US"/>
        </w:rPr>
        <w:t xml:space="preserve"> with</w:t>
      </w:r>
      <w:r w:rsidRPr="00090B7C">
        <w:rPr>
          <w:rFonts w:ascii="Times New Roman" w:hAnsi="Times New Roman" w:cs="Times New Roman"/>
          <w:sz w:val="24"/>
          <w:szCs w:val="24"/>
          <w:lang w:val="en-US"/>
        </w:rPr>
        <w:t xml:space="preserve"> 70,854 </w:t>
      </w:r>
      <w:r>
        <w:rPr>
          <w:rFonts w:ascii="Times New Roman" w:hAnsi="Times New Roman" w:cs="Times New Roman"/>
          <w:sz w:val="24"/>
          <w:szCs w:val="24"/>
          <w:lang w:val="en-US"/>
        </w:rPr>
        <w:t>treatment episodes</w:t>
      </w:r>
      <w:r w:rsidRPr="00090B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completed. The primary outcome was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w:t>
      </w:r>
      <w:r w:rsidRPr="00373382">
        <w:rPr>
          <w:rFonts w:ascii="Arial" w:hAnsi="Arial" w:cs="Arial"/>
          <w:color w:val="222222"/>
          <w:shd w:val="clear" w:color="auto" w:fill="FFFFFF"/>
        </w:rPr>
        <w:t xml:space="preserve"> </w:t>
      </w:r>
      <w:r w:rsidRPr="000B7AC1">
        <w:rPr>
          <w:rFonts w:ascii="Times New Roman" w:hAnsi="Times New Roman" w:cs="Times New Roman"/>
          <w:sz w:val="24"/>
          <w:szCs w:val="24"/>
        </w:rPr>
        <w:t xml:space="preserve">We used Poisson general estimating equations, controlling for several covariates of each patient, to </w:t>
      </w:r>
      <w:del w:id="9" w:author="Andrés González Santa Cruz" w:date="2024-07-18T14:00:00Z" w16du:dateUtc="2024-07-18T18:00:00Z">
        <w:r w:rsidRPr="000B7AC1" w:rsidDel="00C77E12">
          <w:rPr>
            <w:rFonts w:ascii="Times New Roman" w:hAnsi="Times New Roman" w:cs="Times New Roman"/>
            <w:sz w:val="24"/>
            <w:szCs w:val="24"/>
          </w:rPr>
          <w:delText xml:space="preserve">measure </w:delText>
        </w:r>
      </w:del>
      <w:ins w:id="10" w:author="Andrés González Santa Cruz" w:date="2024-07-18T14:00:00Z" w16du:dateUtc="2024-07-18T18:00:00Z">
        <w:r w:rsidR="00C77E12">
          <w:rPr>
            <w:rFonts w:ascii="Times New Roman" w:hAnsi="Times New Roman" w:cs="Times New Roman"/>
            <w:sz w:val="24"/>
            <w:szCs w:val="24"/>
          </w:rPr>
          <w:t>estimate</w:t>
        </w:r>
        <w:r w:rsidR="00C77E12" w:rsidRPr="000B7AC1">
          <w:rPr>
            <w:rFonts w:ascii="Times New Roman" w:hAnsi="Times New Roman" w:cs="Times New Roman"/>
            <w:sz w:val="24"/>
            <w:szCs w:val="24"/>
          </w:rPr>
          <w:t xml:space="preserve"> </w:t>
        </w:r>
      </w:ins>
      <w:r w:rsidRPr="000B7AC1">
        <w:rPr>
          <w:rFonts w:ascii="Times New Roman" w:hAnsi="Times New Roman" w:cs="Times New Roman"/>
          <w:sz w:val="24"/>
          <w:szCs w:val="24"/>
        </w:rPr>
        <w:t xml:space="preserve">the relative risk (RR) and 95% confidence intervals (95% CI) of non-completion by reporting PSU. Sensitivity analyses </w:t>
      </w:r>
      <w:del w:id="11" w:author="Andrés González Santa Cruz" w:date="2024-07-19T15:43:00Z" w16du:dateUtc="2024-07-19T19:43:00Z">
        <w:r w:rsidRPr="000B7AC1" w:rsidDel="00C53B83">
          <w:rPr>
            <w:rFonts w:ascii="Times New Roman" w:hAnsi="Times New Roman" w:cs="Times New Roman"/>
            <w:sz w:val="24"/>
            <w:szCs w:val="24"/>
          </w:rPr>
          <w:delText>used</w:delText>
        </w:r>
      </w:del>
      <w:ins w:id="12" w:author="Andrés González Santa Cruz" w:date="2024-07-19T15:43:00Z" w16du:dateUtc="2024-07-19T19:43:00Z">
        <w:r w:rsidR="00C53B83">
          <w:rPr>
            <w:rFonts w:ascii="Times New Roman" w:hAnsi="Times New Roman" w:cs="Times New Roman"/>
            <w:sz w:val="24"/>
            <w:szCs w:val="24"/>
          </w:rPr>
          <w:t xml:space="preserve">were conducted through </w:t>
        </w:r>
      </w:ins>
      <w:ins w:id="13" w:author="Andrés González Santa Cruz" w:date="2024-07-18T14:34:00Z" w16du:dateUtc="2024-07-18T18:34:00Z">
        <w:r w:rsidR="001200A7">
          <w:rPr>
            <w:rFonts w:ascii="Times New Roman" w:hAnsi="Times New Roman" w:cs="Times New Roman"/>
            <w:sz w:val="24"/>
            <w:szCs w:val="24"/>
          </w:rPr>
          <w:t xml:space="preserve">marginal structural models </w:t>
        </w:r>
      </w:ins>
      <w:ins w:id="14" w:author="Andrés González Santa Cruz" w:date="2024-07-19T15:43:00Z" w16du:dateUtc="2024-07-19T19:43:00Z">
        <w:r w:rsidR="00C53B83">
          <w:rPr>
            <w:rFonts w:ascii="Times New Roman" w:hAnsi="Times New Roman" w:cs="Times New Roman"/>
            <w:sz w:val="24"/>
            <w:szCs w:val="24"/>
          </w:rPr>
          <w:t>using</w:t>
        </w:r>
      </w:ins>
      <w:r w:rsidRPr="000B7AC1">
        <w:rPr>
          <w:rFonts w:ascii="Times New Roman" w:hAnsi="Times New Roman" w:cs="Times New Roman"/>
          <w:sz w:val="24"/>
          <w:szCs w:val="24"/>
        </w:rPr>
        <w:t xml:space="preserve"> weigh</w:t>
      </w:r>
      <w:ins w:id="15" w:author="Andrés González Santa Cruz" w:date="2024-07-18T14:34:00Z" w16du:dateUtc="2024-07-18T18:34:00Z">
        <w:r w:rsidR="00192038">
          <w:rPr>
            <w:rFonts w:ascii="Times New Roman" w:hAnsi="Times New Roman" w:cs="Times New Roman"/>
            <w:sz w:val="24"/>
            <w:szCs w:val="24"/>
          </w:rPr>
          <w:t>ts</w:t>
        </w:r>
      </w:ins>
      <w:del w:id="16" w:author="Andrés González Santa Cruz" w:date="2024-07-18T14:34:00Z" w16du:dateUtc="2024-07-18T18:34:00Z">
        <w:r w:rsidRPr="000B7AC1" w:rsidDel="00192038">
          <w:rPr>
            <w:rFonts w:ascii="Times New Roman" w:hAnsi="Times New Roman" w:cs="Times New Roman"/>
            <w:sz w:val="24"/>
            <w:szCs w:val="24"/>
          </w:rPr>
          <w:delText>t</w:delText>
        </w:r>
        <w:r w:rsidDel="00192038">
          <w:rPr>
            <w:rFonts w:ascii="Times New Roman" w:hAnsi="Times New Roman" w:cs="Times New Roman"/>
            <w:sz w:val="24"/>
            <w:szCs w:val="24"/>
          </w:rPr>
          <w:delText>ing</w:delText>
        </w:r>
      </w:del>
      <w:del w:id="17" w:author="Andrés González Santa Cruz" w:date="2024-07-19T15:43:00Z" w16du:dateUtc="2024-07-19T19:43:00Z">
        <w:r w:rsidDel="00C53B83">
          <w:rPr>
            <w:rFonts w:ascii="Times New Roman" w:hAnsi="Times New Roman" w:cs="Times New Roman"/>
            <w:sz w:val="24"/>
            <w:szCs w:val="24"/>
          </w:rPr>
          <w:delText>,</w:delText>
        </w:r>
      </w:del>
      <w:r>
        <w:rPr>
          <w:rFonts w:ascii="Times New Roman" w:hAnsi="Times New Roman" w:cs="Times New Roman"/>
          <w:sz w:val="24"/>
          <w:szCs w:val="24"/>
        </w:rPr>
        <w:t xml:space="preserve"> accounting</w:t>
      </w:r>
      <w:r w:rsidRPr="000B7AC1">
        <w:rPr>
          <w:rFonts w:ascii="Times New Roman" w:hAnsi="Times New Roman" w:cs="Times New Roman"/>
          <w:sz w:val="24"/>
          <w:szCs w:val="24"/>
        </w:rPr>
        <w:t xml:space="preserve"> for the inverse intensity of the treatments.</w:t>
      </w:r>
    </w:p>
    <w:p w14:paraId="393FC15E" w14:textId="2C766D3C" w:rsidR="00AA5B6C" w:rsidRPr="00090B7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18"/>
      <w:commentRangeStart w:id="19"/>
      <w:r w:rsidRPr="00090B7C">
        <w:rPr>
          <w:rFonts w:ascii="Times New Roman" w:hAnsi="Times New Roman" w:cs="Times New Roman"/>
          <w:sz w:val="24"/>
          <w:szCs w:val="24"/>
          <w:lang w:val="en-US"/>
        </w:rPr>
        <w:t>The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was </w:t>
      </w:r>
      <w:del w:id="20" w:author="Andrés González Santa Cruz" w:date="2024-07-18T14:00:00Z" w16du:dateUtc="2024-07-18T18:00:00Z">
        <w:r w:rsidRPr="00090B7C" w:rsidDel="00C77E12">
          <w:rPr>
            <w:rFonts w:ascii="Times New Roman" w:hAnsi="Times New Roman" w:cs="Times New Roman"/>
            <w:sz w:val="24"/>
            <w:szCs w:val="24"/>
            <w:lang w:val="en-US"/>
          </w:rPr>
          <w:delText xml:space="preserve">significantly </w:delText>
        </w:r>
      </w:del>
      <w:r w:rsidRPr="00090B7C">
        <w:rPr>
          <w:rFonts w:ascii="Times New Roman" w:hAnsi="Times New Roman" w:cs="Times New Roman"/>
          <w:sz w:val="24"/>
          <w:szCs w:val="24"/>
          <w:lang w:val="en-US"/>
        </w:rPr>
        <w:t>higher in intensive ambulatory settings for the general population</w:t>
      </w:r>
      <w:r>
        <w:rPr>
          <w:rFonts w:ascii="Times New Roman" w:hAnsi="Times New Roman" w:cs="Times New Roman"/>
          <w:sz w:val="24"/>
          <w:szCs w:val="24"/>
          <w:lang w:val="en-US"/>
        </w:rPr>
        <w:t xml:space="preserve"> (RR</w:t>
      </w:r>
      <w:ins w:id="21" w:author="Andrés González Santa Cruz" w:date="2024-07-19T17:55:00Z" w16du:dateUtc="2024-07-19T21:55:00Z">
        <w:r w:rsidR="005F34B7">
          <w:rPr>
            <w:rFonts w:ascii="Times New Roman" w:hAnsi="Times New Roman" w:cs="Times New Roman"/>
            <w:sz w:val="24"/>
            <w:szCs w:val="24"/>
            <w:lang w:val="en-US"/>
          </w:rPr>
          <w:t>=</w:t>
        </w:r>
      </w:ins>
      <w:r>
        <w:rPr>
          <w:rFonts w:ascii="Times New Roman" w:hAnsi="Times New Roman" w:cs="Times New Roman"/>
          <w:sz w:val="24"/>
          <w:szCs w:val="24"/>
          <w:lang w:val="en-US"/>
        </w:rPr>
        <w:t xml:space="preserve"> 1.04 </w:t>
      </w:r>
      <w:r w:rsidRPr="00324CFC">
        <w:rPr>
          <w:rFonts w:ascii="Times New Roman" w:hAnsi="Times New Roman" w:cs="Times New Roman"/>
          <w:sz w:val="24"/>
          <w:szCs w:val="24"/>
          <w:lang w:val="en-US"/>
        </w:rPr>
        <w:t>95% CI</w:t>
      </w:r>
      <w:r>
        <w:rPr>
          <w:rFonts w:ascii="Times New Roman" w:hAnsi="Times New Roman" w:cs="Times New Roman"/>
          <w:sz w:val="24"/>
          <w:szCs w:val="24"/>
          <w:lang w:val="en-US"/>
        </w:rPr>
        <w:t xml:space="preserve"> 1.01-1.07)</w:t>
      </w:r>
      <w:r w:rsidRPr="00090B7C">
        <w:rPr>
          <w:rFonts w:ascii="Times New Roman" w:hAnsi="Times New Roman" w:cs="Times New Roman"/>
          <w:sz w:val="24"/>
          <w:szCs w:val="24"/>
          <w:lang w:val="en-US"/>
        </w:rPr>
        <w:t xml:space="preserve"> and in women-only residential settings</w:t>
      </w:r>
      <w:r>
        <w:rPr>
          <w:rFonts w:ascii="Times New Roman" w:hAnsi="Times New Roman" w:cs="Times New Roman"/>
          <w:sz w:val="24"/>
          <w:szCs w:val="24"/>
          <w:lang w:val="en-US"/>
        </w:rPr>
        <w:t xml:space="preserve"> (RR</w:t>
      </w:r>
      <w:ins w:id="22" w:author="Andrés González Santa Cruz" w:date="2024-07-19T17:55:00Z" w16du:dateUtc="2024-07-19T21:55:00Z">
        <w:r w:rsidR="005F34B7">
          <w:rPr>
            <w:rFonts w:ascii="Times New Roman" w:hAnsi="Times New Roman" w:cs="Times New Roman"/>
            <w:sz w:val="24"/>
            <w:szCs w:val="24"/>
            <w:lang w:val="en-US"/>
          </w:rPr>
          <w:t>=</w:t>
        </w:r>
      </w:ins>
      <w:r>
        <w:rPr>
          <w:rFonts w:ascii="Times New Roman" w:hAnsi="Times New Roman" w:cs="Times New Roman"/>
          <w:sz w:val="24"/>
          <w:szCs w:val="24"/>
          <w:lang w:val="en-US"/>
        </w:rPr>
        <w:t xml:space="preserve"> 1.14 95% CI 1.06-1.23)</w:t>
      </w:r>
      <w:r w:rsidRPr="00090B7C">
        <w:rPr>
          <w:rFonts w:ascii="Times New Roman" w:hAnsi="Times New Roman" w:cs="Times New Roman"/>
          <w:sz w:val="24"/>
          <w:szCs w:val="24"/>
          <w:lang w:val="en-US"/>
        </w:rPr>
        <w:t xml:space="preserve">. </w:t>
      </w:r>
      <w:commentRangeEnd w:id="18"/>
      <w:r w:rsidRPr="00090B7C">
        <w:rPr>
          <w:rFonts w:ascii="Times New Roman" w:hAnsi="Times New Roman" w:cs="Times New Roman"/>
          <w:sz w:val="24"/>
          <w:szCs w:val="24"/>
          <w:lang w:val="en-US"/>
        </w:rPr>
        <w:t xml:space="preserve">However, this association was </w:t>
      </w:r>
      <w:del w:id="23" w:author="Andrés González Santa Cruz" w:date="2024-07-18T14:04:00Z" w16du:dateUtc="2024-07-18T18:04:00Z">
        <w:r w:rsidRPr="00090B7C" w:rsidDel="00BD2D72">
          <w:rPr>
            <w:rFonts w:ascii="Times New Roman" w:hAnsi="Times New Roman" w:cs="Times New Roman"/>
            <w:sz w:val="24"/>
            <w:szCs w:val="24"/>
            <w:lang w:val="en-US"/>
          </w:rPr>
          <w:delText xml:space="preserve">not </w:delText>
        </w:r>
      </w:del>
      <w:ins w:id="24" w:author="Andrés González Santa Cruz" w:date="2024-07-18T14:04:00Z" w16du:dateUtc="2024-07-18T18:04:00Z">
        <w:r w:rsidR="00BD2D72">
          <w:rPr>
            <w:rFonts w:ascii="Times New Roman" w:hAnsi="Times New Roman" w:cs="Times New Roman"/>
            <w:sz w:val="24"/>
            <w:szCs w:val="24"/>
            <w:lang w:val="en-US"/>
          </w:rPr>
          <w:t>in</w:t>
        </w:r>
      </w:ins>
      <w:r w:rsidRPr="00090B7C">
        <w:rPr>
          <w:rFonts w:ascii="Times New Roman" w:hAnsi="Times New Roman" w:cs="Times New Roman"/>
          <w:sz w:val="24"/>
          <w:szCs w:val="24"/>
          <w:lang w:val="en-US"/>
        </w:rPr>
        <w:t>consistent across all treatment settings</w:t>
      </w:r>
      <w:r>
        <w:rPr>
          <w:rFonts w:ascii="Times New Roman" w:hAnsi="Times New Roman" w:cs="Times New Roman"/>
          <w:sz w:val="24"/>
          <w:szCs w:val="24"/>
          <w:lang w:val="en-US"/>
        </w:rPr>
        <w:t xml:space="preserve"> (</w:t>
      </w:r>
      <w:r w:rsidRPr="00ED0D98">
        <w:rPr>
          <w:rFonts w:ascii="Times New Roman" w:hAnsi="Times New Roman" w:cs="Times New Roman"/>
          <w:sz w:val="24"/>
          <w:szCs w:val="24"/>
          <w:lang w:val="en-US"/>
        </w:rPr>
        <w:t>Cochran's Q = 14.49, p = 0.0059</w:t>
      </w:r>
      <w:r>
        <w:rPr>
          <w:rFonts w:ascii="Times New Roman" w:hAnsi="Times New Roman" w:cs="Times New Roman"/>
          <w:sz w:val="24"/>
          <w:szCs w:val="24"/>
          <w:lang w:val="en-US"/>
        </w:rPr>
        <w:t>)</w:t>
      </w:r>
      <w:r w:rsidRPr="00090B7C">
        <w:rPr>
          <w:rFonts w:ascii="Times New Roman" w:hAnsi="Times New Roman" w:cs="Times New Roman"/>
          <w:sz w:val="24"/>
          <w:szCs w:val="24"/>
          <w:lang w:val="en-US"/>
        </w:rPr>
        <w:t>.</w:t>
      </w:r>
      <w:commentRangeStart w:id="25"/>
      <w:commentRangeEnd w:id="25"/>
      <w:r>
        <w:rPr>
          <w:rStyle w:val="Refdecomentario"/>
          <w:rFonts w:ascii="Times New Roman" w:eastAsia="Times New Roman" w:hAnsi="Times New Roman" w:cs="Times New Roman"/>
          <w:lang w:val="en-US" w:eastAsia="es-CL"/>
        </w:rPr>
        <w:commentReference w:id="25"/>
      </w:r>
      <w:commentRangeStart w:id="26"/>
      <w:commentRangeEnd w:id="26"/>
      <w:r>
        <w:rPr>
          <w:rStyle w:val="Refdecomentario"/>
          <w:rFonts w:ascii="Times New Roman" w:eastAsia="Times New Roman" w:hAnsi="Times New Roman" w:cs="Times New Roman"/>
          <w:lang w:val="en-US" w:eastAsia="es-CL"/>
        </w:rPr>
        <w:commentReference w:id="26"/>
      </w:r>
      <w:r>
        <w:rPr>
          <w:rStyle w:val="Refdecomentario"/>
          <w:rFonts w:ascii="Times New Roman" w:eastAsia="Times New Roman" w:hAnsi="Times New Roman" w:cs="Times New Roman"/>
          <w:lang w:val="en-US" w:eastAsia="es-CL"/>
        </w:rPr>
        <w:commentReference w:id="18"/>
      </w:r>
      <w:commentRangeEnd w:id="19"/>
      <w:r>
        <w:rPr>
          <w:rStyle w:val="Refdecomentario"/>
          <w:rFonts w:ascii="Times New Roman" w:eastAsia="Times New Roman" w:hAnsi="Times New Roman" w:cs="Times New Roman"/>
          <w:lang w:val="en-US" w:eastAsia="es-CL"/>
        </w:rPr>
        <w:commentReference w:id="19"/>
      </w:r>
      <w:r>
        <w:rPr>
          <w:rFonts w:ascii="Times New Roman" w:hAnsi="Times New Roman" w:cs="Times New Roman"/>
          <w:sz w:val="24"/>
          <w:szCs w:val="24"/>
          <w:lang w:val="en-US"/>
        </w:rPr>
        <w:t xml:space="preserve"> </w:t>
      </w:r>
      <w:del w:id="27" w:author="Andrés González Santa Cruz" w:date="2024-07-18T14:01:00Z" w16du:dateUtc="2024-07-18T18:01:00Z">
        <w:r w:rsidDel="00C77E12">
          <w:rPr>
            <w:rFonts w:ascii="Times New Roman" w:hAnsi="Times New Roman" w:cs="Times New Roman"/>
            <w:sz w:val="24"/>
            <w:szCs w:val="24"/>
            <w:lang w:val="en-US"/>
          </w:rPr>
          <w:delText>The s</w:delText>
        </w:r>
      </w:del>
      <w:ins w:id="28" w:author="Andrés González Santa Cruz" w:date="2024-07-18T14:01:00Z" w16du:dateUtc="2024-07-18T18:01:00Z">
        <w:r w:rsidR="00C77E12">
          <w:rPr>
            <w:rFonts w:ascii="Times New Roman" w:hAnsi="Times New Roman" w:cs="Times New Roman"/>
            <w:sz w:val="24"/>
            <w:szCs w:val="24"/>
            <w:lang w:val="en-US"/>
          </w:rPr>
          <w:t>S</w:t>
        </w:r>
      </w:ins>
      <w:r>
        <w:rPr>
          <w:rFonts w:ascii="Times New Roman" w:hAnsi="Times New Roman" w:cs="Times New Roman"/>
          <w:sz w:val="24"/>
          <w:szCs w:val="24"/>
          <w:lang w:val="en-US"/>
        </w:rPr>
        <w:t xml:space="preserve">ensitivity analyses were consistent with the main results </w:t>
      </w:r>
      <w:del w:id="29" w:author="Andrés González Santa Cruz" w:date="2024-07-18T14:04:00Z" w16du:dateUtc="2024-07-18T18:04:00Z">
        <w:r w:rsidDel="00BD2D72">
          <w:rPr>
            <w:rFonts w:ascii="Times New Roman" w:hAnsi="Times New Roman" w:cs="Times New Roman"/>
            <w:sz w:val="24"/>
            <w:szCs w:val="24"/>
            <w:lang w:val="en-US"/>
          </w:rPr>
          <w:delText>in terms of</w:delText>
        </w:r>
      </w:del>
      <w:ins w:id="30" w:author="Andrés González Santa Cruz" w:date="2024-07-18T14:04:00Z" w16du:dateUtc="2024-07-18T18:04:00Z">
        <w:r w:rsidR="00BD2D72">
          <w:rPr>
            <w:rFonts w:ascii="Times New Roman" w:hAnsi="Times New Roman" w:cs="Times New Roman"/>
            <w:sz w:val="24"/>
            <w:szCs w:val="24"/>
            <w:lang w:val="en-US"/>
          </w:rPr>
          <w:t>regarding</w:t>
        </w:r>
      </w:ins>
      <w:r>
        <w:rPr>
          <w:rFonts w:ascii="Times New Roman" w:hAnsi="Times New Roman" w:cs="Times New Roman"/>
          <w:sz w:val="24"/>
          <w:szCs w:val="24"/>
          <w:lang w:val="en-US"/>
        </w:rPr>
        <w:t xml:space="preserve"> direction and magnitude.</w:t>
      </w:r>
    </w:p>
    <w:p w14:paraId="5DE9F8D5" w14:textId="322A2C6E" w:rsidR="00AA5B6C" w:rsidRPr="00090B7C" w:rsidRDefault="00AA5B6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lastRenderedPageBreak/>
        <w:t>Conclusions</w:t>
      </w:r>
      <w:r w:rsidRPr="00090B7C">
        <w:rPr>
          <w:rFonts w:ascii="Times New Roman" w:hAnsi="Times New Roman" w:cs="Times New Roman"/>
          <w:sz w:val="24"/>
          <w:szCs w:val="24"/>
          <w:lang w:val="en-US"/>
        </w:rPr>
        <w:t>: Reporting PSU at admission was modestly associated with a higher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The analysis, adjusted for various covariates and accounting for irregular observation times, highlighted the association between PSU reporting and treatment outcomes in specific settings. </w:t>
      </w:r>
      <w:ins w:id="31" w:author="Andrés González Santa Cruz" w:date="2024-07-18T14:06:00Z" w16du:dateUtc="2024-07-18T18:06:00Z">
        <w:r w:rsidR="00BD2D72">
          <w:rPr>
            <w:rFonts w:ascii="Times New Roman" w:hAnsi="Times New Roman" w:cs="Times New Roman"/>
            <w:sz w:val="24"/>
            <w:szCs w:val="24"/>
            <w:lang w:val="en-US"/>
          </w:rPr>
          <w:t>T</w:t>
        </w:r>
        <w:r w:rsidR="00BD2D72" w:rsidRPr="00BD2D72">
          <w:rPr>
            <w:rFonts w:ascii="Times New Roman" w:hAnsi="Times New Roman" w:cs="Times New Roman"/>
            <w:sz w:val="24"/>
            <w:szCs w:val="24"/>
            <w:lang w:val="en-US"/>
          </w:rPr>
          <w:t>his study is one of the few from outside the Global North</w:t>
        </w:r>
        <w:r w:rsidR="00BD2D72">
          <w:rPr>
            <w:rFonts w:ascii="Times New Roman" w:hAnsi="Times New Roman" w:cs="Times New Roman"/>
            <w:sz w:val="24"/>
            <w:szCs w:val="24"/>
            <w:lang w:val="en-US"/>
          </w:rPr>
          <w:t xml:space="preserve"> and</w:t>
        </w:r>
        <w:r w:rsidR="00BD2D72" w:rsidRPr="00BD2D72">
          <w:rPr>
            <w:rFonts w:ascii="Times New Roman" w:hAnsi="Times New Roman" w:cs="Times New Roman"/>
            <w:sz w:val="24"/>
            <w:szCs w:val="24"/>
            <w:lang w:val="en-US"/>
          </w:rPr>
          <w:t xml:space="preserve"> could have significant implications for substance use treatment worldwide.</w:t>
        </w:r>
        <w:r w:rsidR="00BD2D72">
          <w:rPr>
            <w:rFonts w:ascii="Times New Roman" w:hAnsi="Times New Roman" w:cs="Times New Roman"/>
            <w:sz w:val="24"/>
            <w:szCs w:val="24"/>
            <w:lang w:val="en-US"/>
          </w:rPr>
          <w:t xml:space="preserve"> </w:t>
        </w:r>
      </w:ins>
      <w:del w:id="32" w:author="Andrés González Santa Cruz" w:date="2024-07-18T14:06:00Z" w16du:dateUtc="2024-07-18T18:06:00Z">
        <w:r w:rsidRPr="00090B7C" w:rsidDel="00BD2D72">
          <w:rPr>
            <w:rFonts w:ascii="Times New Roman" w:hAnsi="Times New Roman" w:cs="Times New Roman"/>
            <w:sz w:val="24"/>
            <w:szCs w:val="24"/>
            <w:lang w:val="en-US"/>
          </w:rPr>
          <w:delText xml:space="preserve">This </w:delText>
        </w:r>
      </w:del>
      <w:ins w:id="33" w:author="Andrés González Santa Cruz" w:date="2024-07-18T14:06:00Z" w16du:dateUtc="2024-07-18T18:06:00Z">
        <w:r w:rsidR="00BD2D72">
          <w:rPr>
            <w:rFonts w:ascii="Times New Roman" w:hAnsi="Times New Roman" w:cs="Times New Roman"/>
            <w:sz w:val="24"/>
            <w:szCs w:val="24"/>
            <w:lang w:val="en-US"/>
          </w:rPr>
          <w:t>Findings</w:t>
        </w:r>
        <w:r w:rsidR="00BD2D72" w:rsidRPr="00090B7C">
          <w:rPr>
            <w:rFonts w:ascii="Times New Roman" w:hAnsi="Times New Roman" w:cs="Times New Roman"/>
            <w:sz w:val="24"/>
            <w:szCs w:val="24"/>
            <w:lang w:val="en-US"/>
          </w:rPr>
          <w:t xml:space="preserve"> </w:t>
        </w:r>
      </w:ins>
      <w:r w:rsidRPr="00090B7C">
        <w:rPr>
          <w:rFonts w:ascii="Times New Roman" w:hAnsi="Times New Roman" w:cs="Times New Roman"/>
          <w:sz w:val="24"/>
          <w:szCs w:val="24"/>
          <w:lang w:val="en-US"/>
        </w:rPr>
        <w:t>underscore</w:t>
      </w:r>
      <w:del w:id="34" w:author="Andrés González Santa Cruz" w:date="2024-07-18T14:06:00Z" w16du:dateUtc="2024-07-18T18:06:00Z">
        <w:r w:rsidRPr="00090B7C" w:rsidDel="00BD2D72">
          <w:rPr>
            <w:rFonts w:ascii="Times New Roman" w:hAnsi="Times New Roman" w:cs="Times New Roman"/>
            <w:sz w:val="24"/>
            <w:szCs w:val="24"/>
            <w:lang w:val="en-US"/>
          </w:rPr>
          <w:delText>s</w:delText>
        </w:r>
      </w:del>
      <w:r w:rsidRPr="00090B7C">
        <w:rPr>
          <w:rFonts w:ascii="Times New Roman" w:hAnsi="Times New Roman" w:cs="Times New Roman"/>
          <w:sz w:val="24"/>
          <w:szCs w:val="24"/>
          <w:lang w:val="en-US"/>
        </w:rPr>
        <w:t xml:space="preserve"> the necessity for </w:t>
      </w:r>
      <w:r>
        <w:rPr>
          <w:rFonts w:ascii="Times New Roman" w:hAnsi="Times New Roman" w:cs="Times New Roman"/>
          <w:sz w:val="24"/>
          <w:szCs w:val="24"/>
          <w:lang w:val="en-US"/>
        </w:rPr>
        <w:t>personalized interventions</w:t>
      </w:r>
      <w:r w:rsidRPr="00090B7C">
        <w:rPr>
          <w:rFonts w:ascii="Times New Roman" w:hAnsi="Times New Roman" w:cs="Times New Roman"/>
          <w:sz w:val="24"/>
          <w:szCs w:val="24"/>
          <w:lang w:val="en-US"/>
        </w:rPr>
        <w:t xml:space="preserve"> tailored to patients </w:t>
      </w:r>
      <w:r>
        <w:rPr>
          <w:rFonts w:ascii="Times New Roman" w:hAnsi="Times New Roman" w:cs="Times New Roman"/>
          <w:sz w:val="24"/>
          <w:szCs w:val="24"/>
          <w:lang w:val="en-US"/>
        </w:rPr>
        <w:t>reporting PSU in different treatment settings</w:t>
      </w:r>
      <w:r w:rsidRPr="00090B7C">
        <w:rPr>
          <w:rFonts w:ascii="Times New Roman" w:hAnsi="Times New Roman" w:cs="Times New Roman"/>
          <w:sz w:val="24"/>
          <w:szCs w:val="24"/>
          <w:lang w:val="en-US"/>
        </w:rPr>
        <w:t>.</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0ECC109D"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del w:id="35" w:author="Andrés González Santa Cruz" w:date="2024-07-18T13:59:00Z" w16du:dateUtc="2024-07-18T17:59:00Z">
        <w:r w:rsidDel="00C77E12">
          <w:rPr>
            <w:rFonts w:ascii="Times New Roman" w:hAnsi="Times New Roman" w:cs="Times New Roman"/>
            <w:sz w:val="24"/>
            <w:szCs w:val="24"/>
            <w:lang w:val="en-US"/>
          </w:rPr>
          <w:delText>349</w:delText>
        </w:r>
      </w:del>
      <w:ins w:id="36" w:author="Andrés González Santa Cruz" w:date="2024-07-18T14:07:00Z" w16du:dateUtc="2024-07-18T18:07:00Z">
        <w:r w:rsidR="00BD2D72">
          <w:rPr>
            <w:rFonts w:ascii="Times New Roman" w:hAnsi="Times New Roman" w:cs="Times New Roman"/>
            <w:sz w:val="24"/>
            <w:szCs w:val="24"/>
            <w:lang w:val="en-US"/>
          </w:rPr>
          <w:t>3</w:t>
        </w:r>
      </w:ins>
      <w:ins w:id="37" w:author="Andrés González Santa Cruz" w:date="2024-07-18T14:35:00Z" w16du:dateUtc="2024-07-18T18:35:00Z">
        <w:r w:rsidR="00192038">
          <w:rPr>
            <w:rFonts w:ascii="Times New Roman" w:hAnsi="Times New Roman" w:cs="Times New Roman"/>
            <w:sz w:val="24"/>
            <w:szCs w:val="24"/>
            <w:lang w:val="en-US"/>
          </w:rPr>
          <w:t>2</w:t>
        </w:r>
      </w:ins>
      <w:ins w:id="38" w:author="Andrés González Santa Cruz" w:date="2024-07-19T17:55:00Z" w16du:dateUtc="2024-07-19T21:55:00Z">
        <w:r w:rsidR="005F34B7">
          <w:rPr>
            <w:rFonts w:ascii="Times New Roman" w:hAnsi="Times New Roman" w:cs="Times New Roman"/>
            <w:sz w:val="24"/>
            <w:szCs w:val="24"/>
            <w:lang w:val="en-US"/>
          </w:rPr>
          <w:t>5</w:t>
        </w:r>
      </w:ins>
      <w:r>
        <w:rPr>
          <w:rFonts w:ascii="Times New Roman" w:hAnsi="Times New Roman" w:cs="Times New Roman"/>
          <w:sz w:val="24"/>
          <w:szCs w:val="24"/>
          <w:lang w:val="en-US"/>
        </w:rPr>
        <w:t>/350.</w:t>
      </w:r>
    </w:p>
    <w:p w14:paraId="1F3BDE00" w14:textId="7600F88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del w:id="39" w:author="Andrés González Santa Cruz" w:date="2024-07-19T17:22:00Z" w16du:dateUtc="2024-07-19T21:22:00Z">
        <w:r w:rsidR="007C3F46" w:rsidDel="00241100">
          <w:rPr>
            <w:rFonts w:ascii="Times New Roman" w:hAnsi="Times New Roman" w:cs="Times New Roman"/>
            <w:sz w:val="24"/>
            <w:szCs w:val="24"/>
            <w:lang w:val="en-US"/>
          </w:rPr>
          <w:delText>3292</w:delText>
        </w:r>
      </w:del>
      <w:ins w:id="40" w:author="Andrés González Santa Cruz" w:date="2024-07-19T17:22:00Z" w16du:dateUtc="2024-07-19T21:22:00Z">
        <w:r w:rsidR="00241100">
          <w:rPr>
            <w:rFonts w:ascii="Times New Roman" w:hAnsi="Times New Roman" w:cs="Times New Roman"/>
            <w:sz w:val="24"/>
            <w:szCs w:val="24"/>
            <w:lang w:val="en-US"/>
          </w:rPr>
          <w:t>3589</w:t>
        </w:r>
        <w:r w:rsidR="00241100">
          <w:rPr>
            <w:rFonts w:ascii="Times New Roman" w:hAnsi="Times New Roman" w:cs="Times New Roman"/>
            <w:sz w:val="24"/>
            <w:szCs w:val="24"/>
            <w:lang w:val="en-US"/>
          </w:rPr>
          <w:tab/>
        </w:r>
      </w:ins>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0F254D" w:rsidRDefault="00AA5B6C" w:rsidP="000F254D">
      <w:pPr>
        <w:pStyle w:val="Prrafodelista"/>
        <w:numPr>
          <w:ilvl w:val="0"/>
          <w:numId w:val="5"/>
        </w:numPr>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lastRenderedPageBreak/>
        <w:t>INTRODUCTION</w:t>
      </w:r>
    </w:p>
    <w:p w14:paraId="74C60879" w14:textId="77777777"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People with substance use disorder (SUD) tend to use more than one substance unintentionally, unconsciously (e.g., due to unregulated and contaminated supplies), or intentionally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2013)","noteIndex":0},"citationItems":[{"id":"GFDVas5C/mX3xpqGz","uris":["http://zotero.org/users/12673371/items/QAFD7CDY"],"itemData":{"id":355,"type":"article-journal","abstract":"The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D."},{"family":"Cerdá","given":"Magdalena"},{"family":"Lorvick","given":"Jennifer"}],"issued":{"date-parts":[["2023"]]}}},{"id":"GFDVas5C/lMocXxa3","uris":["http://zotero.org/users/12673371/items/I2JNVWWC"],"itemData":{"id":450,"type":"article-journal","abstract":"Background: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(Bunting et al., 2023; Quek et al., 2013)</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2014)","noteIndex":0},"citationItems":[{"id":"GFDVas5C/fwfGHlrE","uris":["http://zotero.org/users/12673371/items/5EIG6Y76"],"itemData":{"id":454,"type":"article-journal","abstract":"Purpose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being related to supply (e.g., due to shortages of the main substance)</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2024)","noteIndex":0},"citationItems":[{"id":"GFDVas5C/NrKeLaWE","uris":["http://zotero.org/users/12673371/items/33RS78J4"],"itemData":{"id":630,"type":"article-journal","abstract":"BACKGROUND: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they are related to a higher mortality rate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2018)","noteIndex":0},"citationItems":[{"id":"GFDVas5C/YulTYMl7","uris":["http://zotero.org/users/12673371/items/RS2C6BBN"],"itemData":{"id":456,"type":"article-journal","abstract":"Aims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2019)","noteIndex":0},"citationItems":[{"id":"GFDVas5C/CEzVSkHr","uris":["http://zotero.org/users/12673371/items/2PCQ72P9"],"itemData":{"id":458,"type":"article-journal","abstract":"Aims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GFDVas5C/aB9pywcg","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responsiveness to substance use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2017)","noteIndex":0},"citationItems":[{"id":"GFDVas5C/JwUiyvYT","uris":["http://zotero.org/users/12673371/items/7PIFNYKJ"],"itemData":{"id":464,"type":"article-journal","container-title":"The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C."}],"issued":{"date-parts":[["2014",10,1]]}}},{"id":"GFDVas5C/qk4WUEZI","uris":["http://zotero.org/users/12673371/items/KJZ8KB4K"],"itemData":{"id":466,"type":"article-journal","abstract":"Background\nRecreational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41"/>
      <w:r w:rsidRPr="000F254D">
        <w:rPr>
          <w:rFonts w:ascii="Times New Roman" w:hAnsi="Times New Roman" w:cs="Times New Roman"/>
          <w:sz w:val="24"/>
          <w:szCs w:val="24"/>
          <w:lang w:val="en-US"/>
        </w:rPr>
        <w:t>violence</w:t>
      </w:r>
      <w:commentRangeEnd w:id="41"/>
      <w:r>
        <w:rPr>
          <w:rStyle w:val="Refdecomentario"/>
          <w:rFonts w:ascii="Times New Roman" w:eastAsia="Times New Roman" w:hAnsi="Times New Roman" w:cs="Times New Roman"/>
          <w:lang w:val="en-US" w:eastAsia="es-CL"/>
        </w:rPr>
        <w:commentReference w:id="41"/>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2020)","noteIndex":0},"citationItems":[{"id":"GFDVas5C/wC7xYLP6","uris":["http://zotero.org/users/12673371/items/G4VV4MWG"],"itemData":{"id":568,"type":"article-journal","abstract":"We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R."}],"issued":{"date-parts":[["2022",3]]}}},{"id":"GFDVas5C/YAjcXeVL","uris":["http://zotero.org/users/12673371/items/TBAS9BLU"],"itemData":{"id":570,"type":"article-journal","abstract":"Early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2022)","noteIndex":0},"citationItems":[{"id":"GFDVas5C/zBaJT2Fc","uris":["http://zotero.org/users/12673371/items/3TYHM28T"],"itemData":{"id":571,"type":"article-journal","abstract":"BACKGROUND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Over the last three decades, evidence has shown that the number of people with PSU has significantly increased</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in high-income countries from North America, Europe, and Australia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C3FFEB1" w14:textId="6957688E" w:rsidR="00AA5B6C"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Despite the association between completing SUD treatment and long-term benefits, such as a lower risk of readmission to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2019)","noteIndex":0},"citationItems":[{"id":"GFDVas5C/80FL2Rc2","uris":["http://zotero.org/users/12673371/items/V7LFHCZZ"],"itemData":{"id":21,"type":"article-journal","abstract":"Aims\nThe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2017)","noteIndex":0},"citationItems":[{"id":"GFDVas5C/wzd8eiky","uris":["http://zotero.org/users/12673371/items/EQFP4BP8"],"itemData":{"id":88,"type":"article-journal","container-title":"Journal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42"/>
      <w:r w:rsidRPr="000F254D">
        <w:rPr>
          <w:rFonts w:ascii="Times New Roman" w:hAnsi="Times New Roman" w:cs="Times New Roman"/>
          <w:sz w:val="24"/>
          <w:szCs w:val="24"/>
          <w:lang w:val="en-US"/>
        </w:rPr>
        <w:t>life</w:t>
      </w:r>
      <w:commentRangeEnd w:id="42"/>
      <w:r>
        <w:rPr>
          <w:rStyle w:val="Refdecomentario"/>
          <w:rFonts w:ascii="Times New Roman" w:eastAsia="Times New Roman" w:hAnsi="Times New Roman" w:cs="Times New Roman"/>
          <w:lang w:val="en-US" w:eastAsia="es-CL"/>
        </w:rPr>
        <w:commentReference w:id="42"/>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2020)","noteIndex":0},"citationItems":[{"id":"GFDVas5C/XTUmfGqR","uris":["http://zotero.org/users/12673371/items/B3CXCBAC"],"itemData":{"id":574,"type":"article-journal","abstract":"More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w:t>
      </w:r>
      <w:ins w:id="43" w:author="Andrés González Santa Cruz" w:date="2024-07-18T14:12:00Z" w16du:dateUtc="2024-07-18T18:12:00Z">
        <w:r w:rsidR="00BD2D72">
          <w:rPr>
            <w:rFonts w:ascii="Times New Roman" w:hAnsi="Times New Roman" w:cs="Times New Roman"/>
            <w:sz w:val="24"/>
            <w:szCs w:val="24"/>
            <w:lang w:val="en-US"/>
          </w:rPr>
          <w:t xml:space="preserve">explained </w:t>
        </w:r>
      </w:ins>
      <w:r w:rsidRPr="000F254D">
        <w:rPr>
          <w:rFonts w:ascii="Times New Roman" w:hAnsi="Times New Roman" w:cs="Times New Roman"/>
          <w:sz w:val="24"/>
          <w:szCs w:val="24"/>
          <w:lang w:val="en-US"/>
        </w:rPr>
        <w:t xml:space="preserve">because most studies have focused on individual substances in isolation and have considered multiple substance use history as an exclusion </w:t>
      </w:r>
      <w:r w:rsidRPr="000F254D">
        <w:rPr>
          <w:rFonts w:ascii="Times New Roman" w:hAnsi="Times New Roman" w:cs="Times New Roman"/>
          <w:sz w:val="24"/>
          <w:szCs w:val="24"/>
          <w:lang w:val="en-US"/>
        </w:rPr>
        <w:lastRenderedPageBreak/>
        <w:t xml:space="preserve">criterion for clinical studies on treatment effectiveness, which raises the problem of its translatability to real-world health contexts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treatment outcomes, some studies have reported a lower likelihood of treatment completion among people with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2021)","noteIndex":0},"citationItems":[{"id":"GFDVas5C/KokmgvY3","uris":["http://zotero.org/users/12673371/items/36M32WVX"],"itemData":{"id":577,"type":"article-journal","abstract":"INTRODUCTION: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while others have found no association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2018)","noteIndex":0},"citationItems":[{"id":"GFDVas5C/wXSMe6Sn","uris":["http://zotero.org/users/12673371/items/ZVENQ8XU"],"itemData":{"id":189,"type":"article-journal","abstract":"Introduction: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2017)","noteIndex":0},"citationItems":[{"id":"GFDVas5C/mmubK4cZ","uris":["http://zotero.org/users/12673371/items/KF4U2DKT"],"itemData":{"id":583,"type":"article-journal","abstract":"BACKGROUND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r>
        <w:rPr>
          <w:rFonts w:ascii="Times New Roman" w:hAnsi="Times New Roman" w:cs="Times New Roman"/>
          <w:sz w:val="24"/>
          <w:szCs w:val="24"/>
          <w:lang w:val="en-US"/>
        </w:rPr>
        <w:t>in</w:t>
      </w:r>
      <w:r w:rsidRPr="000F254D">
        <w:rPr>
          <w:rFonts w:ascii="Times New Roman" w:hAnsi="Times New Roman" w:cs="Times New Roman"/>
          <w:sz w:val="24"/>
          <w:szCs w:val="24"/>
          <w:lang w:val="en-US"/>
        </w:rPr>
        <w:t xml:space="preserve"> patients who experience multiple recursive treatments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2024)","noteIndex":0},"citationItems":[{"id":"GFDVas5C/qIqG6Kyh","uris":["http://zotero.org/users/12673371/items/53A5ETKD"],"itemData":{"id":628,"type":"article-journal","abstract":"BACKGROUND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sidR="00A12593">
        <w:rPr>
          <w:rFonts w:ascii="Times New Roman" w:hAnsi="Times New Roman" w:cs="Times New Roman"/>
          <w:sz w:val="24"/>
          <w:szCs w:val="24"/>
          <w:lang w:val="en-US"/>
        </w:rPr>
        <w:t xml:space="preserve">People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A12593">
        <w:rPr>
          <w:rFonts w:ascii="Times New Roman" w:hAnsi="Times New Roman" w:cs="Times New Roman"/>
          <w:sz w:val="24"/>
          <w:szCs w:val="24"/>
          <w:lang w:val="en-US"/>
        </w:rPr>
        <w:instrText xml:space="preserve"> ADDIN ZOTERO_ITEM CSL_CITATION {"citationID":"FExLJHMr","properties":{"formattedCitation":"(Beaulieu et al., 2022a)","plainCitation":"(Beaulieu et al., 2022a)","noteIndex":0},"citationItems":[{"id":119,"uris":["http://zotero.org/users/local/0vuW8hEP/items/GWSY7CTE"],"itemData":{"id":119,"type":"article-journal","abstract":"Specialized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44"/>
      <w:r w:rsidR="00A12593">
        <w:rPr>
          <w:rFonts w:ascii="Times New Roman" w:hAnsi="Times New Roman" w:cs="Times New Roman"/>
          <w:sz w:val="24"/>
          <w:szCs w:val="24"/>
          <w:lang w:val="en-US"/>
        </w:rPr>
        <w:t>.</w:t>
      </w:r>
      <w:commentRangeEnd w:id="44"/>
      <w:r w:rsidR="00A12593">
        <w:rPr>
          <w:rStyle w:val="Refdecomentario"/>
          <w:rFonts w:ascii="Times New Roman" w:eastAsia="Times New Roman" w:hAnsi="Times New Roman" w:cs="Times New Roman"/>
          <w:lang w:val="en-US" w:eastAsia="es-CL"/>
        </w:rPr>
        <w:commentReference w:id="44"/>
      </w:r>
      <w:commentRangeStart w:id="45"/>
      <w:commentRangeEnd w:id="45"/>
      <w:r w:rsidR="00A12593">
        <w:rPr>
          <w:rStyle w:val="Refdecomentario"/>
          <w:rFonts w:ascii="Times New Roman" w:eastAsia="Times New Roman" w:hAnsi="Times New Roman" w:cs="Times New Roman"/>
          <w:lang w:val="en-US" w:eastAsia="es-CL"/>
        </w:rPr>
        <w:commentReference w:id="45"/>
      </w:r>
      <w:commentRangeStart w:id="46"/>
      <w:commentRangeEnd w:id="46"/>
      <w:r>
        <w:rPr>
          <w:rStyle w:val="Refdecomentario"/>
          <w:rFonts w:ascii="Times New Roman" w:eastAsia="Times New Roman" w:hAnsi="Times New Roman" w:cs="Times New Roman"/>
          <w:lang w:val="en-US" w:eastAsia="es-CL"/>
        </w:rPr>
        <w:commentReference w:id="46"/>
      </w:r>
      <w:commentRangeStart w:id="47"/>
      <w:commentRangeEnd w:id="47"/>
      <w:r>
        <w:rPr>
          <w:rStyle w:val="Refdecomentario"/>
          <w:rFonts w:ascii="Times New Roman" w:eastAsia="Times New Roman" w:hAnsi="Times New Roman" w:cs="Times New Roman"/>
          <w:lang w:val="en-US" w:eastAsia="es-CL"/>
        </w:rPr>
        <w:commentReference w:id="47"/>
      </w:r>
    </w:p>
    <w:p w14:paraId="6E1ACC80" w14:textId="5EF5544E"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Given that SUD is understood as a chronic condition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2016)","noteIndex":0},"citationItems":[{"id":"GFDVas5C/RvO309ai","uris":["http://zotero.org/users/12673371/items/UZPUEZST"],"itemData":{"id":168,"type":"article-journal","abstract":"Objective\nThis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(Fleury et al., 2016)</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the first SUD treatment alone requires accounting for some patients to be readmitted to treatment throughout the follow-up period. Thus, checking for </w:t>
      </w:r>
      <w:del w:id="48" w:author="Andrés González Santa Cruz" w:date="2024-07-19T15:49:00Z" w16du:dateUtc="2024-07-19T19:49:00Z">
        <w:r w:rsidRPr="000F254D" w:rsidDel="00C53B83">
          <w:rPr>
            <w:rFonts w:ascii="Times New Roman" w:hAnsi="Times New Roman" w:cs="Times New Roman"/>
            <w:sz w:val="24"/>
            <w:szCs w:val="24"/>
            <w:lang w:val="en-US"/>
          </w:rPr>
          <w:delText xml:space="preserve">group </w:delText>
        </w:r>
      </w:del>
      <w:r w:rsidRPr="000F254D">
        <w:rPr>
          <w:rFonts w:ascii="Times New Roman" w:hAnsi="Times New Roman" w:cs="Times New Roman"/>
          <w:sz w:val="24"/>
          <w:szCs w:val="24"/>
          <w:lang w:val="en-US"/>
        </w:rPr>
        <w:t xml:space="preserve">biases and adjusting for confounders </w:t>
      </w:r>
      <w:del w:id="49" w:author="Andrés González Santa Cruz" w:date="2024-07-19T15:49:00Z" w16du:dateUtc="2024-07-19T19:49:00Z">
        <w:r w:rsidRPr="000F254D" w:rsidDel="00C53B83">
          <w:rPr>
            <w:rFonts w:ascii="Times New Roman" w:hAnsi="Times New Roman" w:cs="Times New Roman"/>
            <w:sz w:val="24"/>
            <w:szCs w:val="24"/>
            <w:lang w:val="en-US"/>
          </w:rPr>
          <w:delText xml:space="preserve">are </w:delText>
        </w:r>
      </w:del>
      <w:ins w:id="50" w:author="Andrés González Santa Cruz" w:date="2024-07-19T15:49:00Z" w16du:dateUtc="2024-07-19T19:49:00Z">
        <w:r w:rsidR="00C53B83">
          <w:rPr>
            <w:rFonts w:ascii="Times New Roman" w:hAnsi="Times New Roman" w:cs="Times New Roman"/>
            <w:sz w:val="24"/>
            <w:szCs w:val="24"/>
            <w:lang w:val="en-US"/>
          </w:rPr>
          <w:t xml:space="preserve">is </w:t>
        </w:r>
      </w:ins>
      <w:del w:id="51" w:author="Andrés González Santa Cruz" w:date="2024-07-19T15:52:00Z" w16du:dateUtc="2024-07-19T19:52:00Z">
        <w:r w:rsidRPr="000F254D" w:rsidDel="00C53B83">
          <w:rPr>
            <w:rFonts w:ascii="Times New Roman" w:hAnsi="Times New Roman" w:cs="Times New Roman"/>
            <w:sz w:val="24"/>
            <w:szCs w:val="24"/>
            <w:lang w:val="en-US"/>
          </w:rPr>
          <w:delText xml:space="preserve">needed </w:delText>
        </w:r>
      </w:del>
      <w:ins w:id="52" w:author="Andrés González Santa Cruz" w:date="2024-07-19T15:52:00Z" w16du:dateUtc="2024-07-19T19:52:00Z">
        <w:r w:rsidR="00C53B83">
          <w:rPr>
            <w:rFonts w:ascii="Times New Roman" w:hAnsi="Times New Roman" w:cs="Times New Roman"/>
            <w:sz w:val="24"/>
            <w:szCs w:val="24"/>
            <w:lang w:val="en-US"/>
          </w:rPr>
          <w:t>warranted</w:t>
        </w:r>
        <w:r w:rsidR="00C53B83" w:rsidRPr="000F254D">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2020)","noteIndex":0},"citationItems":[{"id":"GFDVas5C/mvbcd8zz","uris":["http://zotero.org/users/12673371/items/X2R4DLIW"],"itemData":{"id":586,"type":"article-journal","abstract":"BACKGROUND: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Additionally, these treatments are irregularly spaced</w:t>
      </w:r>
      <w:del w:id="53" w:author="Andrés González Santa Cruz" w:date="2024-07-18T14:12:00Z" w16du:dateUtc="2024-07-18T18:12:00Z">
        <w:r w:rsidRPr="000F254D" w:rsidDel="00BD2D72">
          <w:rPr>
            <w:rFonts w:ascii="Times New Roman" w:hAnsi="Times New Roman" w:cs="Times New Roman"/>
            <w:sz w:val="24"/>
            <w:szCs w:val="24"/>
            <w:lang w:val="en-US"/>
          </w:rPr>
          <w:delText>,</w:delText>
        </w:r>
      </w:del>
      <w:r w:rsidRPr="000F254D">
        <w:rPr>
          <w:rFonts w:ascii="Times New Roman" w:hAnsi="Times New Roman" w:cs="Times New Roman"/>
          <w:sz w:val="24"/>
          <w:szCs w:val="24"/>
          <w:lang w:val="en-US"/>
        </w:rPr>
        <w:t xml:space="preserve"> but not random, as the time between treatments might be related to biopsychosocial and treatment-related factors. </w:t>
      </w:r>
      <w:del w:id="54" w:author="Andrés González Santa Cruz" w:date="2024-07-19T15:52:00Z" w16du:dateUtc="2024-07-19T19:52:00Z">
        <w:r w:rsidRPr="000F254D" w:rsidDel="00C53B83">
          <w:rPr>
            <w:rFonts w:ascii="Times New Roman" w:hAnsi="Times New Roman" w:cs="Times New Roman"/>
            <w:sz w:val="24"/>
            <w:szCs w:val="24"/>
            <w:lang w:val="en-US"/>
          </w:rPr>
          <w:delText>Thus</w:delText>
        </w:r>
      </w:del>
      <w:ins w:id="55" w:author="Andrés González Santa Cruz" w:date="2024-07-19T15:52:00Z" w16du:dateUtc="2024-07-19T19:52:00Z">
        <w:r w:rsidR="00C53B83">
          <w:rPr>
            <w:rFonts w:ascii="Times New Roman" w:hAnsi="Times New Roman" w:cs="Times New Roman"/>
            <w:sz w:val="24"/>
            <w:szCs w:val="24"/>
            <w:lang w:val="en-US"/>
          </w:rPr>
          <w:t>Hence</w:t>
        </w:r>
      </w:ins>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Pr>
          <w:rFonts w:ascii="Times New Roman" w:hAnsi="Times New Roman" w:cs="Times New Roman"/>
          <w:sz w:val="24"/>
          <w:szCs w:val="24"/>
          <w:lang w:val="en-US"/>
        </w:rPr>
        <w:t xml:space="preserve">a </w:t>
      </w:r>
      <w:r w:rsidRPr="000F254D">
        <w:rPr>
          <w:rFonts w:ascii="Times New Roman" w:hAnsi="Times New Roman" w:cs="Times New Roman"/>
          <w:sz w:val="24"/>
          <w:szCs w:val="24"/>
          <w:lang w:val="en-US"/>
        </w:rPr>
        <w:t xml:space="preserve">more or less intense frequency of treatments in the future, </w:t>
      </w:r>
      <w:r>
        <w:rPr>
          <w:rFonts w:ascii="Times New Roman" w:hAnsi="Times New Roman" w:cs="Times New Roman"/>
          <w:sz w:val="24"/>
          <w:szCs w:val="24"/>
          <w:lang w:val="en-US"/>
        </w:rPr>
        <w:t xml:space="preserve">which </w:t>
      </w:r>
      <w:del w:id="56" w:author="Andrés González Santa Cruz" w:date="2024-07-08T11:49:00Z" w16du:dateUtc="2024-07-08T15:49:00Z">
        <w:r w:rsidRPr="000F254D" w:rsidDel="00E275E8">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Søgaard"}],"issued":{"date-parts":[["2020",4,16]]}}},{"id":"GFDVas5C/U17SSH7A","uris":["http://zotero.org/users/12673371/items/C4XMNI6M"],"itemData":{"id":590,"type":"article-journal","abstract":"Early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524429D" w14:textId="3E508204" w:rsidR="00AA5B6C" w:rsidRPr="005B0171" w:rsidRDefault="00AA5B6C" w:rsidP="000B7AC1">
      <w:pPr>
        <w:spacing w:line="480" w:lineRule="auto"/>
        <w:ind w:right="-2" w:firstLine="567"/>
        <w:rPr>
          <w:rFonts w:ascii="Times New Roman" w:hAnsi="Times New Roman" w:cs="Times New Roman"/>
          <w:sz w:val="24"/>
          <w:szCs w:val="24"/>
          <w:lang w:val="en-US"/>
        </w:rPr>
      </w:pPr>
      <w:del w:id="57" w:author="Andrés González Santa Cruz" w:date="2024-07-08T11:50:00Z" w16du:dateUtc="2024-07-08T15:50:00Z">
        <w:r w:rsidRPr="000F254D" w:rsidDel="00E275E8">
          <w:rPr>
            <w:rFonts w:ascii="Times New Roman" w:hAnsi="Times New Roman" w:cs="Times New Roman"/>
            <w:sz w:val="24"/>
            <w:szCs w:val="24"/>
            <w:lang w:val="en-US"/>
          </w:rPr>
          <w:delText>Additionally</w:delText>
        </w:r>
      </w:del>
      <w:ins w:id="58" w:author="Andrés González Santa Cruz" w:date="2024-07-08T11:50:00Z" w16du:dateUtc="2024-07-08T15:50:00Z">
        <w:r w:rsidR="00E275E8">
          <w:rPr>
            <w:rFonts w:ascii="Times New Roman" w:hAnsi="Times New Roman" w:cs="Times New Roman"/>
            <w:sz w:val="24"/>
            <w:szCs w:val="24"/>
            <w:lang w:val="en-US"/>
          </w:rPr>
          <w:t>More importantly</w:t>
        </w:r>
      </w:ins>
      <w:r w:rsidRPr="000F254D">
        <w:rPr>
          <w:rFonts w:ascii="Times New Roman" w:hAnsi="Times New Roman" w:cs="Times New Roman"/>
          <w:sz w:val="24"/>
          <w:szCs w:val="24"/>
          <w:lang w:val="en-US"/>
        </w:rPr>
        <w:t xml:space="preserve">, the relationship between people reporting PSU and treatment completion can be affected by various factors such as heterogeneous PSU patterns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2023)","noteIndex":0},"citationItems":[{"id":"GFDVas5C/R26Olxgg","uris":["http://zotero.org/users/12673371/items/7LXB4MSA"],"itemData":{"id":598,"type":"article-journal","abstract":"•\n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D.L."}],"issued":{"date-parts":[["2023",8,12]]}}},{"id":"GFDVas5C/TvgTZEPn","uris":["http://zotero.org/users/12673371/items/EML4CPCT"],"itemData":{"id":594,"type":"article-journal","abstract":"Background\nPolysubstance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(Bhondoekhan et al., 2023; Price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treatment</w:t>
      </w:r>
      <w:ins w:id="59" w:author="Andrés González Santa Cruz" w:date="2024-07-19T15:55:00Z" w16du:dateUtc="2024-07-19T19:55:00Z">
        <w:r w:rsidR="00664533">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 goals, patient characteristics, </w:t>
      </w:r>
      <w:r w:rsidRPr="000F254D">
        <w:rPr>
          <w:rFonts w:ascii="Times New Roman" w:hAnsi="Times New Roman" w:cs="Times New Roman"/>
          <w:sz w:val="24"/>
          <w:szCs w:val="24"/>
          <w:lang w:val="en-US"/>
        </w:rPr>
        <w:lastRenderedPageBreak/>
        <w:t xml:space="preserve">resource availability, and SUD severity profiles. These characteristics are highly dependent on treatment settings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2007)","noteIndex":0},"citationItems":[{"id":"GFDVas5C/S5GDlz3h","uris":["http://zotero.org/users/12673371/items/HRXC3UAX"],"itemData":{"id":601,"type":"article-journal","container-title":"Revista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GFDVas5C/KXGDD7kC","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A."}],"issued":{"date-parts":[["2021",3,1]]}}},{"id":"GFDVas5C/3GRHT1yb","uris":["http://zotero.org/users/12673371/items/MFU2C28D"],"itemData":{"id":606,"type":"article-journal","abstract":"AIMS: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(Fiestas &amp; Ponce, 2012; Reif et al., 2021; Tiet et al., 2007)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ins w:id="60" w:author="Andrés González Santa Cruz" w:date="2024-07-08T11:54:00Z" w16du:dateUtc="2024-07-08T15:54:00Z">
        <w:r w:rsidR="00E275E8" w:rsidRPr="00351DC1">
          <w:rPr>
            <w:rFonts w:ascii="Times New Roman" w:hAnsi="Times New Roman" w:cs="Times New Roman"/>
            <w:sz w:val="24"/>
            <w:szCs w:val="24"/>
            <w:highlight w:val="yellow"/>
            <w:lang w:val="en-US"/>
            <w:rPrChange w:id="61" w:author="Andrés González Santa Cruz" w:date="2024-07-08T12:09:00Z" w16du:dateUtc="2024-07-08T16:09:00Z">
              <w:rPr>
                <w:rFonts w:ascii="Times New Roman" w:hAnsi="Times New Roman" w:cs="Times New Roman"/>
                <w:sz w:val="24"/>
                <w:szCs w:val="24"/>
                <w:lang w:val="en-US"/>
              </w:rPr>
            </w:rPrChange>
          </w:rPr>
          <w:t xml:space="preserve">In Chile, treatments </w:t>
        </w:r>
      </w:ins>
      <w:ins w:id="62" w:author="Andrés González Santa Cruz" w:date="2024-07-08T12:02:00Z" w16du:dateUtc="2024-07-08T16:02:00Z">
        <w:r w:rsidR="00351DC1" w:rsidRPr="00351DC1">
          <w:rPr>
            <w:rFonts w:ascii="Times New Roman" w:hAnsi="Times New Roman" w:cs="Times New Roman"/>
            <w:sz w:val="24"/>
            <w:szCs w:val="24"/>
            <w:highlight w:val="yellow"/>
            <w:lang w:val="en-US"/>
            <w:rPrChange w:id="63" w:author="Andrés González Santa Cruz" w:date="2024-07-08T12:09:00Z" w16du:dateUtc="2024-07-08T16:09:00Z">
              <w:rPr>
                <w:rFonts w:ascii="Times New Roman" w:hAnsi="Times New Roman" w:cs="Times New Roman"/>
                <w:sz w:val="24"/>
                <w:szCs w:val="24"/>
                <w:lang w:val="en-US"/>
              </w:rPr>
            </w:rPrChange>
          </w:rPr>
          <w:t xml:space="preserve">for adults with SUD </w:t>
        </w:r>
      </w:ins>
      <w:ins w:id="64" w:author="Andrés González Santa Cruz" w:date="2024-07-08T11:54:00Z" w16du:dateUtc="2024-07-08T15:54:00Z">
        <w:r w:rsidR="00E275E8" w:rsidRPr="00351DC1">
          <w:rPr>
            <w:rFonts w:ascii="Times New Roman" w:hAnsi="Times New Roman" w:cs="Times New Roman"/>
            <w:sz w:val="24"/>
            <w:szCs w:val="24"/>
            <w:highlight w:val="yellow"/>
            <w:lang w:val="en-US"/>
            <w:rPrChange w:id="65" w:author="Andrés González Santa Cruz" w:date="2024-07-08T12:09:00Z" w16du:dateUtc="2024-07-08T16:09:00Z">
              <w:rPr>
                <w:rFonts w:ascii="Times New Roman" w:hAnsi="Times New Roman" w:cs="Times New Roman"/>
                <w:sz w:val="24"/>
                <w:szCs w:val="24"/>
                <w:lang w:val="en-US"/>
              </w:rPr>
            </w:rPrChange>
          </w:rPr>
          <w:t xml:space="preserve">are delivered </w:t>
        </w:r>
      </w:ins>
      <w:ins w:id="66" w:author="Andrés González Santa Cruz" w:date="2024-07-08T12:03:00Z" w16du:dateUtc="2024-07-08T16:03:00Z">
        <w:r w:rsidR="00351DC1" w:rsidRPr="00351DC1">
          <w:rPr>
            <w:rFonts w:ascii="Times New Roman" w:hAnsi="Times New Roman" w:cs="Times New Roman"/>
            <w:sz w:val="24"/>
            <w:szCs w:val="24"/>
            <w:highlight w:val="yellow"/>
            <w:lang w:val="en-US"/>
            <w:rPrChange w:id="67" w:author="Andrés González Santa Cruz" w:date="2024-07-08T12:09:00Z" w16du:dateUtc="2024-07-08T16:09:00Z">
              <w:rPr>
                <w:rFonts w:ascii="Times New Roman" w:hAnsi="Times New Roman" w:cs="Times New Roman"/>
                <w:sz w:val="24"/>
                <w:szCs w:val="24"/>
                <w:lang w:val="en-US"/>
              </w:rPr>
            </w:rPrChange>
          </w:rPr>
          <w:t>in residential, intensive ambulatory</w:t>
        </w:r>
      </w:ins>
      <w:ins w:id="68" w:author="Andrés González Santa Cruz" w:date="2024-07-18T14:08:00Z" w16du:dateUtc="2024-07-18T18:08:00Z">
        <w:r w:rsidR="00BD2D72">
          <w:rPr>
            <w:rFonts w:ascii="Times New Roman" w:hAnsi="Times New Roman" w:cs="Times New Roman"/>
            <w:sz w:val="24"/>
            <w:szCs w:val="24"/>
            <w:highlight w:val="yellow"/>
            <w:lang w:val="en-US"/>
          </w:rPr>
          <w:t>,</w:t>
        </w:r>
      </w:ins>
      <w:ins w:id="69" w:author="Andrés González Santa Cruz" w:date="2024-07-08T12:03:00Z" w16du:dateUtc="2024-07-08T16:03:00Z">
        <w:r w:rsidR="00351DC1" w:rsidRPr="00351DC1">
          <w:rPr>
            <w:rFonts w:ascii="Times New Roman" w:hAnsi="Times New Roman" w:cs="Times New Roman"/>
            <w:sz w:val="24"/>
            <w:szCs w:val="24"/>
            <w:highlight w:val="yellow"/>
            <w:lang w:val="en-US"/>
            <w:rPrChange w:id="70" w:author="Andrés González Santa Cruz" w:date="2024-07-08T12:09:00Z" w16du:dateUtc="2024-07-08T16:09:00Z">
              <w:rPr>
                <w:rFonts w:ascii="Times New Roman" w:hAnsi="Times New Roman" w:cs="Times New Roman"/>
                <w:sz w:val="24"/>
                <w:szCs w:val="24"/>
                <w:lang w:val="en-US"/>
              </w:rPr>
            </w:rPrChange>
          </w:rPr>
          <w:t xml:space="preserve"> and basic ambulatory settings</w:t>
        </w:r>
      </w:ins>
      <w:ins w:id="71" w:author="Andrés González Santa Cruz" w:date="2024-07-08T11:54:00Z" w16du:dateUtc="2024-07-08T15:54:00Z">
        <w:r w:rsidR="00E275E8" w:rsidRPr="00351DC1">
          <w:rPr>
            <w:rFonts w:ascii="Times New Roman" w:hAnsi="Times New Roman" w:cs="Times New Roman"/>
            <w:sz w:val="24"/>
            <w:szCs w:val="24"/>
            <w:highlight w:val="yellow"/>
            <w:lang w:val="en-US"/>
            <w:rPrChange w:id="72" w:author="Andrés González Santa Cruz" w:date="2024-07-08T12:09:00Z" w16du:dateUtc="2024-07-08T16:09:00Z">
              <w:rPr>
                <w:rFonts w:ascii="Times New Roman" w:hAnsi="Times New Roman" w:cs="Times New Roman"/>
                <w:sz w:val="24"/>
                <w:szCs w:val="24"/>
                <w:lang w:val="en-US"/>
              </w:rPr>
            </w:rPrChange>
          </w:rPr>
          <w:t xml:space="preserve">. </w:t>
        </w:r>
      </w:ins>
      <w:ins w:id="73" w:author="Andrés González Santa Cruz" w:date="2024-07-08T12:03:00Z" w16du:dateUtc="2024-07-08T16:03:00Z">
        <w:r w:rsidR="00351DC1" w:rsidRPr="00351DC1">
          <w:rPr>
            <w:rFonts w:ascii="Times New Roman" w:hAnsi="Times New Roman" w:cs="Times New Roman"/>
            <w:sz w:val="24"/>
            <w:szCs w:val="24"/>
            <w:highlight w:val="yellow"/>
            <w:lang w:val="en-US"/>
            <w:rPrChange w:id="74" w:author="Andrés González Santa Cruz" w:date="2024-07-08T12:09:00Z" w16du:dateUtc="2024-07-08T16:09:00Z">
              <w:rPr>
                <w:rFonts w:ascii="Times New Roman" w:hAnsi="Times New Roman" w:cs="Times New Roman"/>
                <w:sz w:val="24"/>
                <w:szCs w:val="24"/>
                <w:lang w:val="en-US"/>
              </w:rPr>
            </w:rPrChange>
          </w:rPr>
          <w:t xml:space="preserve">Residential settings have a </w:t>
        </w:r>
      </w:ins>
      <w:ins w:id="75" w:author="Andrés González Santa Cruz" w:date="2024-07-08T12:06:00Z" w16du:dateUtc="2024-07-08T16:06:00Z">
        <w:r w:rsidR="00351DC1" w:rsidRPr="00351DC1">
          <w:rPr>
            <w:rFonts w:ascii="Times New Roman" w:hAnsi="Times New Roman" w:cs="Times New Roman"/>
            <w:sz w:val="24"/>
            <w:szCs w:val="24"/>
            <w:highlight w:val="yellow"/>
            <w:lang w:val="en-US"/>
            <w:rPrChange w:id="76" w:author="Andrés González Santa Cruz" w:date="2024-07-08T12:09:00Z" w16du:dateUtc="2024-07-08T16:09:00Z">
              <w:rPr>
                <w:rFonts w:ascii="Times New Roman" w:hAnsi="Times New Roman" w:cs="Times New Roman"/>
                <w:sz w:val="24"/>
                <w:szCs w:val="24"/>
                <w:lang w:val="en-US"/>
              </w:rPr>
            </w:rPrChange>
          </w:rPr>
          <w:t>planned</w:t>
        </w:r>
      </w:ins>
      <w:ins w:id="77" w:author="Andrés González Santa Cruz" w:date="2024-07-08T12:04:00Z" w16du:dateUtc="2024-07-08T16:04:00Z">
        <w:r w:rsidR="00351DC1" w:rsidRPr="00351DC1">
          <w:rPr>
            <w:rFonts w:ascii="Times New Roman" w:hAnsi="Times New Roman" w:cs="Times New Roman"/>
            <w:sz w:val="24"/>
            <w:szCs w:val="24"/>
            <w:highlight w:val="yellow"/>
            <w:lang w:val="en-US"/>
            <w:rPrChange w:id="78" w:author="Andrés González Santa Cruz" w:date="2024-07-08T12:09:00Z" w16du:dateUtc="2024-07-08T16:09:00Z">
              <w:rPr>
                <w:rFonts w:ascii="Times New Roman" w:hAnsi="Times New Roman" w:cs="Times New Roman"/>
                <w:sz w:val="24"/>
                <w:szCs w:val="24"/>
                <w:lang w:val="en-US"/>
              </w:rPr>
            </w:rPrChange>
          </w:rPr>
          <w:t xml:space="preserve"> </w:t>
        </w:r>
      </w:ins>
      <w:ins w:id="79" w:author="Andrés González Santa Cruz" w:date="2024-07-08T12:03:00Z" w16du:dateUtc="2024-07-08T16:03:00Z">
        <w:r w:rsidR="00351DC1" w:rsidRPr="00351DC1">
          <w:rPr>
            <w:rFonts w:ascii="Times New Roman" w:hAnsi="Times New Roman" w:cs="Times New Roman"/>
            <w:sz w:val="24"/>
            <w:szCs w:val="24"/>
            <w:highlight w:val="yellow"/>
            <w:lang w:val="en-US"/>
            <w:rPrChange w:id="80" w:author="Andrés González Santa Cruz" w:date="2024-07-08T12:09:00Z" w16du:dateUtc="2024-07-08T16:09:00Z">
              <w:rPr>
                <w:rFonts w:ascii="Times New Roman" w:hAnsi="Times New Roman" w:cs="Times New Roman"/>
                <w:sz w:val="24"/>
                <w:szCs w:val="24"/>
                <w:lang w:val="en-US"/>
              </w:rPr>
            </w:rPrChange>
          </w:rPr>
          <w:t xml:space="preserve">duration </w:t>
        </w:r>
      </w:ins>
      <w:ins w:id="81" w:author="Andrés González Santa Cruz" w:date="2024-07-08T12:04:00Z" w16du:dateUtc="2024-07-08T16:04:00Z">
        <w:r w:rsidR="00351DC1" w:rsidRPr="00351DC1">
          <w:rPr>
            <w:rFonts w:ascii="Times New Roman" w:hAnsi="Times New Roman" w:cs="Times New Roman"/>
            <w:sz w:val="24"/>
            <w:szCs w:val="24"/>
            <w:highlight w:val="yellow"/>
            <w:lang w:val="en-US"/>
            <w:rPrChange w:id="82" w:author="Andrés González Santa Cruz" w:date="2024-07-08T12:09:00Z" w16du:dateUtc="2024-07-08T16:09:00Z">
              <w:rPr>
                <w:rFonts w:ascii="Times New Roman" w:hAnsi="Times New Roman" w:cs="Times New Roman"/>
                <w:sz w:val="24"/>
                <w:szCs w:val="24"/>
                <w:lang w:val="en-US"/>
              </w:rPr>
            </w:rPrChange>
          </w:rPr>
          <w:t xml:space="preserve">of one year, </w:t>
        </w:r>
      </w:ins>
      <w:ins w:id="83" w:author="Andrés González Santa Cruz" w:date="2024-07-18T14:09:00Z" w16du:dateUtc="2024-07-18T18:09:00Z">
        <w:r w:rsidR="00BD2D72">
          <w:rPr>
            <w:rFonts w:ascii="Times New Roman" w:hAnsi="Times New Roman" w:cs="Times New Roman"/>
            <w:sz w:val="24"/>
            <w:szCs w:val="24"/>
            <w:highlight w:val="yellow"/>
            <w:lang w:val="en-US"/>
          </w:rPr>
          <w:t xml:space="preserve">and </w:t>
        </w:r>
      </w:ins>
      <w:ins w:id="84" w:author="Andrés González Santa Cruz" w:date="2024-07-08T12:04:00Z" w16du:dateUtc="2024-07-08T16:04:00Z">
        <w:r w:rsidR="00351DC1" w:rsidRPr="00351DC1">
          <w:rPr>
            <w:rFonts w:ascii="Times New Roman" w:hAnsi="Times New Roman" w:cs="Times New Roman"/>
            <w:sz w:val="24"/>
            <w:szCs w:val="24"/>
            <w:highlight w:val="yellow"/>
            <w:lang w:val="en-US"/>
            <w:rPrChange w:id="85" w:author="Andrés González Santa Cruz" w:date="2024-07-08T12:09:00Z" w16du:dateUtc="2024-07-08T16:09:00Z">
              <w:rPr>
                <w:rFonts w:ascii="Times New Roman" w:hAnsi="Times New Roman" w:cs="Times New Roman"/>
                <w:sz w:val="24"/>
                <w:szCs w:val="24"/>
                <w:lang w:val="en-US"/>
              </w:rPr>
            </w:rPrChange>
          </w:rPr>
          <w:t>are offered from five to seven days a week with at least five weekly interventions</w:t>
        </w:r>
      </w:ins>
      <w:ins w:id="86" w:author="Andrés González Santa Cruz" w:date="2024-07-08T12:05:00Z" w16du:dateUtc="2024-07-08T16:05:00Z">
        <w:r w:rsidR="00351DC1" w:rsidRPr="00351DC1">
          <w:rPr>
            <w:rFonts w:ascii="Times New Roman" w:hAnsi="Times New Roman" w:cs="Times New Roman"/>
            <w:sz w:val="24"/>
            <w:szCs w:val="24"/>
            <w:highlight w:val="yellow"/>
            <w:lang w:val="en-US"/>
            <w:rPrChange w:id="87" w:author="Andrés González Santa Cruz" w:date="2024-07-08T12:09:00Z" w16du:dateUtc="2024-07-08T16:09:00Z">
              <w:rPr>
                <w:rFonts w:ascii="Times New Roman" w:hAnsi="Times New Roman" w:cs="Times New Roman"/>
                <w:sz w:val="24"/>
                <w:szCs w:val="24"/>
                <w:lang w:val="en-US"/>
              </w:rPr>
            </w:rPrChange>
          </w:rPr>
          <w:t>, w</w:t>
        </w:r>
      </w:ins>
      <w:ins w:id="88" w:author="Andrés González Santa Cruz" w:date="2024-07-08T12:04:00Z" w16du:dateUtc="2024-07-08T16:04:00Z">
        <w:r w:rsidR="00351DC1" w:rsidRPr="00351DC1">
          <w:rPr>
            <w:rFonts w:ascii="Times New Roman" w:hAnsi="Times New Roman" w:cs="Times New Roman"/>
            <w:sz w:val="24"/>
            <w:szCs w:val="24"/>
            <w:highlight w:val="yellow"/>
            <w:lang w:val="en-US"/>
            <w:rPrChange w:id="89" w:author="Andrés González Santa Cruz" w:date="2024-07-08T12:09:00Z" w16du:dateUtc="2024-07-08T16:09:00Z">
              <w:rPr>
                <w:rFonts w:ascii="Times New Roman" w:hAnsi="Times New Roman" w:cs="Times New Roman"/>
                <w:sz w:val="24"/>
                <w:szCs w:val="24"/>
                <w:lang w:val="en-US"/>
              </w:rPr>
            </w:rPrChange>
          </w:rPr>
          <w:t xml:space="preserve">hile </w:t>
        </w:r>
      </w:ins>
      <w:ins w:id="90" w:author="Andrés González Santa Cruz" w:date="2024-07-08T12:05:00Z" w16du:dateUtc="2024-07-08T16:05:00Z">
        <w:r w:rsidR="00351DC1" w:rsidRPr="00351DC1">
          <w:rPr>
            <w:rFonts w:ascii="Times New Roman" w:hAnsi="Times New Roman" w:cs="Times New Roman"/>
            <w:sz w:val="24"/>
            <w:szCs w:val="24"/>
            <w:highlight w:val="yellow"/>
            <w:lang w:val="en-US"/>
            <w:rPrChange w:id="91" w:author="Andrés González Santa Cruz" w:date="2024-07-08T12:09:00Z" w16du:dateUtc="2024-07-08T16:09:00Z">
              <w:rPr>
                <w:rFonts w:ascii="Times New Roman" w:hAnsi="Times New Roman" w:cs="Times New Roman"/>
                <w:sz w:val="24"/>
                <w:szCs w:val="24"/>
                <w:lang w:val="en-US"/>
              </w:rPr>
            </w:rPrChange>
          </w:rPr>
          <w:t xml:space="preserve">intensive </w:t>
        </w:r>
      </w:ins>
      <w:ins w:id="92" w:author="Andrés González Santa Cruz" w:date="2024-07-08T12:04:00Z" w16du:dateUtc="2024-07-08T16:04:00Z">
        <w:r w:rsidR="00351DC1" w:rsidRPr="00351DC1">
          <w:rPr>
            <w:rFonts w:ascii="Times New Roman" w:hAnsi="Times New Roman" w:cs="Times New Roman"/>
            <w:sz w:val="24"/>
            <w:szCs w:val="24"/>
            <w:highlight w:val="yellow"/>
            <w:lang w:val="en-US"/>
            <w:rPrChange w:id="93" w:author="Andrés González Santa Cruz" w:date="2024-07-08T12:09:00Z" w16du:dateUtc="2024-07-08T16:09:00Z">
              <w:rPr>
                <w:rFonts w:ascii="Times New Roman" w:hAnsi="Times New Roman" w:cs="Times New Roman"/>
                <w:sz w:val="24"/>
                <w:szCs w:val="24"/>
                <w:lang w:val="en-US"/>
              </w:rPr>
            </w:rPrChange>
          </w:rPr>
          <w:t>ambulatory</w:t>
        </w:r>
      </w:ins>
      <w:ins w:id="94" w:author="Andrés González Santa Cruz" w:date="2024-07-08T12:06:00Z" w16du:dateUtc="2024-07-08T16:06:00Z">
        <w:r w:rsidR="00351DC1" w:rsidRPr="00351DC1">
          <w:rPr>
            <w:rFonts w:ascii="Times New Roman" w:hAnsi="Times New Roman" w:cs="Times New Roman"/>
            <w:sz w:val="24"/>
            <w:szCs w:val="24"/>
            <w:highlight w:val="yellow"/>
            <w:lang w:val="en-US"/>
            <w:rPrChange w:id="95" w:author="Andrés González Santa Cruz" w:date="2024-07-08T12:09:00Z" w16du:dateUtc="2024-07-08T16:09:00Z">
              <w:rPr>
                <w:rFonts w:ascii="Times New Roman" w:hAnsi="Times New Roman" w:cs="Times New Roman"/>
                <w:sz w:val="24"/>
                <w:szCs w:val="24"/>
                <w:lang w:val="en-US"/>
              </w:rPr>
            </w:rPrChange>
          </w:rPr>
          <w:t xml:space="preserve"> have a duration of six to eight month</w:t>
        </w:r>
      </w:ins>
      <w:ins w:id="96" w:author="Andrés González Santa Cruz" w:date="2024-07-18T14:09:00Z" w16du:dateUtc="2024-07-18T18:09:00Z">
        <w:r w:rsidR="00BD2D72">
          <w:rPr>
            <w:rFonts w:ascii="Times New Roman" w:hAnsi="Times New Roman" w:cs="Times New Roman"/>
            <w:sz w:val="24"/>
            <w:szCs w:val="24"/>
            <w:highlight w:val="yellow"/>
            <w:lang w:val="en-US"/>
          </w:rPr>
          <w:t>s</w:t>
        </w:r>
      </w:ins>
      <w:ins w:id="97" w:author="Andrés González Santa Cruz" w:date="2024-07-08T12:06:00Z" w16du:dateUtc="2024-07-08T16:06:00Z">
        <w:r w:rsidR="00351DC1" w:rsidRPr="00351DC1">
          <w:rPr>
            <w:rFonts w:ascii="Times New Roman" w:hAnsi="Times New Roman" w:cs="Times New Roman"/>
            <w:sz w:val="24"/>
            <w:szCs w:val="24"/>
            <w:highlight w:val="yellow"/>
            <w:lang w:val="en-US"/>
            <w:rPrChange w:id="98" w:author="Andrés González Santa Cruz" w:date="2024-07-08T12:09:00Z" w16du:dateUtc="2024-07-08T16:09:00Z">
              <w:rPr>
                <w:rFonts w:ascii="Times New Roman" w:hAnsi="Times New Roman" w:cs="Times New Roman"/>
                <w:sz w:val="24"/>
                <w:szCs w:val="24"/>
                <w:lang w:val="en-US"/>
              </w:rPr>
            </w:rPrChange>
          </w:rPr>
          <w:t xml:space="preserve">, with </w:t>
        </w:r>
      </w:ins>
      <w:ins w:id="99" w:author="Andrés González Santa Cruz" w:date="2024-07-18T14:09:00Z" w16du:dateUtc="2024-07-18T18:09:00Z">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ins>
      <w:ins w:id="100" w:author="Andrés González Santa Cruz" w:date="2024-07-08T12:07:00Z" w16du:dateUtc="2024-07-08T16:07:00Z">
        <w:r w:rsidR="00351DC1" w:rsidRPr="00351DC1">
          <w:rPr>
            <w:rFonts w:ascii="Times New Roman" w:hAnsi="Times New Roman" w:cs="Times New Roman"/>
            <w:sz w:val="24"/>
            <w:szCs w:val="24"/>
            <w:highlight w:val="yellow"/>
            <w:lang w:val="en-US"/>
            <w:rPrChange w:id="101" w:author="Andrés González Santa Cruz" w:date="2024-07-08T12:09:00Z" w16du:dateUtc="2024-07-08T16:09:00Z">
              <w:rPr>
                <w:rFonts w:ascii="Times New Roman" w:hAnsi="Times New Roman" w:cs="Times New Roman"/>
                <w:sz w:val="24"/>
                <w:szCs w:val="24"/>
                <w:lang w:val="en-US"/>
              </w:rPr>
            </w:rPrChange>
          </w:rPr>
          <w:t>sessions that have a duration of six hours and</w:t>
        </w:r>
      </w:ins>
      <w:ins w:id="102" w:author="Andrés González Santa Cruz" w:date="2024-07-08T12:06:00Z" w16du:dateUtc="2024-07-08T16:06:00Z">
        <w:r w:rsidR="00351DC1" w:rsidRPr="00351DC1">
          <w:rPr>
            <w:rFonts w:ascii="Times New Roman" w:hAnsi="Times New Roman" w:cs="Times New Roman"/>
            <w:sz w:val="24"/>
            <w:szCs w:val="24"/>
            <w:highlight w:val="yellow"/>
            <w:lang w:val="en-US"/>
            <w:rPrChange w:id="103" w:author="Andrés González Santa Cruz" w:date="2024-07-08T12:09:00Z" w16du:dateUtc="2024-07-08T16:09:00Z">
              <w:rPr>
                <w:rFonts w:ascii="Times New Roman" w:hAnsi="Times New Roman" w:cs="Times New Roman"/>
                <w:sz w:val="24"/>
                <w:szCs w:val="24"/>
                <w:lang w:val="en-US"/>
              </w:rPr>
            </w:rPrChange>
          </w:rPr>
          <w:t xml:space="preserve"> </w:t>
        </w:r>
      </w:ins>
      <w:ins w:id="104" w:author="Andrés González Santa Cruz" w:date="2024-07-08T12:07:00Z" w16du:dateUtc="2024-07-08T16:07:00Z">
        <w:r w:rsidR="00351DC1" w:rsidRPr="00351DC1">
          <w:rPr>
            <w:rFonts w:ascii="Times New Roman" w:hAnsi="Times New Roman" w:cs="Times New Roman"/>
            <w:sz w:val="24"/>
            <w:szCs w:val="24"/>
            <w:highlight w:val="yellow"/>
            <w:lang w:val="en-US"/>
            <w:rPrChange w:id="105" w:author="Andrés González Santa Cruz" w:date="2024-07-08T12:09:00Z" w16du:dateUtc="2024-07-08T16:09:00Z">
              <w:rPr>
                <w:rFonts w:ascii="Times New Roman" w:hAnsi="Times New Roman" w:cs="Times New Roman"/>
                <w:sz w:val="24"/>
                <w:szCs w:val="24"/>
                <w:lang w:val="en-US"/>
              </w:rPr>
            </w:rPrChange>
          </w:rPr>
          <w:t>up to four</w:t>
        </w:r>
      </w:ins>
      <w:ins w:id="106" w:author="Andrés González Santa Cruz" w:date="2024-07-08T12:08:00Z" w16du:dateUtc="2024-07-08T16:08:00Z">
        <w:r w:rsidR="00351DC1" w:rsidRPr="00351DC1">
          <w:rPr>
            <w:rFonts w:ascii="Times New Roman" w:hAnsi="Times New Roman" w:cs="Times New Roman"/>
            <w:sz w:val="24"/>
            <w:szCs w:val="24"/>
            <w:highlight w:val="yellow"/>
            <w:lang w:val="en-US"/>
            <w:rPrChange w:id="107" w:author="Andrés González Santa Cruz" w:date="2024-07-08T12:09:00Z" w16du:dateUtc="2024-07-08T16:09:00Z">
              <w:rPr>
                <w:rFonts w:ascii="Times New Roman" w:hAnsi="Times New Roman" w:cs="Times New Roman"/>
                <w:sz w:val="24"/>
                <w:szCs w:val="24"/>
                <w:lang w:val="en-US"/>
              </w:rPr>
            </w:rPrChange>
          </w:rPr>
          <w:t xml:space="preserve"> interventions</w:t>
        </w:r>
      </w:ins>
      <w:ins w:id="108" w:author="Andrés González Santa Cruz" w:date="2024-07-08T12:03:00Z" w16du:dateUtc="2024-07-08T16:03:00Z">
        <w:r w:rsidR="00351DC1" w:rsidRPr="00351DC1">
          <w:rPr>
            <w:rFonts w:ascii="Times New Roman" w:hAnsi="Times New Roman" w:cs="Times New Roman"/>
            <w:sz w:val="24"/>
            <w:szCs w:val="24"/>
            <w:highlight w:val="yellow"/>
            <w:lang w:val="en-US"/>
            <w:rPrChange w:id="109" w:author="Andrés González Santa Cruz" w:date="2024-07-08T12:09:00Z" w16du:dateUtc="2024-07-08T16:09:00Z">
              <w:rPr>
                <w:rFonts w:ascii="Times New Roman" w:hAnsi="Times New Roman" w:cs="Times New Roman"/>
                <w:sz w:val="24"/>
                <w:szCs w:val="24"/>
                <w:lang w:val="en-US"/>
              </w:rPr>
            </w:rPrChange>
          </w:rPr>
          <w:t>.</w:t>
        </w:r>
      </w:ins>
      <w:ins w:id="110" w:author="Andrés González Santa Cruz" w:date="2024-07-08T12:05:00Z" w16du:dateUtc="2024-07-08T16:05:00Z">
        <w:r w:rsidR="00351DC1" w:rsidRPr="00351DC1">
          <w:rPr>
            <w:rFonts w:ascii="Times New Roman" w:hAnsi="Times New Roman" w:cs="Times New Roman"/>
            <w:sz w:val="24"/>
            <w:szCs w:val="24"/>
            <w:highlight w:val="yellow"/>
            <w:lang w:val="en-US"/>
            <w:rPrChange w:id="111" w:author="Andrés González Santa Cruz" w:date="2024-07-08T12:09:00Z" w16du:dateUtc="2024-07-08T16:09:00Z">
              <w:rPr>
                <w:rFonts w:ascii="Times New Roman" w:hAnsi="Times New Roman" w:cs="Times New Roman"/>
                <w:sz w:val="24"/>
                <w:szCs w:val="24"/>
                <w:lang w:val="en-US"/>
              </w:rPr>
            </w:rPrChange>
          </w:rPr>
          <w:t xml:space="preserve"> These also are divided in</w:t>
        </w:r>
      </w:ins>
      <w:ins w:id="112" w:author="Andrés González Santa Cruz" w:date="2024-07-18T14:10:00Z" w16du:dateUtc="2024-07-18T18:10:00Z">
        <w:r w:rsidR="00BD2D72">
          <w:rPr>
            <w:rFonts w:ascii="Times New Roman" w:hAnsi="Times New Roman" w:cs="Times New Roman"/>
            <w:sz w:val="24"/>
            <w:szCs w:val="24"/>
            <w:highlight w:val="yellow"/>
            <w:lang w:val="en-US"/>
          </w:rPr>
          <w:t>to</w:t>
        </w:r>
      </w:ins>
      <w:ins w:id="113" w:author="Andrés González Santa Cruz" w:date="2024-07-08T12:05:00Z" w16du:dateUtc="2024-07-08T16:05:00Z">
        <w:r w:rsidR="00351DC1" w:rsidRPr="00351DC1">
          <w:rPr>
            <w:rFonts w:ascii="Times New Roman" w:hAnsi="Times New Roman" w:cs="Times New Roman"/>
            <w:sz w:val="24"/>
            <w:szCs w:val="24"/>
            <w:highlight w:val="yellow"/>
            <w:lang w:val="en-US"/>
            <w:rPrChange w:id="114" w:author="Andrés González Santa Cruz" w:date="2024-07-08T12:09:00Z" w16du:dateUtc="2024-07-08T16:09:00Z">
              <w:rPr>
                <w:rFonts w:ascii="Times New Roman" w:hAnsi="Times New Roman" w:cs="Times New Roman"/>
                <w:sz w:val="24"/>
                <w:szCs w:val="24"/>
                <w:lang w:val="en-US"/>
              </w:rPr>
            </w:rPrChange>
          </w:rPr>
          <w:t xml:space="preserve"> treatments for the general population and women-specific treatments</w:t>
        </w:r>
      </w:ins>
      <w:ins w:id="115" w:author="Andrés González Santa Cruz" w:date="2024-07-08T12:08:00Z" w16du:dateUtc="2024-07-08T16:08:00Z">
        <w:r w:rsidR="00351DC1" w:rsidRPr="00351DC1">
          <w:rPr>
            <w:rFonts w:ascii="Times New Roman" w:hAnsi="Times New Roman" w:cs="Times New Roman"/>
            <w:sz w:val="24"/>
            <w:szCs w:val="24"/>
            <w:highlight w:val="yellow"/>
            <w:lang w:val="en-US"/>
            <w:rPrChange w:id="116" w:author="Andrés González Santa Cruz" w:date="2024-07-08T12:09:00Z" w16du:dateUtc="2024-07-08T16:09:00Z">
              <w:rPr>
                <w:rFonts w:ascii="Times New Roman" w:hAnsi="Times New Roman" w:cs="Times New Roman"/>
                <w:sz w:val="24"/>
                <w:szCs w:val="24"/>
                <w:lang w:val="en-US"/>
              </w:rPr>
            </w:rPrChange>
          </w:rPr>
          <w:t xml:space="preserve"> (i.e., </w:t>
        </w:r>
      </w:ins>
      <w:ins w:id="117" w:author="Andrés González Santa Cruz" w:date="2024-07-18T14:10:00Z" w16du:dateUtc="2024-07-18T18:10:00Z">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ins>
      <w:ins w:id="118" w:author="Andrés González Santa Cruz" w:date="2024-07-08T12:08:00Z" w16du:dateUtc="2024-07-08T16:08:00Z">
        <w:r w:rsidR="00351DC1" w:rsidRPr="00351DC1">
          <w:rPr>
            <w:rFonts w:ascii="Times New Roman" w:hAnsi="Times New Roman" w:cs="Times New Roman"/>
            <w:sz w:val="24"/>
            <w:szCs w:val="24"/>
            <w:highlight w:val="yellow"/>
            <w:lang w:val="en-US"/>
            <w:rPrChange w:id="119" w:author="Andrés González Santa Cruz" w:date="2024-07-08T12:09:00Z" w16du:dateUtc="2024-07-08T16:09:00Z">
              <w:rPr>
                <w:rFonts w:ascii="Times New Roman" w:hAnsi="Times New Roman" w:cs="Times New Roman"/>
                <w:sz w:val="24"/>
                <w:szCs w:val="24"/>
                <w:lang w:val="en-US"/>
              </w:rPr>
            </w:rPrChange>
          </w:rPr>
          <w:t xml:space="preserve">often </w:t>
        </w:r>
      </w:ins>
      <w:ins w:id="120" w:author="Andrés González Santa Cruz" w:date="2024-07-18T14:10:00Z" w16du:dateUtc="2024-07-18T18:10:00Z">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ins>
      <w:ins w:id="121" w:author="Andrés González Santa Cruz" w:date="2024-07-08T12:08:00Z" w16du:dateUtc="2024-07-08T16:08:00Z">
        <w:r w:rsidR="00351DC1" w:rsidRPr="00351DC1">
          <w:rPr>
            <w:rFonts w:ascii="Times New Roman" w:hAnsi="Times New Roman" w:cs="Times New Roman"/>
            <w:sz w:val="24"/>
            <w:szCs w:val="24"/>
            <w:highlight w:val="yellow"/>
            <w:lang w:val="en-US"/>
            <w:rPrChange w:id="122" w:author="Andrés González Santa Cruz" w:date="2024-07-08T12:09:00Z" w16du:dateUtc="2024-07-08T16:09:00Z">
              <w:rPr>
                <w:rFonts w:ascii="Times New Roman" w:hAnsi="Times New Roman" w:cs="Times New Roman"/>
                <w:sz w:val="24"/>
                <w:szCs w:val="24"/>
                <w:lang w:val="en-US"/>
              </w:rPr>
            </w:rPrChange>
          </w:rPr>
          <w:t xml:space="preserve"> </w:t>
        </w:r>
      </w:ins>
      <w:ins w:id="123" w:author="Andrés González Santa Cruz" w:date="2024-07-18T14:11:00Z" w16du:dateUtc="2024-07-18T18:11:00Z">
        <w:r w:rsidR="00BD2D72">
          <w:rPr>
            <w:rFonts w:ascii="Times New Roman" w:hAnsi="Times New Roman" w:cs="Times New Roman"/>
            <w:sz w:val="24"/>
            <w:szCs w:val="24"/>
            <w:highlight w:val="yellow"/>
            <w:lang w:val="en-US"/>
          </w:rPr>
          <w:t xml:space="preserve">women </w:t>
        </w:r>
      </w:ins>
      <w:ins w:id="124" w:author="Andrés González Santa Cruz" w:date="2024-07-08T12:08:00Z" w16du:dateUtc="2024-07-08T16:08:00Z">
        <w:r w:rsidR="00351DC1" w:rsidRPr="00351DC1">
          <w:rPr>
            <w:rFonts w:ascii="Times New Roman" w:hAnsi="Times New Roman" w:cs="Times New Roman"/>
            <w:sz w:val="24"/>
            <w:szCs w:val="24"/>
            <w:highlight w:val="yellow"/>
            <w:lang w:val="en-US"/>
            <w:rPrChange w:id="125" w:author="Andrés González Santa Cruz" w:date="2024-07-08T12:09:00Z" w16du:dateUtc="2024-07-08T16:09:00Z">
              <w:rPr>
                <w:rFonts w:ascii="Times New Roman" w:hAnsi="Times New Roman" w:cs="Times New Roman"/>
                <w:sz w:val="24"/>
                <w:szCs w:val="24"/>
                <w:lang w:val="en-US"/>
              </w:rPr>
            </w:rPrChange>
          </w:rPr>
          <w:t>or having children)</w:t>
        </w:r>
      </w:ins>
      <w:ins w:id="126" w:author="Andrés González Santa Cruz" w:date="2024-07-19T15:56:00Z" w16du:dateUtc="2024-07-19T19:56:00Z">
        <w:r w:rsidR="00664533">
          <w:rPr>
            <w:rFonts w:ascii="Times New Roman" w:hAnsi="Times New Roman" w:cs="Times New Roman"/>
            <w:sz w:val="24"/>
            <w:szCs w:val="24"/>
            <w:highlight w:val="yellow"/>
            <w:lang w:val="en-US"/>
          </w:rPr>
          <w:t>, but basic ambulatory set</w:t>
        </w:r>
      </w:ins>
      <w:ins w:id="127" w:author="Andrés González Santa Cruz" w:date="2024-07-19T15:57:00Z" w16du:dateUtc="2024-07-19T19:57:00Z">
        <w:r w:rsidR="00664533">
          <w:rPr>
            <w:rFonts w:ascii="Times New Roman" w:hAnsi="Times New Roman" w:cs="Times New Roman"/>
            <w:sz w:val="24"/>
            <w:szCs w:val="24"/>
            <w:highlight w:val="yellow"/>
            <w:lang w:val="en-US"/>
          </w:rPr>
          <w:t>tings are only available within general population programs</w:t>
        </w:r>
      </w:ins>
      <w:ins w:id="128" w:author="Andrés González Santa Cruz" w:date="2024-07-08T12:05:00Z" w16du:dateUtc="2024-07-08T16:05:00Z">
        <w:r w:rsidR="00351DC1" w:rsidRPr="00351DC1">
          <w:rPr>
            <w:rFonts w:ascii="Times New Roman" w:hAnsi="Times New Roman" w:cs="Times New Roman"/>
            <w:sz w:val="24"/>
            <w:szCs w:val="24"/>
            <w:highlight w:val="yellow"/>
            <w:lang w:val="en-US"/>
            <w:rPrChange w:id="129" w:author="Andrés González Santa Cruz" w:date="2024-07-08T12:09:00Z" w16du:dateUtc="2024-07-08T16:09:00Z">
              <w:rPr>
                <w:rFonts w:ascii="Times New Roman" w:hAnsi="Times New Roman" w:cs="Times New Roman"/>
                <w:sz w:val="24"/>
                <w:szCs w:val="24"/>
                <w:lang w:val="en-US"/>
              </w:rPr>
            </w:rPrChange>
          </w:rPr>
          <w:t>.</w:t>
        </w:r>
      </w:ins>
      <w:ins w:id="130" w:author="Andrés González Santa Cruz" w:date="2024-07-08T12:03:00Z" w16du:dateUtc="2024-07-08T16:03:00Z">
        <w:r w:rsidR="00351DC1">
          <w:rPr>
            <w:rFonts w:ascii="Times New Roman" w:hAnsi="Times New Roman" w:cs="Times New Roman"/>
            <w:sz w:val="24"/>
            <w:szCs w:val="24"/>
            <w:lang w:val="en-US"/>
          </w:rPr>
          <w:t xml:space="preserve"> </w:t>
        </w:r>
      </w:ins>
      <w:r w:rsidR="00A12593" w:rsidRPr="004B17FE">
        <w:rPr>
          <w:rFonts w:ascii="Times New Roman" w:hAnsi="Times New Roman" w:cs="Times New Roman"/>
          <w:sz w:val="24"/>
          <w:szCs w:val="24"/>
          <w:lang w:val="en-US"/>
        </w:rPr>
        <w:t>Olivari et al. found that women-specific</w:t>
      </w:r>
      <w:r w:rsidR="00A12593">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treatment settings had different readmission and treatment completion rates than general population</w:t>
      </w:r>
      <w:r w:rsidR="00A12593">
        <w:rPr>
          <w:rFonts w:ascii="Times New Roman" w:hAnsi="Times New Roman" w:cs="Times New Roman"/>
          <w:sz w:val="24"/>
          <w:szCs w:val="24"/>
          <w:lang w:val="en-US"/>
        </w:rPr>
        <w:t xml:space="preserve"> programs in Chile</w:t>
      </w:r>
      <w:r w:rsidR="00A12593" w:rsidRPr="004B17FE">
        <w:rPr>
          <w:rFonts w:ascii="Times New Roman" w:hAnsi="Times New Roman" w:cs="Times New Roman"/>
          <w:sz w:val="24"/>
          <w:szCs w:val="24"/>
          <w:lang w:val="en-US"/>
        </w:rPr>
        <w:t>.</w:t>
      </w:r>
      <w:r w:rsidRPr="004B17FE">
        <w:rPr>
          <w:rFonts w:ascii="Times New Roman" w:hAnsi="Times New Roman" w:cs="Times New Roman"/>
          <w:sz w:val="24"/>
          <w:szCs w:val="24"/>
          <w:lang w:val="en-US"/>
        </w:rPr>
        <w:t xml:space="preserve"> Similarly, Ruiz-Tagle et al. found that completion was less likely in ambulatory settings </w:t>
      </w:r>
      <w:r w:rsidRPr="004B17F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2023)","noteIndex":0},"citationItems":[{"id":"GFDVas5C/0KjX6CC8","uris":["http://zotero.org/users/12673371/items/2XI4JARS"],"itemData":{"id":106,"type":"article-journal","abstract":"Introduction\nTraditional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w:instrText>
      </w:r>
      <w:r w:rsidRPr="005B0171">
        <w:rPr>
          <w:rFonts w:ascii="Times New Roman" w:hAnsi="Times New Roman" w:cs="Times New Roman"/>
          <w:sz w:val="24"/>
          <w:szCs w:val="24"/>
          <w:lang w:val="en-US"/>
        </w:rPr>
        <w:instrText xml:space="preserve">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4B17FE">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Ruiz-Tagle Maturana et al., 2023)</w:t>
      </w:r>
      <w:r w:rsidRPr="004B17FE">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B1C3B1B" w14:textId="65359EE4"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Most research on PSU comes from the Global North, where treatment settings are usually specialized for particular substances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2021)","noteIndex":0},"citationItems":[{"id":"GFDVas5C/sZVYaYMS","uris":["http://zotero.org/users/12673371/items/73EAYDRK"],"itemData":{"id":610,"type":"chapter","abstract":"This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M."}],"accessed":{"date-parts":[["2024",3,13]]},"issued":{"date-parts":[["2021"]]}}},{"id":"GFDVas5C/WwIeAxEb","uris":["http://zotero.org/users/12673371/items/EJCXGBI3"],"itemData":{"id":612,"type":"article-journal","abstract":"Purpose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w:t>
      </w:r>
      <w:del w:id="131" w:author="Andrés González Santa Cruz" w:date="2024-07-18T14:13:00Z" w16du:dateUtc="2024-07-18T18:13:00Z">
        <w:r w:rsidRPr="000F254D" w:rsidDel="00BD2D72">
          <w:rPr>
            <w:rFonts w:ascii="Times New Roman" w:hAnsi="Times New Roman" w:cs="Times New Roman"/>
            <w:sz w:val="24"/>
            <w:szCs w:val="24"/>
            <w:lang w:val="en-US"/>
          </w:rPr>
          <w:delText xml:space="preserve">of </w:delText>
        </w:r>
      </w:del>
      <w:ins w:id="132" w:author="Andrés González Santa Cruz" w:date="2024-07-18T14:13:00Z" w16du:dateUtc="2024-07-18T18:13:00Z">
        <w:r w:rsidR="00BD2D72">
          <w:rPr>
            <w:rFonts w:ascii="Times New Roman" w:hAnsi="Times New Roman" w:cs="Times New Roman"/>
            <w:sz w:val="24"/>
            <w:szCs w:val="24"/>
            <w:lang w:val="en-US"/>
          </w:rPr>
          <w:t>in</w:t>
        </w:r>
        <w:r w:rsidR="00BD2D72" w:rsidRPr="000F254D">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other contexts, such as Latin America, </w:t>
      </w:r>
      <w:r>
        <w:rPr>
          <w:rFonts w:ascii="Times New Roman" w:hAnsi="Times New Roman" w:cs="Times New Roman"/>
          <w:sz w:val="24"/>
          <w:szCs w:val="24"/>
          <w:lang w:val="en-US"/>
        </w:rPr>
        <w:t xml:space="preserve">where </w:t>
      </w:r>
      <w:r w:rsidRPr="000F254D">
        <w:rPr>
          <w:rFonts w:ascii="Times New Roman" w:hAnsi="Times New Roman" w:cs="Times New Roman"/>
          <w:sz w:val="24"/>
          <w:szCs w:val="24"/>
          <w:lang w:val="en-US"/>
        </w:rPr>
        <w:t>treatment is mostly delivered in non-specialized settings</w:t>
      </w:r>
      <w:ins w:id="133" w:author="Andrés González Santa Cruz" w:date="2024-07-19T16:19:00Z" w16du:dateUtc="2024-07-19T20:19:00Z">
        <w:r w:rsidR="00455E84">
          <w:rPr>
            <w:rFonts w:ascii="Times New Roman" w:hAnsi="Times New Roman" w:cs="Times New Roman"/>
            <w:sz w:val="24"/>
            <w:szCs w:val="24"/>
            <w:lang w:val="en-US"/>
          </w:rPr>
          <w:t xml:space="preserve"> or </w:t>
        </w:r>
      </w:ins>
      <w:ins w:id="134" w:author="Andrés González Santa Cruz" w:date="2024-07-19T16:24:00Z" w16du:dateUtc="2024-07-19T20:24:00Z">
        <w:r w:rsidR="00455E84">
          <w:rPr>
            <w:rFonts w:ascii="Times New Roman" w:hAnsi="Times New Roman" w:cs="Times New Roman"/>
            <w:sz w:val="24"/>
            <w:szCs w:val="24"/>
            <w:lang w:val="en-US"/>
          </w:rPr>
          <w:t xml:space="preserve">long-term </w:t>
        </w:r>
      </w:ins>
      <w:ins w:id="135" w:author="Andrés González Santa Cruz" w:date="2024-07-19T16:19:00Z" w16du:dateUtc="2024-07-19T20:19:00Z">
        <w:r w:rsidR="00455E84">
          <w:rPr>
            <w:rFonts w:ascii="Times New Roman" w:hAnsi="Times New Roman" w:cs="Times New Roman"/>
            <w:sz w:val="24"/>
            <w:szCs w:val="24"/>
            <w:lang w:val="en-US"/>
          </w:rPr>
          <w:t>psychosocial</w:t>
        </w:r>
      </w:ins>
      <w:ins w:id="136" w:author="Andrés González Santa Cruz" w:date="2024-07-19T16:24:00Z" w16du:dateUtc="2024-07-19T20:24:00Z">
        <w:r w:rsidR="00455E84">
          <w:rPr>
            <w:rFonts w:ascii="Times New Roman" w:hAnsi="Times New Roman" w:cs="Times New Roman"/>
            <w:sz w:val="24"/>
            <w:szCs w:val="24"/>
            <w:lang w:val="en-US"/>
          </w:rPr>
          <w:t xml:space="preserve"> interventions</w:t>
        </w:r>
      </w:ins>
      <w:ins w:id="137" w:author="Andrés González Santa Cruz" w:date="2024-07-19T16:34:00Z" w16du:dateUtc="2024-07-19T20:34:00Z">
        <w:r w:rsidR="00323EDB">
          <w:rPr>
            <w:rFonts w:ascii="Times New Roman" w:hAnsi="Times New Roman" w:cs="Times New Roman"/>
            <w:sz w:val="24"/>
            <w:szCs w:val="24"/>
            <w:lang w:val="en-US"/>
          </w:rPr>
          <w:t xml:space="preserve"> outside hospital facilities (i.e., </w:t>
        </w:r>
      </w:ins>
      <w:ins w:id="138" w:author="Andrés González Santa Cruz" w:date="2024-07-19T16:35:00Z" w16du:dateUtc="2024-07-19T20:35:00Z">
        <w:r w:rsidR="00323EDB" w:rsidRPr="00323EDB">
          <w:rPr>
            <w:rFonts w:ascii="Times New Roman" w:hAnsi="Times New Roman" w:cs="Times New Roman"/>
            <w:sz w:val="24"/>
            <w:szCs w:val="24"/>
            <w:lang w:val="en-US"/>
          </w:rPr>
          <w:t>therapeutic communities</w:t>
        </w:r>
        <w:r w:rsidR="00323EDB">
          <w:rPr>
            <w:rFonts w:ascii="Times New Roman" w:hAnsi="Times New Roman" w:cs="Times New Roman"/>
            <w:sz w:val="24"/>
            <w:szCs w:val="24"/>
            <w:lang w:val="en-US"/>
          </w:rPr>
          <w:t>)</w:t>
        </w:r>
      </w:ins>
      <w:r>
        <w:rPr>
          <w:rFonts w:ascii="Times New Roman" w:hAnsi="Times New Roman" w:cs="Times New Roman"/>
          <w:sz w:val="24"/>
          <w:szCs w:val="24"/>
          <w:lang w:val="en-US"/>
        </w:rPr>
        <w:t xml:space="preserve">, in part </w:t>
      </w:r>
      <w:r w:rsidRPr="000F254D">
        <w:rPr>
          <w:rFonts w:ascii="Times New Roman" w:hAnsi="Times New Roman" w:cs="Times New Roman"/>
          <w:sz w:val="24"/>
          <w:szCs w:val="24"/>
          <w:lang w:val="en-US"/>
        </w:rPr>
        <w:t>due to scarce resources and a shortage of the mental health</w:t>
      </w:r>
      <w:ins w:id="139" w:author="Andrés González Santa Cruz" w:date="2024-07-19T16:39:00Z" w16du:dateUtc="2024-07-19T20:39:00Z">
        <w:r w:rsidR="00323EDB">
          <w:rPr>
            <w:rFonts w:ascii="Times New Roman" w:hAnsi="Times New Roman" w:cs="Times New Roman"/>
            <w:sz w:val="24"/>
            <w:szCs w:val="24"/>
            <w:lang w:val="en-US"/>
          </w:rPr>
          <w:t xml:space="preserve"> and medical</w:t>
        </w:r>
      </w:ins>
      <w:r w:rsidRPr="000F254D">
        <w:rPr>
          <w:rFonts w:ascii="Times New Roman" w:hAnsi="Times New Roman" w:cs="Times New Roman"/>
          <w:sz w:val="24"/>
          <w:szCs w:val="24"/>
          <w:lang w:val="en-US"/>
        </w:rPr>
        <w:t xml:space="preserve"> </w:t>
      </w:r>
      <w:commentRangeStart w:id="140"/>
      <w:r w:rsidRPr="000F254D">
        <w:rPr>
          <w:rFonts w:ascii="Times New Roman" w:hAnsi="Times New Roman" w:cs="Times New Roman"/>
          <w:sz w:val="24"/>
          <w:szCs w:val="24"/>
          <w:lang w:val="en-US"/>
        </w:rPr>
        <w:t>workforce</w:t>
      </w:r>
      <w:commentRangeEnd w:id="140"/>
      <w:r w:rsidR="00323EDB">
        <w:rPr>
          <w:rStyle w:val="Refdecomentario"/>
          <w:rFonts w:ascii="Times New Roman" w:eastAsia="Times New Roman" w:hAnsi="Times New Roman" w:cs="Times New Roman"/>
          <w:lang w:val="en-US" w:eastAsia="es-CL"/>
        </w:rPr>
        <w:commentReference w:id="140"/>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tudying the role of PSU in treatment outcomes in Latin America is challenging because of limited local data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2022)","noteIndex":0},"citationItems":[{"id":"GFDVas5C/HLHiUKPm","uris":["http://zotero.org/users/12673371/items/FZ7E9E7R"],"itemData":{"id":615,"type":"article-journal","abstract":"In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opioids and injecting drug use, which are epidemiologic features that are not prevalent in the Latin American context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{"citationID":"9aKl4kao","properties":{"formattedCitation":"(Castaldelli-Maia et al., 2023)","plainCitation":"(Castaldelli-Maia et al., 2023)","noteIndex":0},"citationItems":[{"id":"GFDVas5C/Jzkm8TkC","uris":["http://zotero.org/users/12673371/items/JFGXA528"],"itemData":{"id":44,"type":"article-journal","container-title":"The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(Castaldelli-Maia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75144BE1" w14:textId="70BE0578" w:rsidR="00AA5B6C" w:rsidRPr="005B0171"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 xml:space="preserve">Moreover, because many studies in the Global North have often overlooked high-risk populations, there are reasons to believe that this is also the case in Latin America, where the prevalence of PSU is notably high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2013)","noteIndex":0},"citationItems":[{"id":"GFDVas5C/9ZGybZy4","uris":["http://zotero.org/users/12673371/items/JM63BVRC"],"itemData":{"id":356,"type":"article-journal","abstract":"The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of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2018)","noteIndex":0},"citationItems":[{"id":"GFDVas5C/9KL0WMol","uris":["http://zotero.org/users/12673371/items/YU3ZTASP"],"itemData":{"id":352,"type":"article-journal","abstract":"Background\nPolysubstance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47–66% of users had simultaneous substance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Pr="004B17FE">
        <w:rPr>
          <w:rFonts w:ascii="Times New Roman" w:hAnsi="Times New Roman" w:cs="Times New Roman"/>
          <w:sz w:val="24"/>
        </w:rPr>
        <w:t>(Olivari</w:t>
      </w:r>
      <w:r w:rsidR="00605568">
        <w:rPr>
          <w:rFonts w:ascii="Times New Roman" w:hAnsi="Times New Roman" w:cs="Times New Roman"/>
          <w:sz w:val="24"/>
        </w:rPr>
        <w:t xml:space="preserve"> </w:t>
      </w:r>
      <w:r w:rsidRPr="004B17FE">
        <w:rPr>
          <w:rFonts w:ascii="Times New Roman" w:hAnsi="Times New Roman" w:cs="Times New Roman"/>
          <w:sz w:val="24"/>
        </w:rPr>
        <w:t>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(18-34) from Chile, Uruguay, and Argentina. In addition, PSU is related to school dropout, unemployment, </w:t>
      </w:r>
      <w:r>
        <w:rPr>
          <w:rFonts w:ascii="Times New Roman" w:hAnsi="Times New Roman" w:cs="Times New Roman"/>
          <w:sz w:val="24"/>
          <w:szCs w:val="24"/>
          <w:lang w:val="en-US"/>
        </w:rPr>
        <w:t xml:space="preserve">and </w:t>
      </w:r>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GFDVas5C/DUuGQHLb","uris":["http://zotero.org/users/12673371/items/7VJ76F8N"],"itemData":{"id":281,"type":"article-journal","container-title":"Revista médica de Chile","DOI":"10.4067/S0034-98872007000100007","ISSN":"0034-9887","issue":"1","note":"publisher: Sociedad Médica de Santiago","page":"45-53","source":"SciELO","title":"Consumo de sustancias y cond</w:instrText>
      </w:r>
      <w:r w:rsidRPr="005B0171">
        <w:rPr>
          <w:rFonts w:ascii="Times New Roman" w:hAnsi="Times New Roman" w:cs="Times New Roman"/>
          <w:sz w:val="24"/>
          <w:szCs w:val="24"/>
          <w:lang w:val="en-US"/>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Santis et al., 2007; Vilugrón et al., 2022)</w:t>
      </w:r>
      <w:r w:rsidRPr="000F254D">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6AFE51C" w14:textId="3515DC43" w:rsidR="00AA5B6C" w:rsidRDefault="00AA5B6C" w:rsidP="000F254D">
      <w:pPr>
        <w:spacing w:after="0" w:line="480" w:lineRule="auto"/>
        <w:ind w:firstLine="567"/>
        <w:rPr>
          <w:rFonts w:ascii="Times New Roman" w:hAnsi="Times New Roman" w:cs="Times New Roman"/>
          <w:sz w:val="24"/>
          <w:szCs w:val="24"/>
          <w:lang w:val="en-US" w:eastAsia="es-CL"/>
        </w:rPr>
      </w:pPr>
      <w:r w:rsidRPr="002E32F9">
        <w:rPr>
          <w:rFonts w:ascii="Times New Roman" w:hAnsi="Times New Roman" w:cs="Times New Roman"/>
          <w:sz w:val="24"/>
          <w:szCs w:val="24"/>
          <w:lang w:val="en-US"/>
        </w:rPr>
        <w:t>Chile is an interesting case that allows for an examination of a context outside the Global North. It</w:t>
      </w:r>
      <w:del w:id="141" w:author="Andrés González Santa Cruz" w:date="2024-07-18T14:14:00Z" w16du:dateUtc="2024-07-18T18:14:00Z">
        <w:r w:rsidRPr="002E32F9" w:rsidDel="00BD2D72">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 has a robust public treatment system that has produced a large and high-quality dataset that includes all treatment episodes of people with public health insurance (~80% of the population) since its creation in 2010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2022)","noteIndex":0},"citationItems":[{"id":"GFDVas5C/cl0hZmjF","uris":["http://zotero.org/users/12673371/items/IC8PDGXM"],"itemData":{"id":84,"type":"article-journal","abstract":"Background\nEvidence-based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(Mateo Pinones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0F254D">
        <w:rPr>
          <w:rFonts w:ascii="Times New Roman" w:hAnsi="Times New Roman" w:cs="Times New Roman"/>
          <w:sz w:val="24"/>
          <w:szCs w:val="24"/>
          <w:lang w:val="en-US"/>
        </w:rPr>
        <w:t xml:space="preserve">indings from the Chilean Budgetary Office study support the need for further research to determine whether treatments effectively address characteristics such as PSU behaviors in a context where two out of three reported PSU </w:t>
      </w:r>
      <w:r w:rsidRPr="000F254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{"citationID":"FWesxcyq","properties":{"formattedCitation":"(DIPRES, 2017b)","plainCitation":"(DIPRES, 2017b)","noteIndex":0},"citationItems":[{"id":"GFDVas5C/GvnaMP1j","uris":["http://zotero.org/users/12673371/items/R4SDDAHZ"],"itemData":{"id":344,"type":"document","title":"Informe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(DIPRES,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r>
        <w:rPr>
          <w:rFonts w:ascii="Times New Roman" w:hAnsi="Times New Roman" w:cs="Times New Roman"/>
          <w:sz w:val="24"/>
          <w:szCs w:val="24"/>
          <w:lang w:val="en-US"/>
        </w:rPr>
        <w:t>adapted to patients' needs</w:t>
      </w:r>
      <w:r w:rsidRPr="000F254D">
        <w:rPr>
          <w:rFonts w:ascii="Times New Roman" w:hAnsi="Times New Roman" w:cs="Times New Roman"/>
          <w:sz w:val="24"/>
          <w:szCs w:val="24"/>
          <w:lang w:val="en-US"/>
        </w:rPr>
        <w:t xml:space="preserve">. Moreover, </w:t>
      </w:r>
      <w:commentRangeStart w:id="142"/>
      <w:commentRangeStart w:id="143"/>
      <w:r w:rsidRPr="000F254D">
        <w:rPr>
          <w:rFonts w:ascii="Times New Roman" w:hAnsi="Times New Roman" w:cs="Times New Roman"/>
          <w:sz w:val="24"/>
          <w:szCs w:val="24"/>
          <w:lang w:val="en-US"/>
        </w:rPr>
        <w:t xml:space="preserve">expanding knowledge about </w:t>
      </w:r>
      <w:r>
        <w:rPr>
          <w:rFonts w:ascii="Times New Roman" w:hAnsi="Times New Roman" w:cs="Times New Roman"/>
          <w:sz w:val="24"/>
          <w:szCs w:val="24"/>
          <w:lang w:val="en-US"/>
        </w:rPr>
        <w:t xml:space="preserve">patients’ needs and </w:t>
      </w:r>
      <w:r w:rsidRPr="000F254D">
        <w:rPr>
          <w:rFonts w:ascii="Times New Roman" w:hAnsi="Times New Roman" w:cs="Times New Roman"/>
          <w:sz w:val="24"/>
          <w:szCs w:val="24"/>
          <w:lang w:val="en-US"/>
        </w:rPr>
        <w:t>inequalities in access to health services</w:t>
      </w:r>
      <w:commentRangeEnd w:id="142"/>
      <w:r>
        <w:rPr>
          <w:rStyle w:val="Refdecomentario"/>
          <w:rFonts w:ascii="Times New Roman" w:eastAsia="Times New Roman" w:hAnsi="Times New Roman" w:cs="Times New Roman"/>
          <w:lang w:val="en-US" w:eastAsia="es-CL"/>
        </w:rPr>
        <w:commentReference w:id="142"/>
      </w:r>
      <w:commentRangeEnd w:id="143"/>
      <w:r>
        <w:rPr>
          <w:rStyle w:val="Refdecomentario"/>
          <w:rFonts w:ascii="Times New Roman" w:eastAsia="Times New Roman" w:hAnsi="Times New Roman" w:cs="Times New Roman"/>
          <w:lang w:val="en-US" w:eastAsia="es-CL"/>
        </w:rPr>
        <w:commentReference w:id="143"/>
      </w:r>
      <w:r>
        <w:rPr>
          <w:rFonts w:ascii="Times New Roman" w:hAnsi="Times New Roman" w:cs="Times New Roman"/>
          <w:sz w:val="24"/>
          <w:szCs w:val="24"/>
          <w:lang w:val="en-US"/>
        </w:rPr>
        <w:t xml:space="preserve"> in the Global South context</w:t>
      </w:r>
      <w:r w:rsidRPr="000F254D">
        <w:rPr>
          <w:rFonts w:ascii="Times New Roman" w:hAnsi="Times New Roman" w:cs="Times New Roman"/>
          <w:sz w:val="24"/>
          <w:szCs w:val="24"/>
          <w:lang w:val="en-US"/>
        </w:rPr>
        <w:t xml:space="preserve"> can serve as </w:t>
      </w:r>
      <w:r>
        <w:rPr>
          <w:rFonts w:ascii="Times New Roman" w:hAnsi="Times New Roman" w:cs="Times New Roman"/>
          <w:sz w:val="24"/>
          <w:szCs w:val="24"/>
          <w:lang w:val="en-US"/>
        </w:rPr>
        <w:t xml:space="preserve">an </w:t>
      </w:r>
      <w:r w:rsidRPr="000F254D">
        <w:rPr>
          <w:rFonts w:ascii="Times New Roman" w:hAnsi="Times New Roman" w:cs="Times New Roman"/>
          <w:sz w:val="24"/>
          <w:szCs w:val="24"/>
          <w:lang w:val="en-US"/>
        </w:rPr>
        <w:t xml:space="preserve">input for developing </w:t>
      </w:r>
      <w:r>
        <w:rPr>
          <w:rFonts w:ascii="Times New Roman" w:hAnsi="Times New Roman" w:cs="Times New Roman"/>
          <w:sz w:val="24"/>
          <w:szCs w:val="24"/>
          <w:lang w:val="en-US"/>
        </w:rPr>
        <w:lastRenderedPageBreak/>
        <w:t xml:space="preserve">local </w:t>
      </w:r>
      <w:r w:rsidRPr="000F254D">
        <w:rPr>
          <w:rFonts w:ascii="Times New Roman" w:hAnsi="Times New Roman" w:cs="Times New Roman"/>
          <w:sz w:val="24"/>
          <w:szCs w:val="24"/>
          <w:lang w:val="en-US"/>
        </w:rPr>
        <w:t xml:space="preserve">policies and actions to reduce health inequities. Thus, </w:t>
      </w:r>
      <w:commentRangeStart w:id="144"/>
      <w:r w:rsidRPr="000F254D">
        <w:rPr>
          <w:rFonts w:ascii="Times New Roman" w:hAnsi="Times New Roman" w:cs="Times New Roman"/>
          <w:sz w:val="24"/>
          <w:szCs w:val="24"/>
          <w:lang w:val="en-US"/>
        </w:rPr>
        <w:t xml:space="preserve">this study aimed to address this gap by estimating the </w:t>
      </w:r>
      <w:r>
        <w:rPr>
          <w:rFonts w:ascii="Times New Roman" w:hAnsi="Times New Roman" w:cs="Times New Roman"/>
          <w:sz w:val="24"/>
          <w:szCs w:val="24"/>
          <w:lang w:val="en-US"/>
        </w:rPr>
        <w:t xml:space="preserve">association </w:t>
      </w:r>
      <w:r w:rsidRPr="000F254D">
        <w:rPr>
          <w:rFonts w:ascii="Times New Roman" w:hAnsi="Times New Roman" w:cs="Times New Roman"/>
          <w:sz w:val="24"/>
          <w:szCs w:val="24"/>
          <w:lang w:val="en-US"/>
        </w:rPr>
        <w:t xml:space="preserve">between having reported PSU </w:t>
      </w:r>
      <w:r>
        <w:rPr>
          <w:rFonts w:ascii="Times New Roman" w:hAnsi="Times New Roman" w:cs="Times New Roman"/>
          <w:sz w:val="24"/>
          <w:szCs w:val="24"/>
          <w:lang w:val="en-US"/>
        </w:rPr>
        <w:t>and</w:t>
      </w:r>
      <w:r w:rsidRPr="000F254D">
        <w:rPr>
          <w:rFonts w:ascii="Times New Roman" w:hAnsi="Times New Roman" w:cs="Times New Roman"/>
          <w:sz w:val="24"/>
          <w:szCs w:val="24"/>
          <w:lang w:val="en-US"/>
        </w:rPr>
        <w:t xml:space="preserve"> treatment </w:t>
      </w:r>
      <w:ins w:id="145" w:author="Andrés González Santa Cruz" w:date="2024-07-19T16:12:00Z" w16du:dateUtc="2024-07-19T20:12:00Z">
        <w:r w:rsidR="001115B1">
          <w:rPr>
            <w:rFonts w:ascii="Times New Roman" w:hAnsi="Times New Roman" w:cs="Times New Roman"/>
            <w:sz w:val="24"/>
            <w:szCs w:val="24"/>
            <w:lang w:val="en-US"/>
          </w:rPr>
          <w:t>non-</w:t>
        </w:r>
      </w:ins>
      <w:r w:rsidRPr="000F254D">
        <w:rPr>
          <w:rFonts w:ascii="Times New Roman" w:hAnsi="Times New Roman" w:cs="Times New Roman"/>
          <w:sz w:val="24"/>
          <w:szCs w:val="24"/>
          <w:lang w:val="en-US"/>
        </w:rPr>
        <w:t xml:space="preserve">completion </w:t>
      </w:r>
      <w:ins w:id="146" w:author="Andrés González Santa Cruz" w:date="2024-07-19T16:12:00Z" w16du:dateUtc="2024-07-19T20:12:00Z">
        <w:r w:rsidR="001115B1">
          <w:rPr>
            <w:rFonts w:ascii="Times New Roman" w:hAnsi="Times New Roman" w:cs="Times New Roman"/>
            <w:sz w:val="24"/>
            <w:szCs w:val="24"/>
            <w:lang w:val="en-US"/>
          </w:rPr>
          <w:t>(i.e., treatment dropouts</w:t>
        </w:r>
      </w:ins>
      <w:ins w:id="147" w:author="Andrés González Santa Cruz" w:date="2024-07-19T16:14:00Z" w16du:dateUtc="2024-07-19T20:14:00Z">
        <w:r w:rsidR="00F1140E">
          <w:rPr>
            <w:rFonts w:ascii="Times New Roman" w:hAnsi="Times New Roman" w:cs="Times New Roman"/>
            <w:sz w:val="24"/>
            <w:szCs w:val="24"/>
            <w:lang w:val="en-US"/>
          </w:rPr>
          <w:t xml:space="preserve"> </w:t>
        </w:r>
        <w:r w:rsidR="00F1140E" w:rsidRPr="000F254D">
          <w:rPr>
            <w:rFonts w:ascii="Times New Roman" w:hAnsi="Times New Roman" w:cs="Times New Roman"/>
            <w:sz w:val="24"/>
            <w:szCs w:val="24"/>
            <w:lang w:val="en-US"/>
          </w:rPr>
          <w:t>or spelled by misconduct</w:t>
        </w:r>
      </w:ins>
      <w:ins w:id="148" w:author="Andrés González Santa Cruz" w:date="2024-07-19T16:12:00Z" w16du:dateUtc="2024-07-19T20:12:00Z">
        <w:r w:rsidR="001115B1">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among adult patients admitted to </w:t>
      </w:r>
      <w:r>
        <w:rPr>
          <w:rFonts w:ascii="Times New Roman" w:hAnsi="Times New Roman" w:cs="Times New Roman"/>
          <w:sz w:val="24"/>
          <w:szCs w:val="24"/>
          <w:lang w:val="en-US"/>
        </w:rPr>
        <w:t xml:space="preserve">multiple </w:t>
      </w:r>
      <w:r w:rsidRPr="000F254D">
        <w:rPr>
          <w:rFonts w:ascii="Times New Roman" w:hAnsi="Times New Roman" w:cs="Times New Roman"/>
          <w:sz w:val="24"/>
          <w:szCs w:val="24"/>
          <w:lang w:val="en-US"/>
        </w:rPr>
        <w:t>SUD treatment programs in Chile from</w:t>
      </w:r>
      <w:ins w:id="149" w:author="Andrés González Santa Cruz" w:date="2024-07-18T14:14:00Z" w16du:dateUtc="2024-07-18T18:14:00Z">
        <w:r w:rsidR="00971223">
          <w:rPr>
            <w:rFonts w:ascii="Times New Roman" w:hAnsi="Times New Roman" w:cs="Times New Roman"/>
            <w:sz w:val="24"/>
            <w:szCs w:val="24"/>
            <w:lang w:val="en-US"/>
          </w:rPr>
          <w:t xml:space="preserve"> 2010</w:t>
        </w:r>
      </w:ins>
      <w:r w:rsidRPr="000F254D">
        <w:rPr>
          <w:rFonts w:ascii="Times New Roman" w:hAnsi="Times New Roman" w:cs="Times New Roman"/>
          <w:sz w:val="24"/>
          <w:szCs w:val="24"/>
          <w:lang w:val="en-US"/>
        </w:rPr>
        <w:t xml:space="preserve"> to </w:t>
      </w:r>
      <w:del w:id="150" w:author="Andrés González Santa Cruz" w:date="2024-07-18T14:14:00Z" w16du:dateUtc="2024-07-18T18:14:00Z">
        <w:r w:rsidRPr="000F254D" w:rsidDel="00971223">
          <w:rPr>
            <w:rFonts w:ascii="Times New Roman" w:hAnsi="Times New Roman" w:cs="Times New Roman"/>
            <w:sz w:val="24"/>
            <w:szCs w:val="24"/>
            <w:lang w:val="en-US"/>
          </w:rPr>
          <w:delText>2010-</w:delText>
        </w:r>
      </w:del>
      <w:r w:rsidRPr="000F254D">
        <w:rPr>
          <w:rFonts w:ascii="Times New Roman" w:hAnsi="Times New Roman" w:cs="Times New Roman"/>
          <w:sz w:val="24"/>
          <w:szCs w:val="24"/>
          <w:lang w:val="en-US"/>
        </w:rPr>
        <w:t>2019</w:t>
      </w:r>
      <w:commentRangeEnd w:id="144"/>
      <w:r>
        <w:rPr>
          <w:rStyle w:val="Refdecomentario"/>
          <w:rFonts w:ascii="Times New Roman" w:eastAsia="Times New Roman" w:hAnsi="Times New Roman" w:cs="Times New Roman"/>
          <w:lang w:val="en-US" w:eastAsia="es-CL"/>
        </w:rPr>
        <w:commentReference w:id="144"/>
      </w:r>
      <w:r w:rsidRPr="000F254D">
        <w:rPr>
          <w:rFonts w:ascii="Times New Roman" w:hAnsi="Times New Roman" w:cs="Times New Roman"/>
          <w:sz w:val="24"/>
          <w:szCs w:val="24"/>
          <w:lang w:val="en-US"/>
        </w:rPr>
        <w:t>.</w:t>
      </w:r>
      <w:del w:id="151" w:author="Andrés González Santa Cruz" w:date="2024-07-18T14:11:00Z" w16du:dateUtc="2024-07-18T18:11:00Z">
        <w:r w:rsidRPr="000F254D" w:rsidDel="00BD2D72">
          <w:rPr>
            <w:rFonts w:ascii="Times New Roman" w:hAnsi="Times New Roman" w:cs="Times New Roman"/>
            <w:sz w:val="24"/>
            <w:szCs w:val="24"/>
            <w:lang w:val="en-US" w:eastAsia="es-CL"/>
          </w:rPr>
          <w:delText xml:space="preserve"> </w:delText>
        </w:r>
      </w:del>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0B7AC1">
      <w:pPr>
        <w:pStyle w:val="Prrafodelista"/>
        <w:numPr>
          <w:ilvl w:val="0"/>
          <w:numId w:val="5"/>
        </w:numPr>
        <w:spacing w:line="480" w:lineRule="auto"/>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60F260A2" w:rsidR="00AA5B6C" w:rsidRPr="000B7AC1" w:rsidRDefault="00AA5B6C" w:rsidP="000B7AC1">
      <w:pPr>
        <w:widowControl w:val="0"/>
        <w:spacing w:line="480" w:lineRule="auto"/>
        <w:ind w:right="-2" w:firstLine="567"/>
        <w:rPr>
          <w:rFonts w:ascii="Times New Roman" w:hAnsi="Times New Roman" w:cs="Times New Roman"/>
          <w:sz w:val="24"/>
          <w:szCs w:val="24"/>
        </w:rPr>
      </w:pPr>
      <w:r w:rsidRPr="007E3CC9">
        <w:rPr>
          <w:rFonts w:ascii="Times New Roman" w:hAnsi="Times New Roman" w:cs="Times New Roman"/>
          <w:sz w:val="24"/>
          <w:szCs w:val="24"/>
        </w:rPr>
        <w:t>We included adult patients (+18 years old) with ongoing treatments from 2010 to 2019. Censoring occurred after the date of data retrieval (November 13, 2019), after an outcome event, or when a patient left the cohort with no other outcomes. Patients with only one treatment episode were excluded.</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baseline treatment: basic ambulatory (n= 4,360), </w:t>
      </w:r>
      <w:commentRangeStart w:id="152"/>
      <w:commentRangeStart w:id="153"/>
      <w:commentRangeEnd w:id="152"/>
      <w:r>
        <w:rPr>
          <w:rStyle w:val="Refdecomentario"/>
          <w:rFonts w:ascii="Times New Roman" w:eastAsia="Times New Roman" w:hAnsi="Times New Roman" w:cs="Times New Roman"/>
          <w:lang w:val="en-US" w:eastAsia="es-CL"/>
        </w:rPr>
        <w:commentReference w:id="152"/>
      </w:r>
      <w:commentRangeEnd w:id="153"/>
      <w:r>
        <w:rPr>
          <w:rStyle w:val="Refdecomentario"/>
          <w:rFonts w:ascii="Times New Roman" w:eastAsia="Times New Roman" w:hAnsi="Times New Roman" w:cs="Times New Roman"/>
          <w:lang w:val="en-US" w:eastAsia="es-CL"/>
        </w:rPr>
        <w:commentReference w:id="153"/>
      </w:r>
      <w:r w:rsidRPr="007E3CC9">
        <w:rPr>
          <w:rFonts w:ascii="Times New Roman" w:hAnsi="Times New Roman" w:cs="Times New Roman"/>
          <w:sz w:val="24"/>
          <w:szCs w:val="24"/>
          <w:lang w:val="en-US"/>
        </w:rPr>
        <w:t xml:space="preserve">intensive ambulatory </w:t>
      </w:r>
      <w:r>
        <w:rPr>
          <w:rFonts w:ascii="Times New Roman" w:hAnsi="Times New Roman" w:cs="Times New Roman"/>
          <w:sz w:val="24"/>
          <w:szCs w:val="24"/>
          <w:lang w:val="en-US"/>
        </w:rPr>
        <w:t xml:space="preserve">for the general population (GP) </w:t>
      </w:r>
      <w:r w:rsidRPr="007E3CC9">
        <w:rPr>
          <w:rFonts w:ascii="Times New Roman" w:hAnsi="Times New Roman" w:cs="Times New Roman"/>
          <w:sz w:val="24"/>
          <w:szCs w:val="24"/>
          <w:lang w:val="en-US"/>
        </w:rPr>
        <w:t xml:space="preserve">(n= 4,998), GP residential (n= 2,178), </w:t>
      </w:r>
      <w:r>
        <w:rPr>
          <w:rFonts w:ascii="Times New Roman" w:hAnsi="Times New Roman" w:cs="Times New Roman"/>
          <w:sz w:val="24"/>
          <w:szCs w:val="24"/>
          <w:lang w:val="en-US"/>
        </w:rPr>
        <w:t xml:space="preserve">women-specific/only </w:t>
      </w:r>
      <w:del w:id="154" w:author="Andrés González Santa Cruz" w:date="2024-07-08T11:52:00Z" w16du:dateUtc="2024-07-08T15:52:00Z">
        <w:r w:rsidRPr="007E3CC9" w:rsidDel="00E275E8">
          <w:rPr>
            <w:rFonts w:ascii="Times New Roman" w:hAnsi="Times New Roman" w:cs="Times New Roman"/>
            <w:sz w:val="24"/>
            <w:szCs w:val="24"/>
            <w:lang w:val="en-US"/>
          </w:rPr>
          <w:delText xml:space="preserve"> </w:delText>
        </w:r>
      </w:del>
      <w:r w:rsidRPr="007E3CC9">
        <w:rPr>
          <w:rFonts w:ascii="Times New Roman" w:hAnsi="Times New Roman" w:cs="Times New Roman"/>
          <w:sz w:val="24"/>
          <w:szCs w:val="24"/>
          <w:lang w:val="en-US"/>
        </w:rPr>
        <w:t xml:space="preserve">intensive ambulatory (n= 745), and WO residential (n= 1,036). </w:t>
      </w:r>
      <w:r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treatments were selected. </w:t>
      </w:r>
      <w:r w:rsidRPr="003A4AF8" w:rsidDel="00A56D29">
        <w:rPr>
          <w:rFonts w:ascii="Times New Roman" w:hAnsi="Times New Roman" w:cs="Times New Roman"/>
          <w:sz w:val="24"/>
          <w:szCs w:val="24"/>
        </w:rPr>
        <w:t xml:space="preserve">In the total sample, 82% had one treatment episode, whereas 1% had more than three treatment episodes.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who received more than one treatment, identifying 13,317 patients and 30,988 observations.</w:t>
      </w:r>
      <w:r w:rsidRPr="000B7AC1">
        <w:rPr>
          <w:rFonts w:ascii="Times New Roman" w:hAnsi="Times New Roman" w:cs="Times New Roman"/>
          <w:sz w:val="24"/>
          <w:szCs w:val="24"/>
        </w:rPr>
        <w:t xml:space="preserve"> </w:t>
      </w:r>
      <w:r w:rsidRPr="000F254D">
        <w:rPr>
          <w:rFonts w:ascii="Times New Roman" w:hAnsi="Times New Roman" w:cs="Times New Roman"/>
          <w:sz w:val="24"/>
          <w:szCs w:val="24"/>
        </w:rPr>
        <w:t>Th</w:t>
      </w:r>
      <w:r>
        <w:rPr>
          <w:rFonts w:ascii="Times New Roman" w:hAnsi="Times New Roman" w:cs="Times New Roman"/>
          <w:sz w:val="24"/>
          <w:szCs w:val="24"/>
        </w:rPr>
        <w:t>is</w:t>
      </w:r>
      <w:r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77777777" w:rsidR="00AA5B6C"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admission</w:t>
      </w:r>
      <w:r>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a self-reported answer</w:t>
      </w:r>
      <w:r w:rsidRPr="000F254D">
        <w:rPr>
          <w:rFonts w:ascii="Times New Roman" w:hAnsi="Times New Roman" w:cs="Times New Roman"/>
          <w:sz w:val="24"/>
          <w:szCs w:val="24"/>
          <w:lang w:val="en-US"/>
        </w:rPr>
        <w:t xml:space="preserve"> to using more than one main substance among alcohol and illicit drugs at admission for SUD treatment, whether sequential or concurrent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M."}],"accessed":{"date-parts":[["2024",1,7]]},"issued":{"date-parts":[["2020"]]}}},{"id":"GFDVas5C/0VBgLoZs","uris":["http://zotero.org/users/12673371/items/UYBXYKA3"],"itemData":{"id":437,"type":"article-journal","abstract":"Polydrug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del w:id="155" w:author="Andrés González Santa Cruz" w:date="2024-07-08T11:52:00Z" w16du:dateUtc="2024-07-08T15:52:00Z">
        <w:r w:rsidRPr="000F254D" w:rsidDel="00E275E8">
          <w:rPr>
            <w:rFonts w:ascii="Times New Roman" w:hAnsi="Times New Roman" w:cs="Times New Roman"/>
            <w:sz w:val="24"/>
            <w:szCs w:val="24"/>
            <w:lang w:val="en-US"/>
          </w:rPr>
          <w:delText xml:space="preserve"> </w:delText>
        </w:r>
      </w:del>
    </w:p>
    <w:p w14:paraId="1795CAA2" w14:textId="7F76ABB2"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w:t>
      </w:r>
      <w:del w:id="156" w:author="Andrés González Santa Cruz" w:date="2024-07-18T14:16:00Z" w16du:dateUtc="2024-07-18T18:16:00Z">
        <w:r w:rsidRPr="000F254D" w:rsidDel="00971223">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completed treatment). In addition, the models were adjusted for various baseline confounding variables related to substance use, demographics, and social factors.</w:t>
      </w:r>
    </w:p>
    <w:p w14:paraId="436518A0" w14:textId="0F0C558E"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were included in the model of the association between reported substance use and treatment </w:t>
      </w:r>
      <w:del w:id="157" w:author="Andrés González Santa Cruz" w:date="2024-07-19T16:44:00Z" w16du:dateUtc="2024-07-19T20:44:00Z">
        <w:r w:rsidRPr="000F254D" w:rsidDel="009C40B3">
          <w:rPr>
            <w:rFonts w:ascii="Times New Roman" w:hAnsi="Times New Roman" w:cs="Times New Roman"/>
            <w:sz w:val="24"/>
            <w:szCs w:val="24"/>
            <w:lang w:val="en-US"/>
          </w:rPr>
          <w:delText>outcome</w:delText>
        </w:r>
      </w:del>
      <w:ins w:id="158" w:author="Andrés González Santa Cruz" w:date="2024-07-19T16:44:00Z" w16du:dateUtc="2024-07-19T20:44:00Z">
        <w:r w:rsidR="009C40B3">
          <w:rPr>
            <w:rFonts w:ascii="Times New Roman" w:hAnsi="Times New Roman" w:cs="Times New Roman"/>
            <w:sz w:val="24"/>
            <w:szCs w:val="24"/>
            <w:lang w:val="en-US"/>
          </w:rPr>
          <w:t>non-completion status</w:t>
        </w:r>
      </w:ins>
      <w:r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and</w:t>
      </w:r>
      <w:r w:rsidRPr="000F254D">
        <w:rPr>
          <w:rFonts w:ascii="Times New Roman" w:hAnsi="Times New Roman" w:cs="Times New Roman"/>
          <w:sz w:val="24"/>
          <w:szCs w:val="24"/>
          <w:lang w:val="en-US"/>
        </w:rPr>
        <w:t xml:space="preserve"> </w:t>
      </w:r>
      <w:commentRangeStart w:id="159"/>
      <w:r w:rsidRPr="000F254D">
        <w:rPr>
          <w:rFonts w:ascii="Times New Roman" w:hAnsi="Times New Roman" w:cs="Times New Roman"/>
          <w:sz w:val="24"/>
          <w:szCs w:val="24"/>
          <w:lang w:val="en-US"/>
        </w:rPr>
        <w:t>diagnosis unknown or under study</w:t>
      </w:r>
      <w:commentRangeEnd w:id="159"/>
      <w:r>
        <w:rPr>
          <w:rStyle w:val="Refdecomentario"/>
          <w:rFonts w:ascii="Times New Roman" w:eastAsia="Times New Roman" w:hAnsi="Times New Roman" w:cs="Times New Roman"/>
          <w:lang w:val="en-US" w:eastAsia="es-CL"/>
        </w:rPr>
        <w:commentReference w:id="159"/>
      </w:r>
      <w:r w:rsidRPr="000F254D">
        <w:rPr>
          <w:rFonts w:ascii="Times New Roman" w:hAnsi="Times New Roman" w:cs="Times New Roman"/>
          <w:sz w:val="24"/>
          <w:szCs w:val="24"/>
          <w:lang w:val="en-US"/>
        </w:rPr>
        <w:t xml:space="preserve">), daily frequency of primary substance use at admission, occupational status (inactive and unemployed), and primary substance at admission to treatment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 xml:space="preserve">). For further information, please review Supplemental Section </w:t>
      </w:r>
      <w:commentRangeStart w:id="160"/>
      <w:r w:rsidRPr="000F254D">
        <w:rPr>
          <w:rFonts w:ascii="Times New Roman" w:hAnsi="Times New Roman" w:cs="Times New Roman"/>
          <w:sz w:val="24"/>
          <w:szCs w:val="24"/>
          <w:lang w:val="en-US"/>
        </w:rPr>
        <w:t>1</w:t>
      </w:r>
      <w:commentRangeEnd w:id="160"/>
      <w:r w:rsidR="00AA2B28">
        <w:rPr>
          <w:rStyle w:val="Refdecomentario"/>
          <w:rFonts w:ascii="Times New Roman" w:eastAsia="Times New Roman" w:hAnsi="Times New Roman" w:cs="Times New Roman"/>
          <w:lang w:val="en-US" w:eastAsia="es-CL"/>
        </w:rPr>
        <w:commentReference w:id="160"/>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284D2275"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w:t>
      </w:r>
      <w:del w:id="161" w:author="Andrés González Santa Cruz" w:date="2024-07-18T14:16:00Z" w16du:dateUtc="2024-07-18T18:16: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with five candidate values of predictive matching (thus</w:t>
      </w:r>
      <w:del w:id="162" w:author="Andrés González Santa Cruz" w:date="2024-07-18T14:17:00Z" w16du:dateUtc="2024-07-18T18:17: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2023)","noteIndex":0},"citationItems":[{"id":"GFDVas5C/bCRGb9RR","uris":["http://zotero.org/users/12673371/items/U28CVYE3"],"itemData":{"id":635,"type":"article-journal","abstract":"Missing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S."}],"issued":{"date-parts":[["2020",7,25]]}}},{"id":"GFDVas5C/D8kFF150","uris":["http://zotero.org/users/12673371/items/JUAZLRTL"],"itemData":{"id":638,"type":"article-journal","abstract":"This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Default="00974B01" w:rsidP="000F254D">
      <w:pPr>
        <w:pStyle w:val="Prrafodelista"/>
        <w:numPr>
          <w:ilvl w:val="1"/>
          <w:numId w:val="5"/>
        </w:numPr>
        <w:tabs>
          <w:tab w:val="left" w:pos="567"/>
        </w:tabs>
        <w:spacing w:after="0" w:line="480" w:lineRule="auto"/>
        <w:ind w:right="565"/>
        <w:rPr>
          <w:ins w:id="163" w:author="Andrés González Santa Cruz" w:date="2024-07-19T17:11:00Z" w16du:dateUtc="2024-07-19T21:11:00Z"/>
          <w:rFonts w:ascii="Times New Roman" w:hAnsi="Times New Roman" w:cs="Times New Roman"/>
          <w:sz w:val="24"/>
          <w:szCs w:val="24"/>
          <w:lang w:val="en-US"/>
        </w:rPr>
      </w:pPr>
      <w:ins w:id="164" w:author="Andrés González Santa Cruz" w:date="2024-07-19T17:11:00Z" w16du:dateUtc="2024-07-19T21:11:00Z">
        <w:r>
          <w:rPr>
            <w:rFonts w:ascii="Times New Roman" w:hAnsi="Times New Roman" w:cs="Times New Roman"/>
            <w:sz w:val="24"/>
            <w:szCs w:val="24"/>
            <w:lang w:val="en-US"/>
          </w:rPr>
          <w:lastRenderedPageBreak/>
          <w:t>Bivariate analyses</w:t>
        </w:r>
      </w:ins>
    </w:p>
    <w:p w14:paraId="798B6248" w14:textId="0BC5BB0A" w:rsidR="00974B01" w:rsidRPr="00974B01" w:rsidRDefault="00974B01" w:rsidP="00974B01">
      <w:pPr>
        <w:tabs>
          <w:tab w:val="left" w:pos="567"/>
        </w:tabs>
        <w:spacing w:after="0" w:line="480" w:lineRule="auto"/>
        <w:ind w:right="565"/>
        <w:rPr>
          <w:ins w:id="165" w:author="Andrés González Santa Cruz" w:date="2024-07-19T17:11:00Z" w16du:dateUtc="2024-07-19T21:11:00Z"/>
          <w:rFonts w:ascii="Times New Roman" w:hAnsi="Times New Roman" w:cs="Times New Roman"/>
          <w:sz w:val="24"/>
          <w:szCs w:val="24"/>
          <w:lang w:val="en-US"/>
        </w:rPr>
      </w:pPr>
      <w:ins w:id="166" w:author="Andrés González Santa Cruz" w:date="2024-07-19T17:13:00Z" w16du:dateUtc="2024-07-19T21:13:00Z">
        <w:r>
          <w:rPr>
            <w:rFonts w:ascii="Times New Roman" w:hAnsi="Times New Roman" w:cs="Times New Roman"/>
            <w:sz w:val="24"/>
            <w:szCs w:val="24"/>
            <w:lang w:val="en-US"/>
          </w:rPr>
          <w:tab/>
        </w:r>
      </w:ins>
      <w:ins w:id="167" w:author="Andrés González Santa Cruz" w:date="2024-07-19T17:11:00Z" w16du:dateUtc="2024-07-19T21:11:00Z">
        <w:r w:rsidRPr="00974B01">
          <w:rPr>
            <w:rFonts w:ascii="Times New Roman" w:hAnsi="Times New Roman" w:cs="Times New Roman"/>
            <w:sz w:val="24"/>
            <w:szCs w:val="24"/>
            <w:lang w:val="en-US"/>
          </w:rPr>
          <w:t xml:space="preserve">Characteristics of the study sample were summarized by </w:t>
        </w:r>
      </w:ins>
      <w:ins w:id="168" w:author="Andrés González Santa Cruz" w:date="2024-07-19T17:12:00Z" w16du:dateUtc="2024-07-19T21:12:00Z">
        <w:r w:rsidRPr="00974B01">
          <w:rPr>
            <w:rFonts w:ascii="Times New Roman" w:hAnsi="Times New Roman" w:cs="Times New Roman"/>
            <w:sz w:val="24"/>
            <w:szCs w:val="24"/>
            <w:lang w:val="en-US"/>
          </w:rPr>
          <w:t>the median (Q2) and percentiles 25 and 75 in brackets for continuous</w:t>
        </w:r>
        <w:r>
          <w:rPr>
            <w:rFonts w:ascii="Times New Roman" w:hAnsi="Times New Roman" w:cs="Times New Roman"/>
            <w:sz w:val="24"/>
            <w:szCs w:val="24"/>
            <w:lang w:val="en-US"/>
          </w:rPr>
          <w:t xml:space="preserve"> </w:t>
        </w:r>
        <w:r w:rsidRPr="00974B01">
          <w:rPr>
            <w:rFonts w:ascii="Times New Roman" w:hAnsi="Times New Roman" w:cs="Times New Roman"/>
            <w:sz w:val="24"/>
            <w:szCs w:val="24"/>
            <w:lang w:val="en-US"/>
          </w:rPr>
          <w:t>variables</w:t>
        </w:r>
        <w:r>
          <w:rPr>
            <w:rFonts w:ascii="Times New Roman" w:hAnsi="Times New Roman" w:cs="Times New Roman"/>
            <w:sz w:val="24"/>
            <w:szCs w:val="24"/>
            <w:lang w:val="en-US"/>
          </w:rPr>
          <w:t>, while</w:t>
        </w:r>
        <w:r w:rsidRPr="00974B01">
          <w:rPr>
            <w:rFonts w:ascii="Times New Roman" w:hAnsi="Times New Roman" w:cs="Times New Roman"/>
            <w:sz w:val="24"/>
            <w:szCs w:val="24"/>
            <w:lang w:val="en-US"/>
          </w:rPr>
          <w:t xml:space="preserve"> categorical variables are represented in frequencies and percentages (%) in parenthesis.</w:t>
        </w:r>
        <w:r>
          <w:rPr>
            <w:rFonts w:ascii="Times New Roman" w:hAnsi="Times New Roman" w:cs="Times New Roman"/>
            <w:sz w:val="24"/>
            <w:szCs w:val="24"/>
            <w:lang w:val="en-US"/>
          </w:rPr>
          <w:t xml:space="preserve"> Differences between people reporting and not reporting PSU at baseline were </w:t>
        </w:r>
      </w:ins>
      <w:ins w:id="169" w:author="Andrés González Santa Cruz" w:date="2024-07-19T17:13:00Z" w16du:dateUtc="2024-07-19T21:13:00Z">
        <w:r>
          <w:rPr>
            <w:rFonts w:ascii="Times New Roman" w:hAnsi="Times New Roman" w:cs="Times New Roman"/>
            <w:sz w:val="24"/>
            <w:szCs w:val="24"/>
            <w:lang w:val="en-US"/>
          </w:rPr>
          <w:t>quantified using standardized mean differences (SMD).</w:t>
        </w:r>
      </w:ins>
    </w:p>
    <w:p w14:paraId="7AD436C8" w14:textId="7986319C" w:rsidR="00974B01" w:rsidRPr="00974B01" w:rsidRDefault="00974B01">
      <w:pPr>
        <w:tabs>
          <w:tab w:val="left" w:pos="567"/>
        </w:tabs>
        <w:spacing w:after="0" w:line="480" w:lineRule="auto"/>
        <w:ind w:right="565"/>
        <w:rPr>
          <w:ins w:id="170" w:author="Andrés González Santa Cruz" w:date="2024-07-19T17:11:00Z" w16du:dateUtc="2024-07-19T21:11:00Z"/>
          <w:rFonts w:ascii="Times New Roman" w:hAnsi="Times New Roman" w:cs="Times New Roman"/>
          <w:sz w:val="24"/>
          <w:szCs w:val="24"/>
          <w:lang w:val="en-US"/>
          <w:rPrChange w:id="171" w:author="Andrés González Santa Cruz" w:date="2024-07-19T17:11:00Z" w16du:dateUtc="2024-07-19T21:11:00Z">
            <w:rPr>
              <w:ins w:id="172" w:author="Andrés González Santa Cruz" w:date="2024-07-19T17:11:00Z" w16du:dateUtc="2024-07-19T21:11:00Z"/>
              <w:lang w:val="en-US"/>
            </w:rPr>
          </w:rPrChange>
        </w:rPr>
        <w:pPrChange w:id="173" w:author="Andrés González Santa Cruz" w:date="2024-07-19T17:11:00Z" w16du:dateUtc="2024-07-19T21:11:00Z">
          <w:pPr>
            <w:pStyle w:val="Prrafodelista"/>
            <w:numPr>
              <w:ilvl w:val="1"/>
              <w:numId w:val="5"/>
            </w:numPr>
            <w:tabs>
              <w:tab w:val="left" w:pos="567"/>
            </w:tabs>
            <w:spacing w:after="0" w:line="480" w:lineRule="auto"/>
            <w:ind w:left="1080" w:right="565" w:hanging="720"/>
          </w:pPr>
        </w:pPrChange>
      </w:pPr>
      <w:ins w:id="174" w:author="Andrés González Santa Cruz" w:date="2024-07-19T17:13:00Z" w16du:dateUtc="2024-07-19T21:13:00Z">
        <w:r>
          <w:rPr>
            <w:rFonts w:ascii="Times New Roman" w:hAnsi="Times New Roman" w:cs="Times New Roman"/>
            <w:sz w:val="24"/>
            <w:szCs w:val="24"/>
            <w:lang w:val="en-US"/>
          </w:rPr>
          <w:tab/>
        </w:r>
      </w:ins>
      <w:ins w:id="175" w:author="Andrés González Santa Cruz" w:date="2024-07-19T17:11:00Z" w16du:dateUtc="2024-07-19T21:11:00Z">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ins>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55237438" w:rsidR="00AA5B6C" w:rsidRDefault="00FC1C0A" w:rsidP="000F254D">
      <w:pPr>
        <w:spacing w:line="480" w:lineRule="auto"/>
        <w:ind w:right="-2" w:firstLine="567"/>
        <w:rPr>
          <w:rFonts w:ascii="Times New Roman" w:hAnsi="Times New Roman" w:cs="Times New Roman"/>
          <w:sz w:val="24"/>
          <w:szCs w:val="24"/>
        </w:rPr>
      </w:pPr>
      <w:r>
        <w:rPr>
          <w:rFonts w:ascii="Times New Roman" w:hAnsi="Times New Roman" w:cs="Times New Roman"/>
          <w:sz w:val="24"/>
          <w:szCs w:val="24"/>
        </w:rPr>
        <w:t>W</w:t>
      </w:r>
      <w:r w:rsidRPr="000F254D">
        <w:rPr>
          <w:rFonts w:ascii="Times New Roman" w:hAnsi="Times New Roman" w:cs="Times New Roman"/>
          <w:sz w:val="24"/>
          <w:szCs w:val="24"/>
        </w:rPr>
        <w:t>e fit</w:t>
      </w:r>
      <w:r>
        <w:rPr>
          <w:rFonts w:ascii="Times New Roman" w:hAnsi="Times New Roman" w:cs="Times New Roman"/>
          <w:sz w:val="24"/>
          <w:szCs w:val="24"/>
        </w:rPr>
        <w:t>ted</w:t>
      </w:r>
      <w:r w:rsidRPr="000F254D">
        <w:rPr>
          <w:rFonts w:ascii="Times New Roman" w:hAnsi="Times New Roman" w:cs="Times New Roman"/>
          <w:sz w:val="24"/>
          <w:szCs w:val="24"/>
        </w:rPr>
        <w:t xml:space="preserve"> marginal regression models to estimate the</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rPr>
        <w:t>relative risk</w:t>
      </w:r>
      <w:r>
        <w:rPr>
          <w:rFonts w:ascii="Times New Roman" w:hAnsi="Times New Roman" w:cs="Times New Roman"/>
          <w:sz w:val="24"/>
          <w:szCs w:val="24"/>
        </w:rPr>
        <w:t xml:space="preserve"> (RR)</w:t>
      </w:r>
      <w:r w:rsidRPr="000F254D">
        <w:rPr>
          <w:rFonts w:ascii="Times New Roman" w:hAnsi="Times New Roman" w:cs="Times New Roman"/>
          <w:sz w:val="24"/>
          <w:szCs w:val="24"/>
        </w:rPr>
        <w:t xml:space="preserve"> of people with or without PSU at admission</w:t>
      </w:r>
      <w:r>
        <w:rPr>
          <w:rFonts w:ascii="Times New Roman" w:hAnsi="Times New Roman" w:cs="Times New Roman"/>
          <w:sz w:val="24"/>
          <w:szCs w:val="24"/>
        </w:rPr>
        <w:t xml:space="preserve"> to non-completion status</w:t>
      </w:r>
      <w:r w:rsidRPr="000F254D">
        <w:rPr>
          <w:rFonts w:ascii="Times New Roman" w:hAnsi="Times New Roman" w:cs="Times New Roman"/>
          <w:sz w:val="24"/>
          <w:szCs w:val="24"/>
        </w:rPr>
        <w:t xml:space="preserve"> treatment </w:t>
      </w:r>
      <w:r w:rsidRPr="000F254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2018)","noteIndex":0},"citationItems":[{"id":"GFDVas5C/GXD41YKQ","uris":["http://zotero.org/users/12673371/items/SNBHI263"],"itemData":{"id":447,"type":"article-journal","abstract":"For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Pr="000F254D">
        <w:rPr>
          <w:rFonts w:ascii="Times New Roman" w:hAnsi="Times New Roman" w:cs="Times New Roman"/>
          <w:sz w:val="24"/>
          <w:szCs w:val="24"/>
        </w:rPr>
        <w:fldChar w:fldCharType="separate"/>
      </w:r>
      <w:r w:rsidRPr="000F254D">
        <w:rPr>
          <w:rFonts w:ascii="Times New Roman" w:hAnsi="Times New Roman" w:cs="Times New Roman"/>
          <w:sz w:val="24"/>
          <w:szCs w:val="24"/>
        </w:rPr>
        <w:t>(Grafféo et al., 2018)</w:t>
      </w:r>
      <w:r w:rsidRPr="000F254D">
        <w:rPr>
          <w:rFonts w:ascii="Times New Roman" w:hAnsi="Times New Roman" w:cs="Times New Roman"/>
          <w:sz w:val="24"/>
          <w:szCs w:val="24"/>
        </w:rPr>
        <w:fldChar w:fldCharType="end"/>
      </w:r>
      <w:r w:rsidRPr="000F254D">
        <w:rPr>
          <w:rFonts w:ascii="Times New Roman" w:hAnsi="Times New Roman" w:cs="Times New Roman"/>
          <w:sz w:val="24"/>
          <w:szCs w:val="24"/>
        </w:rPr>
        <w:t xml:space="preserve"> using generalized estimating equations, assuming a Poisson distribution with a log-link function and an independent structure.</w:t>
      </w:r>
      <w:r w:rsidR="00AA5B6C">
        <w:rPr>
          <w:rFonts w:ascii="Times New Roman" w:hAnsi="Times New Roman" w:cs="Times New Roman"/>
          <w:sz w:val="24"/>
          <w:szCs w:val="24"/>
        </w:rPr>
        <w:t xml:space="preserve"> </w:t>
      </w:r>
      <w:r w:rsidR="00AA5B6C" w:rsidRPr="00CC362C">
        <w:rPr>
          <w:rFonts w:ascii="Times New Roman" w:hAnsi="Times New Roman" w:cs="Times New Roman"/>
          <w:sz w:val="24"/>
          <w:szCs w:val="24"/>
        </w:rPr>
        <w:t>Heterogeneity tests were conducted in different strata of the treatment settings for the ratio effect measures</w:t>
      </w:r>
      <w:r w:rsidR="00A12593">
        <w:rPr>
          <w:rFonts w:ascii="Times New Roman" w:hAnsi="Times New Roman" w:cs="Times New Roman"/>
          <w:sz w:val="24"/>
          <w:szCs w:val="24"/>
        </w:rPr>
        <w:t xml:space="preserve"> </w:t>
      </w:r>
      <w:commentRangeStart w:id="176"/>
      <w:commentRangeEnd w:id="176"/>
      <w:r w:rsidR="00AA5B6C" w:rsidRPr="00CC362C">
        <w:rPr>
          <w:rStyle w:val="Refdecomentario"/>
          <w:rFonts w:ascii="Times New Roman" w:eastAsia="Times New Roman" w:hAnsi="Times New Roman" w:cs="Times New Roman"/>
          <w:lang w:val="en-US" w:eastAsia="es-CL"/>
        </w:rPr>
        <w:commentReference w:id="176"/>
      </w:r>
      <w:r w:rsidR="00A12593">
        <w:rPr>
          <w:rFonts w:ascii="Times New Roman" w:hAnsi="Times New Roman" w:cs="Times New Roman"/>
          <w:sz w:val="24"/>
          <w:szCs w:val="24"/>
        </w:rPr>
        <w:fldChar w:fldCharType="begin"/>
      </w:r>
      <w:r w:rsidR="00A12593">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2013)","noteIndex":0},"citationItems":[{"id":114,"uris":["http://zotero.org/users/local/0vuW8hEP/items/NTZQ3E9J"],"itemData":{"id":114,"type":"article-journal","abstract":"Many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sidR="00A12593">
        <w:rPr>
          <w:rFonts w:ascii="Times New Roman" w:hAnsi="Times New Roman" w:cs="Times New Roman"/>
          <w:sz w:val="24"/>
          <w:szCs w:val="24"/>
        </w:rPr>
        <w:fldChar w:fldCharType="separate"/>
      </w:r>
      <w:r w:rsidR="00A12593" w:rsidRPr="00A12593">
        <w:rPr>
          <w:rFonts w:ascii="Times New Roman" w:hAnsi="Times New Roman" w:cs="Times New Roman"/>
          <w:sz w:val="24"/>
        </w:rPr>
        <w:t>(Kaufman &amp; MacLehose, 2013)</w:t>
      </w:r>
      <w:r w:rsidR="00A12593">
        <w:rPr>
          <w:rFonts w:ascii="Times New Roman" w:hAnsi="Times New Roman" w:cs="Times New Roman"/>
          <w:sz w:val="24"/>
          <w:szCs w:val="24"/>
        </w:rPr>
        <w:fldChar w:fldCharType="end"/>
      </w:r>
      <w:r w:rsidR="00AA5B6C" w:rsidRPr="00CC362C">
        <w:rPr>
          <w:rFonts w:ascii="Times New Roman" w:hAnsi="Times New Roman" w:cs="Times New Roman"/>
          <w:sz w:val="24"/>
          <w:szCs w:val="24"/>
        </w:rPr>
        <w:t>.</w:t>
      </w:r>
    </w:p>
    <w:p w14:paraId="444F4F6C" w14:textId="77777777" w:rsidR="00AA5B6C" w:rsidRPr="000B7AC1" w:rsidRDefault="00AA5B6C" w:rsidP="000B7AC1">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31A6BB53" w14:textId="3C97110D" w:rsidR="00AA5B6C" w:rsidRDefault="00AA5B6C" w:rsidP="00614966">
      <w:pPr>
        <w:spacing w:line="480" w:lineRule="auto"/>
        <w:ind w:right="-2" w:firstLine="567"/>
        <w:rPr>
          <w:rFonts w:ascii="Times New Roman" w:hAnsi="Times New Roman" w:cs="Times New Roman"/>
          <w:sz w:val="24"/>
          <w:szCs w:val="24"/>
        </w:rPr>
      </w:pPr>
      <w:r w:rsidRPr="00614966">
        <w:rPr>
          <w:rFonts w:ascii="Times New Roman" w:hAnsi="Times New Roman" w:cs="Times New Roman"/>
          <w:sz w:val="24"/>
          <w:szCs w:val="24"/>
        </w:rPr>
        <w:t xml:space="preserve">Given that the study design was based on the administrative records of patients entering </w:t>
      </w:r>
      <w:r>
        <w:rPr>
          <w:rFonts w:ascii="Times New Roman" w:hAnsi="Times New Roman" w:cs="Times New Roman"/>
          <w:sz w:val="24"/>
          <w:szCs w:val="24"/>
        </w:rPr>
        <w:t xml:space="preserve">and re-entering </w:t>
      </w:r>
      <w:r w:rsidRPr="00614966">
        <w:rPr>
          <w:rFonts w:ascii="Times New Roman" w:hAnsi="Times New Roman" w:cs="Times New Roman"/>
          <w:sz w:val="24"/>
          <w:szCs w:val="24"/>
        </w:rPr>
        <w:t>treatment at varying frequencies</w:t>
      </w:r>
      <w:r>
        <w:rPr>
          <w:rFonts w:ascii="Times New Roman" w:hAnsi="Times New Roman" w:cs="Times New Roman"/>
          <w:sz w:val="24"/>
          <w:szCs w:val="24"/>
        </w:rPr>
        <w:t xml:space="preserve"> and follow-up times</w:t>
      </w:r>
      <w:r w:rsidRPr="00614966">
        <w:rPr>
          <w:rFonts w:ascii="Times New Roman" w:hAnsi="Times New Roman" w:cs="Times New Roman"/>
          <w:sz w:val="24"/>
          <w:szCs w:val="24"/>
        </w:rPr>
        <w:t>, we explored the irregularity of assessment times during which reported patient substance use was captured</w:t>
      </w:r>
      <w:r>
        <w:rPr>
          <w:rFonts w:ascii="Times New Roman" w:hAnsi="Times New Roman" w:cs="Times New Roman"/>
          <w:sz w:val="24"/>
          <w:szCs w:val="24"/>
        </w:rPr>
        <w:t xml:space="preserve"> (See Supplemental Section 2)</w:t>
      </w:r>
      <w:r w:rsidRPr="00614966">
        <w:rPr>
          <w:rFonts w:ascii="Times New Roman" w:hAnsi="Times New Roman" w:cs="Times New Roman"/>
          <w:sz w:val="24"/>
          <w:szCs w:val="24"/>
        </w:rPr>
        <w:t xml:space="preserve">. To address the irregular patterns of admission to treatment and the informative differences therein, </w:t>
      </w:r>
      <w:ins w:id="177" w:author="Andrés González Santa Cruz" w:date="2024-07-19T16:15:00Z" w16du:dateUtc="2024-07-19T20:15:00Z">
        <w:r w:rsidR="00F1140E">
          <w:rPr>
            <w:rFonts w:ascii="Times New Roman" w:hAnsi="Times New Roman" w:cs="Times New Roman"/>
            <w:sz w:val="24"/>
            <w:szCs w:val="24"/>
          </w:rPr>
          <w:t xml:space="preserve">marginal structural models </w:t>
        </w:r>
      </w:ins>
      <w:del w:id="178" w:author="Andrés González Santa Cruz" w:date="2024-07-19T16:15:00Z" w16du:dateUtc="2024-07-19T20:15:00Z">
        <w:r w:rsidRPr="00614966" w:rsidDel="00F1140E">
          <w:rPr>
            <w:rFonts w:ascii="Times New Roman" w:hAnsi="Times New Roman" w:cs="Times New Roman"/>
            <w:sz w:val="24"/>
            <w:szCs w:val="24"/>
          </w:rPr>
          <w:delText xml:space="preserve">GEE models </w:delText>
        </w:r>
      </w:del>
      <w:r w:rsidRPr="00614966">
        <w:rPr>
          <w:rFonts w:ascii="Times New Roman" w:hAnsi="Times New Roman" w:cs="Times New Roman"/>
          <w:sz w:val="24"/>
          <w:szCs w:val="24"/>
        </w:rPr>
        <w:t xml:space="preserve">were employed and weighted using </w:t>
      </w:r>
      <w:r>
        <w:rPr>
          <w:rFonts w:ascii="Times New Roman" w:hAnsi="Times New Roman" w:cs="Times New Roman"/>
          <w:sz w:val="24"/>
          <w:szCs w:val="24"/>
        </w:rPr>
        <w:t>i</w:t>
      </w:r>
      <w:r w:rsidRPr="00614966">
        <w:rPr>
          <w:rFonts w:ascii="Times New Roman" w:hAnsi="Times New Roman" w:cs="Times New Roman"/>
          <w:sz w:val="24"/>
          <w:szCs w:val="24"/>
        </w:rPr>
        <w:t xml:space="preserve">nverse </w:t>
      </w:r>
      <w:r>
        <w:rPr>
          <w:rFonts w:ascii="Times New Roman" w:hAnsi="Times New Roman" w:cs="Times New Roman"/>
          <w:sz w:val="24"/>
          <w:szCs w:val="24"/>
        </w:rPr>
        <w:t>i</w:t>
      </w:r>
      <w:r w:rsidRPr="00614966">
        <w:rPr>
          <w:rFonts w:ascii="Times New Roman" w:hAnsi="Times New Roman" w:cs="Times New Roman"/>
          <w:sz w:val="24"/>
          <w:szCs w:val="24"/>
        </w:rPr>
        <w:t xml:space="preserve">ntensity </w:t>
      </w:r>
      <w:r>
        <w:rPr>
          <w:rFonts w:ascii="Times New Roman" w:hAnsi="Times New Roman" w:cs="Times New Roman"/>
          <w:sz w:val="24"/>
          <w:szCs w:val="24"/>
        </w:rPr>
        <w:t>w</w:t>
      </w:r>
      <w:r w:rsidRPr="00614966">
        <w:rPr>
          <w:rFonts w:ascii="Times New Roman" w:hAnsi="Times New Roman" w:cs="Times New Roman"/>
          <w:sz w:val="24"/>
          <w:szCs w:val="24"/>
        </w:rPr>
        <w:t>eights (IIW)</w:t>
      </w:r>
      <w:r>
        <w:rPr>
          <w:rFonts w:ascii="Times New Roman" w:hAnsi="Times New Roman" w:cs="Times New Roman"/>
          <w:sz w:val="24"/>
          <w:szCs w:val="24"/>
        </w:rPr>
        <w:t xml:space="preserve"> by </w:t>
      </w:r>
      <w:r w:rsidR="00B17BE9">
        <w:rPr>
          <w:rFonts w:ascii="Times New Roman" w:hAnsi="Times New Roman" w:cs="Times New Roman"/>
          <w:sz w:val="24"/>
          <w:szCs w:val="24"/>
        </w:rPr>
        <w:t>modelling</w:t>
      </w:r>
      <w:r>
        <w:rPr>
          <w:rFonts w:ascii="Times New Roman" w:hAnsi="Times New Roman" w:cs="Times New Roman"/>
          <w:sz w:val="24"/>
          <w:szCs w:val="24"/>
        </w:rPr>
        <w:t xml:space="preserve"> the time to be observed (i.e., stay in treatment or being readmitted) as a counting process </w:t>
      </w:r>
      <w:r w:rsidRPr="002E0582">
        <w:rPr>
          <w:rFonts w:ascii="Times New Roman" w:hAnsi="Times New Roman" w:cs="Times New Roman"/>
          <w:sz w:val="24"/>
          <w:szCs w:val="24"/>
        </w:rPr>
        <w:t xml:space="preserve">(See Supplemental Section </w:t>
      </w:r>
      <w:r>
        <w:rPr>
          <w:rFonts w:ascii="Times New Roman" w:hAnsi="Times New Roman" w:cs="Times New Roman"/>
          <w:sz w:val="24"/>
          <w:szCs w:val="24"/>
        </w:rPr>
        <w:t>3</w:t>
      </w:r>
      <w:r w:rsidRPr="002E0582">
        <w:rPr>
          <w:rFonts w:ascii="Times New Roman" w:hAnsi="Times New Roman" w:cs="Times New Roman"/>
          <w:sz w:val="24"/>
          <w:szCs w:val="24"/>
        </w:rPr>
        <w:t>)</w:t>
      </w:r>
      <w:r w:rsidRPr="000F254D">
        <w:rPr>
          <w:rFonts w:ascii="Times New Roman" w:hAnsi="Times New Roman" w:cs="Times New Roman"/>
          <w:sz w:val="24"/>
          <w:szCs w:val="24"/>
        </w:rPr>
        <w:t>.</w:t>
      </w:r>
      <w:ins w:id="179" w:author="Andrés González Santa Cruz" w:date="2024-07-19T18:07:00Z" w16du:dateUtc="2024-07-19T22:07:00Z">
        <w:r w:rsidR="007E4AD0">
          <w:rPr>
            <w:rFonts w:ascii="Times New Roman" w:hAnsi="Times New Roman" w:cs="Times New Roman"/>
            <w:sz w:val="24"/>
            <w:szCs w:val="24"/>
          </w:rPr>
          <w:t xml:space="preserve"> </w:t>
        </w:r>
      </w:ins>
    </w:p>
    <w:p w14:paraId="646D37DE" w14:textId="77777777" w:rsidR="00AA5B6C" w:rsidRPr="000B7AC1" w:rsidRDefault="00AA5B6C" w:rsidP="002F1870">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rPr>
        <w:lastRenderedPageBreak/>
        <w:t xml:space="preserve">An additional sensitivity analysis to account for differences between </w:t>
      </w:r>
      <w:r w:rsidRPr="002E0582">
        <w:rPr>
          <w:rFonts w:ascii="Times New Roman" w:hAnsi="Times New Roman" w:cs="Times New Roman"/>
          <w:sz w:val="24"/>
          <w:szCs w:val="24"/>
        </w:rPr>
        <w:t xml:space="preserve">the variance and the mean of PSU reports using Negative Binomial distributions was tested using </w:t>
      </w:r>
      <w:bookmarkStart w:id="180" w:name="_Hlk166663740"/>
      <w:r w:rsidRPr="002E0582">
        <w:rPr>
          <w:rFonts w:ascii="Times New Roman" w:hAnsi="Times New Roman" w:cs="Times New Roman"/>
          <w:sz w:val="24"/>
          <w:szCs w:val="24"/>
        </w:rPr>
        <w:t xml:space="preserve">the Quasi-likelihood Information criterion </w:t>
      </w:r>
      <w:bookmarkEnd w:id="180"/>
      <w:r w:rsidRPr="002E0582">
        <w:rPr>
          <w:rFonts w:ascii="Times New Roman" w:hAnsi="Times New Roman" w:cs="Times New Roman"/>
          <w:sz w:val="24"/>
          <w:szCs w:val="24"/>
        </w:rPr>
        <w:t xml:space="preserve">for model selection (See Supplemental Section </w:t>
      </w:r>
      <w:r>
        <w:rPr>
          <w:rFonts w:ascii="Times New Roman" w:hAnsi="Times New Roman" w:cs="Times New Roman"/>
          <w:sz w:val="24"/>
          <w:szCs w:val="24"/>
        </w:rPr>
        <w:t>4</w:t>
      </w:r>
      <w:r w:rsidRPr="002E0582">
        <w:rPr>
          <w:rFonts w:ascii="Times New Roman" w:hAnsi="Times New Roman" w:cs="Times New Roman"/>
          <w:sz w:val="24"/>
          <w:szCs w:val="24"/>
        </w:rPr>
        <w:t>).</w:t>
      </w:r>
      <w:r>
        <w:rPr>
          <w:rFonts w:ascii="Times New Roman" w:hAnsi="Times New Roman" w:cs="Times New Roman"/>
          <w:sz w:val="24"/>
          <w:szCs w:val="24"/>
        </w:rPr>
        <w:t xml:space="preserve"> </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181"/>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181"/>
      <w:r w:rsidRPr="000F254D">
        <w:rPr>
          <w:rStyle w:val="Refdecomentario"/>
          <w:rFonts w:ascii="Times New Roman" w:eastAsia="Times New Roman" w:hAnsi="Times New Roman" w:cs="Times New Roman"/>
          <w:sz w:val="24"/>
          <w:szCs w:val="24"/>
          <w:lang w:val="en-US" w:eastAsia="es-CL"/>
        </w:rPr>
        <w:commentReference w:id="181"/>
      </w:r>
    </w:p>
    <w:p w14:paraId="50B71585" w14:textId="77777777" w:rsidR="00AA5B6C" w:rsidRDefault="00AA5B6C" w:rsidP="00A56D29">
      <w:pPr>
        <w:pStyle w:val="Prrafodelista"/>
        <w:numPr>
          <w:ilvl w:val="0"/>
          <w:numId w:val="5"/>
        </w:numPr>
        <w:rPr>
          <w:rFonts w:ascii="Times New Roman" w:hAnsi="Times New Roman" w:cs="Times New Roman"/>
          <w:b/>
          <w:bCs/>
          <w:sz w:val="24"/>
          <w:szCs w:val="24"/>
          <w:lang w:val="en-US"/>
        </w:rPr>
      </w:pPr>
      <w:r w:rsidRPr="003A4AF8">
        <w:rPr>
          <w:rFonts w:ascii="Times New Roman" w:hAnsi="Times New Roman" w:cs="Times New Roman"/>
          <w:b/>
          <w:bCs/>
          <w:sz w:val="24"/>
          <w:szCs w:val="24"/>
          <w:lang w:val="en-US"/>
        </w:rPr>
        <w:t>RESULTS</w:t>
      </w:r>
    </w:p>
    <w:p w14:paraId="1AC16988" w14:textId="77777777" w:rsidR="00AA5B6C" w:rsidRPr="000257E1" w:rsidRDefault="00AA5B6C"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that detail the specific aspects of our analysis</w:t>
      </w:r>
      <w:r>
        <w:rPr>
          <w:rFonts w:ascii="Times New Roman" w:hAnsi="Times New Roman" w:cs="Times New Roman"/>
          <w:sz w:val="24"/>
          <w:szCs w:val="24"/>
          <w:lang w:val="en-US"/>
        </w:rPr>
        <w:t>.</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511EA715"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w:t>
      </w:r>
      <w:ins w:id="182" w:author="Andrés González Santa Cruz" w:date="2024-07-19T16:42:00Z" w16du:dateUtc="2024-07-19T20:42:00Z">
        <w:r w:rsidR="009C40B3">
          <w:rPr>
            <w:rFonts w:ascii="Times New Roman" w:hAnsi="Times New Roman" w:cs="Times New Roman"/>
            <w:sz w:val="24"/>
            <w:szCs w:val="24"/>
            <w:lang w:val="en-GB"/>
          </w:rPr>
          <w:t xml:space="preserve">of treatment non-completion </w:t>
        </w:r>
      </w:ins>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Prevalence and incidence of PSU and Treatment completion</w:t>
      </w:r>
    </w:p>
    <w:p w14:paraId="63AE7532" w14:textId="77777777" w:rsidR="00AA5B6C" w:rsidRPr="00CC362C" w:rsidRDefault="00AA5B6C" w:rsidP="00781616">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lastRenderedPageBreak/>
        <w:t xml:space="preserve">Interestingly, among the patients who received only one treatment, 72% reported PSU. However, when examining patients with multiple treatment episodes, 80–88% reported PSU. This suggests that exposure to PSU could be overrepresented in the sample as readmission is associated with PSU. This association is also evident when comparing the number of treatments to the proportion of incomplete treatments. Specifically, 71% of patients with only one treatment did not complete it, whereas 79%, 81%, and 85% of the treatment episodes of patients with two, three, or four treatments and more, respectively, had a non-completion status. </w:t>
      </w:r>
    </w:p>
    <w:p w14:paraId="36D2FD92" w14:textId="53F43177"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reporting PSU at admission to the first treatment (11.6 95% CI 11.3-11.8 per 1,000 person-months) compared to patients who did not report PSU (13.2 95% CI 12.6-13.8). Similarly, the incidence of </w:t>
      </w:r>
      <w:del w:id="183" w:author="Andrés González Santa Cruz" w:date="2024-07-19T17:56:00Z" w16du:dateUtc="2024-07-19T21:56:00Z">
        <w:r w:rsidRPr="00CC362C" w:rsidDel="005F34B7">
          <w:rPr>
            <w:rFonts w:ascii="Times New Roman" w:hAnsi="Times New Roman" w:cs="Times New Roman"/>
            <w:sz w:val="24"/>
            <w:szCs w:val="24"/>
            <w:lang w:val="en-US"/>
          </w:rPr>
          <w:delText xml:space="preserve">dropout </w:delText>
        </w:r>
      </w:del>
      <w:ins w:id="184" w:author="Andrés González Santa Cruz" w:date="2024-07-19T17:56:00Z" w16du:dateUtc="2024-07-19T21:56:00Z">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at the first admission was lower among patients reporting PSU at admission to the first treatment (9.9 95% CI 9.7-10.1) versus patients who did not report PSU (11.3 95% CI 10.8- 11.9). When focusing more longitudinally on patients who had at least one treatment in which they reported PSU, we see that rates of at least one non-completion are lower in this group (11.6 95% CI 11.4-11.9) compared to patients who did not report any PSU (13.9 95% CI 13.1-14.8). This trend was also observed when looking at the incidence of non-completion at the first treatment episode alone (10.0 95% CI 9.8-10.2 versus 11.9 95% CI 11.1-12.6) (</w:t>
      </w:r>
      <w:del w:id="185" w:author="Andrés González Santa Cruz" w:date="2024-07-08T12:10:00Z" w16du:dateUtc="2024-07-08T16:10:00Z">
        <w:r w:rsidRPr="00CC362C" w:rsidDel="001F337E">
          <w:rPr>
            <w:rFonts w:ascii="Times New Roman" w:hAnsi="Times New Roman" w:cs="Times New Roman"/>
            <w:sz w:val="24"/>
            <w:szCs w:val="24"/>
            <w:lang w:val="en-US"/>
          </w:rPr>
          <w:delText xml:space="preserve"> </w:delText>
        </w:r>
      </w:del>
      <w:r w:rsidRPr="00CC362C">
        <w:rPr>
          <w:rFonts w:ascii="Times New Roman" w:hAnsi="Times New Roman" w:cs="Times New Roman"/>
          <w:sz w:val="24"/>
          <w:szCs w:val="24"/>
          <w:lang w:val="en-US"/>
        </w:rPr>
        <w:t>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4D2BE296" w:rsidR="00AA5B6C" w:rsidRPr="003A4AF8" w:rsidRDefault="00AA5B6C"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lastRenderedPageBreak/>
        <w:t xml:space="preserve">According to Table 3, we found a modest association between polysubstance use at any admission to treatment among users </w:t>
      </w:r>
      <w:bookmarkStart w:id="186" w:name="_Hlk170387190"/>
      <w:r w:rsidRPr="00CC362C">
        <w:rPr>
          <w:rFonts w:ascii="Times New Roman" w:hAnsi="Times New Roman" w:cs="Times New Roman"/>
          <w:sz w:val="24"/>
          <w:szCs w:val="24"/>
        </w:rPr>
        <w:t xml:space="preserve">in intensive ambulatory settings for the general population </w:t>
      </w:r>
      <w:bookmarkEnd w:id="186"/>
      <w:r w:rsidRPr="00CC362C">
        <w:rPr>
          <w:rFonts w:ascii="Times New Roman" w:hAnsi="Times New Roman" w:cs="Times New Roman"/>
          <w:sz w:val="24"/>
          <w:szCs w:val="24"/>
        </w:rPr>
        <w:t>(RR= 1.04</w:t>
      </w:r>
      <w:del w:id="187" w:author="Andrés González Santa Cruz" w:date="2024-07-19T17:54:00Z" w16du:dateUtc="2024-07-19T21:54:00Z">
        <w:r w:rsidRPr="00CC362C" w:rsidDel="005F34B7">
          <w:rPr>
            <w:rFonts w:ascii="Times New Roman" w:hAnsi="Times New Roman" w:cs="Times New Roman"/>
            <w:sz w:val="24"/>
            <w:szCs w:val="24"/>
          </w:rPr>
          <w:delText>,</w:delText>
        </w:r>
      </w:del>
      <w:r w:rsidRPr="00CC362C">
        <w:rPr>
          <w:rFonts w:ascii="Times New Roman" w:hAnsi="Times New Roman" w:cs="Times New Roman"/>
          <w:sz w:val="24"/>
          <w:szCs w:val="24"/>
        </w:rPr>
        <w:t xml:space="preserve"> 95% CI 1.01-1.07). Also, the risk was 14% higher </w:t>
      </w:r>
      <w:bookmarkStart w:id="188" w:name="_Hlk170387452"/>
      <w:r w:rsidRPr="00CC362C">
        <w:rPr>
          <w:rFonts w:ascii="Times New Roman" w:hAnsi="Times New Roman" w:cs="Times New Roman"/>
          <w:sz w:val="24"/>
          <w:szCs w:val="24"/>
        </w:rPr>
        <w:t>for residential settings exclusive to women</w:t>
      </w:r>
      <w:bookmarkEnd w:id="188"/>
      <w:r w:rsidRPr="00CC362C">
        <w:rPr>
          <w:rFonts w:ascii="Times New Roman" w:hAnsi="Times New Roman" w:cs="Times New Roman"/>
          <w:sz w:val="24"/>
          <w:szCs w:val="24"/>
        </w:rPr>
        <w:t xml:space="preserve"> (</w:t>
      </w:r>
      <w:ins w:id="189" w:author="Andrés González Santa Cruz" w:date="2024-07-19T17:54:00Z" w16du:dateUtc="2024-07-19T21:54:00Z">
        <w:r w:rsidR="005F34B7">
          <w:rPr>
            <w:rFonts w:ascii="Times New Roman" w:hAnsi="Times New Roman" w:cs="Times New Roman"/>
            <w:sz w:val="24"/>
            <w:szCs w:val="24"/>
          </w:rPr>
          <w:t>RR=</w:t>
        </w:r>
      </w:ins>
      <w:ins w:id="190" w:author="Andrés González Santa Cruz" w:date="2024-07-19T18:09:00Z" w16du:dateUtc="2024-07-19T22:09:00Z">
        <w:r w:rsidR="007E4AD0">
          <w:rPr>
            <w:rFonts w:ascii="Times New Roman" w:hAnsi="Times New Roman" w:cs="Times New Roman"/>
            <w:sz w:val="24"/>
            <w:szCs w:val="24"/>
          </w:rPr>
          <w:t xml:space="preserve"> </w:t>
        </w:r>
      </w:ins>
      <w:ins w:id="191" w:author="Andrés González Santa Cruz" w:date="2024-07-19T17:54:00Z" w16du:dateUtc="2024-07-19T21:54:00Z">
        <w:r w:rsidR="005F34B7">
          <w:rPr>
            <w:rFonts w:ascii="Times New Roman" w:hAnsi="Times New Roman" w:cs="Times New Roman"/>
            <w:sz w:val="24"/>
            <w:szCs w:val="24"/>
          </w:rPr>
          <w:t xml:space="preserve">1.14 </w:t>
        </w:r>
      </w:ins>
      <w:r w:rsidRPr="00CC362C">
        <w:rPr>
          <w:rFonts w:ascii="Times New Roman" w:hAnsi="Times New Roman" w:cs="Times New Roman"/>
          <w:sz w:val="24"/>
          <w:szCs w:val="24"/>
        </w:rPr>
        <w:t>95% CI 1.06-1.23). The association between polysubstance use and treatment non-completion varied significantly across the treatment settings (Cochran's Q</w:t>
      </w:r>
      <w:del w:id="192" w:author="Andrés González Santa Cruz" w:date="2024-07-19T18:09:00Z" w16du:dateUtc="2024-07-19T22:09:00Z">
        <w:r w:rsidRPr="00CC362C" w:rsidDel="007E4AD0">
          <w:rPr>
            <w:rFonts w:ascii="Times New Roman" w:hAnsi="Times New Roman" w:cs="Times New Roman"/>
            <w:sz w:val="24"/>
            <w:szCs w:val="24"/>
          </w:rPr>
          <w:delText xml:space="preserve"> </w:delText>
        </w:r>
      </w:del>
      <w:r w:rsidRPr="00CC362C">
        <w:rPr>
          <w:rFonts w:ascii="Times New Roman" w:hAnsi="Times New Roman" w:cs="Times New Roman"/>
          <w:sz w:val="24"/>
          <w:szCs w:val="24"/>
        </w:rPr>
        <w:t>= 14.5, p</w:t>
      </w:r>
      <w:del w:id="193" w:author="Andrés González Santa Cruz" w:date="2024-07-19T18:09:00Z" w16du:dateUtc="2024-07-19T22:09:00Z">
        <w:r w:rsidRPr="00CC362C" w:rsidDel="007E4AD0">
          <w:rPr>
            <w:rFonts w:ascii="Times New Roman" w:hAnsi="Times New Roman" w:cs="Times New Roman"/>
            <w:sz w:val="24"/>
            <w:szCs w:val="24"/>
          </w:rPr>
          <w:delText xml:space="preserve"> </w:delText>
        </w:r>
      </w:del>
      <w:r w:rsidRPr="00CC362C">
        <w:rPr>
          <w:rFonts w:ascii="Times New Roman" w:hAnsi="Times New Roman" w:cs="Times New Roman"/>
          <w:sz w:val="24"/>
          <w:szCs w:val="24"/>
        </w:rPr>
        <w:t>= 0.0059).</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194"/>
      <w:r w:rsidRPr="003A4AF8">
        <w:rPr>
          <w:rFonts w:ascii="Times New Roman" w:hAnsi="Times New Roman" w:cs="Times New Roman"/>
          <w:sz w:val="24"/>
          <w:szCs w:val="24"/>
        </w:rPr>
        <w:t>Sensitivity analyses</w:t>
      </w:r>
      <w:commentRangeEnd w:id="194"/>
      <w:r>
        <w:rPr>
          <w:rStyle w:val="Refdecomentario"/>
          <w:rFonts w:ascii="Times New Roman" w:eastAsia="Times New Roman" w:hAnsi="Times New Roman" w:cs="Times New Roman"/>
          <w:lang w:val="en-US" w:eastAsia="es-CL"/>
        </w:rPr>
        <w:commentReference w:id="194"/>
      </w:r>
    </w:p>
    <w:p w14:paraId="13016B96" w14:textId="1F418A8F" w:rsidR="00974B01" w:rsidRDefault="00AA5B6C">
      <w:pPr>
        <w:spacing w:line="480" w:lineRule="auto"/>
        <w:ind w:firstLine="567"/>
        <w:rPr>
          <w:rFonts w:ascii="Times New Roman" w:hAnsi="Times New Roman" w:cs="Times New Roman"/>
          <w:sz w:val="24"/>
          <w:szCs w:val="24"/>
          <w:lang w:val="en-US"/>
        </w:rPr>
      </w:pPr>
      <w:bookmarkStart w:id="195" w:name="_Hlk170386320"/>
      <w:bookmarkStart w:id="196" w:name="_Hlk170385333"/>
      <w:r w:rsidRPr="00CC362C">
        <w:rPr>
          <w:rFonts w:ascii="Times New Roman" w:hAnsi="Times New Roman" w:cs="Times New Roman"/>
          <w:sz w:val="24"/>
          <w:szCs w:val="24"/>
        </w:rPr>
        <w:t>The associations between polysubstance use (PSU) and treatment non-completion were stable across models, with null intervals for intensive ambulatory settings for women and residential settings for the general population. One model for basic ambulatory settings showed a modest significant association (RR=</w:t>
      </w:r>
      <w:ins w:id="197"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1.04 95% CI 1.01-1.07). The association weakened in general population intensive ambulatory settings, especially with</w:t>
      </w:r>
      <w:ins w:id="198" w:author="Andrés González Santa Cruz" w:date="2024-07-19T18:03:00Z" w16du:dateUtc="2024-07-19T22:03:00Z">
        <w:r w:rsidR="007E4AD0">
          <w:rPr>
            <w:rFonts w:ascii="Times New Roman" w:hAnsi="Times New Roman" w:cs="Times New Roman"/>
            <w:sz w:val="24"/>
            <w:szCs w:val="24"/>
          </w:rPr>
          <w:t xml:space="preserve"> marginal models with inverse intensity weights from an intensity model</w:t>
        </w:r>
      </w:ins>
      <w:ins w:id="199" w:author="Andrés González Santa Cruz" w:date="2024-07-19T18:04:00Z" w16du:dateUtc="2024-07-19T22:04:00Z">
        <w:r w:rsidR="007E4AD0">
          <w:rPr>
            <w:rFonts w:ascii="Times New Roman" w:hAnsi="Times New Roman" w:cs="Times New Roman"/>
            <w:sz w:val="24"/>
            <w:szCs w:val="24"/>
          </w:rPr>
          <w:t xml:space="preserve"> with</w:t>
        </w:r>
      </w:ins>
      <w:r w:rsidRPr="00CC362C">
        <w:rPr>
          <w:rFonts w:ascii="Times New Roman" w:hAnsi="Times New Roman" w:cs="Times New Roman"/>
          <w:sz w:val="24"/>
          <w:szCs w:val="24"/>
        </w:rPr>
        <w:t xml:space="preserve"> stratified follow-up and lagged covariates at 1 (</w:t>
      </w:r>
      <w:ins w:id="200" w:author="Andrés González Santa Cruz" w:date="2024-07-19T17:54:00Z" w16du:dateUtc="2024-07-19T21:54:00Z">
        <w:r w:rsidR="005F34B7">
          <w:rPr>
            <w:rFonts w:ascii="Times New Roman" w:hAnsi="Times New Roman" w:cs="Times New Roman"/>
            <w:sz w:val="24"/>
            <w:szCs w:val="24"/>
          </w:rPr>
          <w:t>RR=</w:t>
        </w:r>
      </w:ins>
      <w:ins w:id="201"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 xml:space="preserve">1.01 95% CI 0.98-1.05). </w:t>
      </w:r>
      <w:bookmarkEnd w:id="195"/>
      <w:bookmarkEnd w:id="196"/>
      <w:r w:rsidRPr="00CC362C">
        <w:rPr>
          <w:rFonts w:ascii="Times New Roman" w:hAnsi="Times New Roman" w:cs="Times New Roman"/>
          <w:sz w:val="24"/>
          <w:szCs w:val="24"/>
        </w:rPr>
        <w:t xml:space="preserve">In women-specific residential settings, only the </w:t>
      </w:r>
      <w:ins w:id="202" w:author="Andrés González Santa Cruz" w:date="2024-07-19T18:04:00Z" w16du:dateUtc="2024-07-19T22:04:00Z">
        <w:r w:rsidR="007E4AD0">
          <w:rPr>
            <w:rFonts w:ascii="Times New Roman" w:hAnsi="Times New Roman" w:cs="Times New Roman"/>
            <w:sz w:val="24"/>
            <w:szCs w:val="24"/>
          </w:rPr>
          <w:t xml:space="preserve">marginal </w:t>
        </w:r>
      </w:ins>
      <w:r w:rsidRPr="00CC362C">
        <w:rPr>
          <w:rFonts w:ascii="Times New Roman" w:hAnsi="Times New Roman" w:cs="Times New Roman"/>
          <w:sz w:val="24"/>
          <w:szCs w:val="24"/>
        </w:rPr>
        <w:t xml:space="preserve">model </w:t>
      </w:r>
      <w:del w:id="203" w:author="Andrés González Santa Cruz" w:date="2024-07-19T18:04:00Z" w16du:dateUtc="2024-07-19T22:04:00Z">
        <w:r w:rsidRPr="00CC362C" w:rsidDel="007E4AD0">
          <w:rPr>
            <w:rFonts w:ascii="Times New Roman" w:hAnsi="Times New Roman" w:cs="Times New Roman"/>
            <w:sz w:val="24"/>
            <w:szCs w:val="24"/>
          </w:rPr>
          <w:delText xml:space="preserve">overlapping with the null </w:delText>
        </w:r>
      </w:del>
      <w:ins w:id="204" w:author="Andrés González Santa Cruz" w:date="2024-07-19T18:04:00Z" w16du:dateUtc="2024-07-19T22:04:00Z">
        <w:r w:rsidR="007E4AD0">
          <w:rPr>
            <w:rFonts w:ascii="Times New Roman" w:hAnsi="Times New Roman" w:cs="Times New Roman"/>
            <w:sz w:val="24"/>
            <w:szCs w:val="24"/>
          </w:rPr>
          <w:t xml:space="preserve">with inverse intensity weights from an intensity model </w:t>
        </w:r>
      </w:ins>
      <w:del w:id="205" w:author="Andrés González Santa Cruz" w:date="2024-07-19T18:04:00Z" w16du:dateUtc="2024-07-19T22:04:00Z">
        <w:r w:rsidRPr="00CC362C" w:rsidDel="007E4AD0">
          <w:rPr>
            <w:rFonts w:ascii="Times New Roman" w:hAnsi="Times New Roman" w:cs="Times New Roman"/>
            <w:sz w:val="24"/>
            <w:szCs w:val="24"/>
          </w:rPr>
          <w:delText xml:space="preserve">was </w:delText>
        </w:r>
      </w:del>
      <w:r w:rsidRPr="00CC362C">
        <w:rPr>
          <w:rFonts w:ascii="Times New Roman" w:hAnsi="Times New Roman" w:cs="Times New Roman"/>
          <w:sz w:val="24"/>
          <w:szCs w:val="24"/>
        </w:rPr>
        <w:t xml:space="preserve">stratified by follow-up with lagged covariates at 1 </w:t>
      </w:r>
      <w:ins w:id="206" w:author="Andrés González Santa Cruz" w:date="2024-07-19T18:05:00Z" w16du:dateUtc="2024-07-19T22:05:00Z">
        <w:r w:rsidR="007E4AD0">
          <w:rPr>
            <w:rFonts w:ascii="Times New Roman" w:hAnsi="Times New Roman" w:cs="Times New Roman"/>
            <w:sz w:val="24"/>
            <w:szCs w:val="24"/>
          </w:rPr>
          <w:t xml:space="preserve">overlapped the null </w:t>
        </w:r>
      </w:ins>
      <w:r w:rsidRPr="00CC362C">
        <w:rPr>
          <w:rFonts w:ascii="Times New Roman" w:hAnsi="Times New Roman" w:cs="Times New Roman"/>
          <w:sz w:val="24"/>
          <w:szCs w:val="24"/>
        </w:rPr>
        <w:t>(</w:t>
      </w:r>
      <w:ins w:id="207" w:author="Andrés González Santa Cruz" w:date="2024-07-19T17:54:00Z" w16du:dateUtc="2024-07-19T21:54:00Z">
        <w:r w:rsidR="005F34B7">
          <w:rPr>
            <w:rFonts w:ascii="Times New Roman" w:hAnsi="Times New Roman" w:cs="Times New Roman"/>
            <w:sz w:val="24"/>
            <w:szCs w:val="24"/>
          </w:rPr>
          <w:t>RR=</w:t>
        </w:r>
      </w:ins>
      <w:ins w:id="208" w:author="Andrés González Santa Cruz" w:date="2024-07-19T18:09:00Z" w16du:dateUtc="2024-07-19T22:09:00Z">
        <w:r w:rsidR="007E4AD0">
          <w:rPr>
            <w:rFonts w:ascii="Times New Roman" w:hAnsi="Times New Roman" w:cs="Times New Roman"/>
            <w:sz w:val="24"/>
            <w:szCs w:val="24"/>
          </w:rPr>
          <w:t xml:space="preserve"> </w:t>
        </w:r>
      </w:ins>
      <w:r w:rsidRPr="00CC362C">
        <w:rPr>
          <w:rFonts w:ascii="Times New Roman" w:hAnsi="Times New Roman" w:cs="Times New Roman"/>
          <w:sz w:val="24"/>
          <w:szCs w:val="24"/>
        </w:rPr>
        <w:t xml:space="preserve">1.09 95% CI 0.99- 1.20), although both settings maintained a positive direction </w:t>
      </w:r>
      <w:r w:rsidRPr="00CC362C">
        <w:rPr>
          <w:rFonts w:ascii="Times New Roman" w:hAnsi="Times New Roman" w:cs="Times New Roman"/>
          <w:sz w:val="24"/>
          <w:szCs w:val="24"/>
          <w:lang w:val="en-US"/>
        </w:rPr>
        <w:t>(See Table S5).</w:t>
      </w:r>
    </w:p>
    <w:p w14:paraId="17EE589C" w14:textId="77777777" w:rsidR="00974B01" w:rsidRDefault="00974B01">
      <w:pPr>
        <w:spacing w:line="259"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F093E7" w14:textId="77777777" w:rsidR="000A19E8" w:rsidRPr="000B7AC1" w:rsidRDefault="000A19E8" w:rsidP="002D289A">
      <w:pPr>
        <w:spacing w:line="480" w:lineRule="auto"/>
        <w:ind w:firstLine="567"/>
        <w:rPr>
          <w:rFonts w:ascii="Times New Roman" w:hAnsi="Times New Roman" w:cs="Times New Roman"/>
          <w:sz w:val="24"/>
          <w:szCs w:val="24"/>
          <w:lang w:val="en-US"/>
        </w:rPr>
      </w:pPr>
    </w:p>
    <w:p w14:paraId="38892146" w14:textId="77777777" w:rsidR="00AA5B6C" w:rsidRPr="00C31320" w:rsidRDefault="00AA5B6C" w:rsidP="00C31320">
      <w:pPr>
        <w:pStyle w:val="Prrafodelista"/>
        <w:numPr>
          <w:ilvl w:val="0"/>
          <w:numId w:val="5"/>
        </w:numPr>
        <w:rPr>
          <w:rFonts w:ascii="Times New Roman" w:hAnsi="Times New Roman" w:cs="Times New Roman"/>
          <w:b/>
          <w:bCs/>
          <w:sz w:val="24"/>
          <w:szCs w:val="24"/>
        </w:rPr>
      </w:pPr>
      <w:r w:rsidRPr="00C31320">
        <w:rPr>
          <w:rFonts w:ascii="Times New Roman" w:hAnsi="Times New Roman" w:cs="Times New Roman"/>
          <w:b/>
          <w:bCs/>
          <w:sz w:val="24"/>
          <w:szCs w:val="24"/>
        </w:rPr>
        <w:t>DISCUSSION</w:t>
      </w:r>
    </w:p>
    <w:p w14:paraId="2B14B29E" w14:textId="2010871C" w:rsidR="00701F33" w:rsidRPr="00B430ED" w:rsidRDefault="006B3171" w:rsidP="00AA3E65">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(RR 1.04, 95% CI 1.01-1.07) and in women-only residential settings (RR 1.14, 95% CI 1.06-1.23).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ins w:id="209" w:author="Andrés González Santa Cruz" w:date="2024-07-18T14:29:00Z" w16du:dateUtc="2024-07-18T18:29:00Z">
        <w:r w:rsidR="00105D77">
          <w:rPr>
            <w:rFonts w:ascii="Times New Roman" w:hAnsi="Times New Roman" w:cs="Times New Roman"/>
            <w:sz w:val="24"/>
            <w:szCs w:val="24"/>
          </w:rPr>
          <w:t xml:space="preserve"> and treatment setting</w:t>
        </w:r>
      </w:ins>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commentRangeStart w:id="210"/>
      <w:del w:id="211" w:author="Andrés González Santa Cruz" w:date="2024-07-19T18:31:00Z" w16du:dateUtc="2024-07-19T22:31:00Z">
        <w:r w:rsidRPr="00701F33" w:rsidDel="00957EE8">
          <w:rPr>
            <w:rFonts w:ascii="Times New Roman" w:hAnsi="Times New Roman" w:cs="Times New Roman"/>
            <w:sz w:val="24"/>
            <w:szCs w:val="24"/>
          </w:rPr>
          <w:delText>PSU at admission was associated with a lower incidence of non-completion than single substance use</w:delText>
        </w:r>
      </w:del>
      <w:del w:id="212" w:author="Andrés González Santa Cruz" w:date="2024-07-19T18:28:00Z" w16du:dateUtc="2024-07-19T22:28:00Z">
        <w:r w:rsidRPr="00701F33" w:rsidDel="00957EE8">
          <w:rPr>
            <w:rFonts w:ascii="Times New Roman" w:hAnsi="Times New Roman" w:cs="Times New Roman"/>
            <w:sz w:val="24"/>
            <w:szCs w:val="24"/>
          </w:rPr>
          <w:delText>.</w:delText>
        </w:r>
        <w:r w:rsidR="00701F33" w:rsidRPr="00701F33" w:rsidDel="00957EE8">
          <w:rPr>
            <w:rFonts w:ascii="Times New Roman" w:hAnsi="Times New Roman" w:cs="Times New Roman"/>
            <w:sz w:val="24"/>
            <w:szCs w:val="24"/>
          </w:rPr>
          <w:delText xml:space="preserve"> Specifically, the incidence of at least one non-completion episode per patient followed from the first admission until the censoring date was lower among PSU patients (11.6 per 1000 person-months, 95% CI 11.3-11.8) compared to single substance users (13.2 per 1000 person-months, 95% CI 12.6-13.8). This trend was also observed when focusing solely on the first treatment episode, with PSU patients showing a lower </w:delText>
        </w:r>
      </w:del>
      <w:del w:id="213" w:author="Andrés González Santa Cruz" w:date="2024-07-19T17:56:00Z" w16du:dateUtc="2024-07-19T21:56:00Z">
        <w:r w:rsidR="00701F33" w:rsidRPr="00701F33" w:rsidDel="005F34B7">
          <w:rPr>
            <w:rFonts w:ascii="Times New Roman" w:hAnsi="Times New Roman" w:cs="Times New Roman"/>
            <w:sz w:val="24"/>
            <w:szCs w:val="24"/>
          </w:rPr>
          <w:delText xml:space="preserve">dropout </w:delText>
        </w:r>
      </w:del>
      <w:del w:id="214" w:author="Andrés González Santa Cruz" w:date="2024-07-19T18:28:00Z" w16du:dateUtc="2024-07-19T22:28:00Z">
        <w:r w:rsidR="00701F33" w:rsidRPr="00701F33" w:rsidDel="00957EE8">
          <w:rPr>
            <w:rFonts w:ascii="Times New Roman" w:hAnsi="Times New Roman" w:cs="Times New Roman"/>
            <w:sz w:val="24"/>
            <w:szCs w:val="24"/>
          </w:rPr>
          <w:delText>rate (9.9 per 1000 person-months, 95% CI 9.7-10.1) versus single substance users (11.3 per 1000 person-months, 95% CI 10.8-11.9)</w:delText>
        </w:r>
      </w:del>
      <w:del w:id="215" w:author="Andrés González Santa Cruz" w:date="2024-07-19T18:31:00Z" w16du:dateUtc="2024-07-19T22:31:00Z">
        <w:r w:rsidR="00701F33" w:rsidRPr="00701F33" w:rsidDel="00957EE8">
          <w:rPr>
            <w:rFonts w:ascii="Times New Roman" w:hAnsi="Times New Roman" w:cs="Times New Roman"/>
            <w:sz w:val="24"/>
            <w:szCs w:val="24"/>
          </w:rPr>
          <w:delText xml:space="preserve">. </w:delText>
        </w:r>
        <w:commentRangeEnd w:id="210"/>
        <w:r w:rsidR="00957EE8" w:rsidDel="00957EE8">
          <w:rPr>
            <w:rStyle w:val="Refdecomentario"/>
            <w:rFonts w:ascii="Times New Roman" w:eastAsia="Times New Roman" w:hAnsi="Times New Roman" w:cs="Times New Roman"/>
            <w:lang w:val="en-US" w:eastAsia="es-CL"/>
          </w:rPr>
          <w:commentReference w:id="210"/>
        </w:r>
      </w:del>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polysubstance use and treatment non-completion seems robust to different model </w:t>
      </w:r>
      <w:commentRangeStart w:id="216"/>
      <w:r w:rsidR="00E30D40" w:rsidRPr="00CC362C">
        <w:rPr>
          <w:rFonts w:ascii="Times New Roman" w:hAnsi="Times New Roman" w:cs="Times New Roman"/>
          <w:sz w:val="24"/>
          <w:szCs w:val="24"/>
          <w:lang w:val="en-US"/>
        </w:rPr>
        <w:t>specifications</w:t>
      </w:r>
      <w:commentRangeEnd w:id="216"/>
      <w:r w:rsidR="00E30D40" w:rsidRPr="00CC362C">
        <w:rPr>
          <w:rStyle w:val="Refdecomentario"/>
          <w:rFonts w:ascii="Times New Roman" w:eastAsia="Times New Roman" w:hAnsi="Times New Roman" w:cs="Times New Roman"/>
          <w:lang w:val="en-US" w:eastAsia="es-CL"/>
        </w:rPr>
        <w:commentReference w:id="216"/>
      </w:r>
      <w:r w:rsidR="00E30D40" w:rsidRPr="00701F33">
        <w:rPr>
          <w:rFonts w:ascii="Times New Roman" w:hAnsi="Times New Roman" w:cs="Times New Roman"/>
          <w:sz w:val="24"/>
          <w:szCs w:val="24"/>
        </w:rPr>
        <w:t xml:space="preserve">, suggesting that despite their complex clinical profiles, patients with PSU may benefit from repeated treatment </w:t>
      </w:r>
      <w:commentRangeStart w:id="217"/>
      <w:commentRangeStart w:id="218"/>
      <w:r w:rsidR="00E30D40" w:rsidRPr="00701F33">
        <w:rPr>
          <w:rFonts w:ascii="Times New Roman" w:hAnsi="Times New Roman" w:cs="Times New Roman"/>
          <w:sz w:val="24"/>
          <w:szCs w:val="24"/>
        </w:rPr>
        <w:t>engagements</w:t>
      </w:r>
      <w:commentRangeEnd w:id="217"/>
      <w:r w:rsidR="00105D77">
        <w:rPr>
          <w:rStyle w:val="Refdecomentario"/>
          <w:rFonts w:ascii="Times New Roman" w:eastAsia="Times New Roman" w:hAnsi="Times New Roman" w:cs="Times New Roman"/>
          <w:lang w:val="en-US" w:eastAsia="es-CL"/>
        </w:rPr>
        <w:commentReference w:id="217"/>
      </w:r>
      <w:commentRangeEnd w:id="218"/>
      <w:r w:rsidR="007B0936">
        <w:rPr>
          <w:rStyle w:val="Refdecomentario"/>
          <w:rFonts w:ascii="Times New Roman" w:eastAsia="Times New Roman" w:hAnsi="Times New Roman" w:cs="Times New Roman"/>
          <w:lang w:val="en-US" w:eastAsia="es-CL"/>
        </w:rPr>
        <w:commentReference w:id="218"/>
      </w:r>
      <w:r w:rsidR="00E30D40" w:rsidRPr="00701F33">
        <w:rPr>
          <w:rFonts w:ascii="Times New Roman" w:hAnsi="Times New Roman" w:cs="Times New Roman"/>
          <w:sz w:val="24"/>
          <w:szCs w:val="24"/>
        </w:rPr>
        <w:t>.</w:t>
      </w:r>
      <w:r w:rsidR="00901803">
        <w:rPr>
          <w:rFonts w:ascii="Times New Roman" w:hAnsi="Times New Roman" w:cs="Times New Roman"/>
          <w:sz w:val="24"/>
          <w:szCs w:val="24"/>
        </w:rPr>
        <w:t xml:space="preserve"> </w:t>
      </w:r>
      <w:r w:rsidR="000F5B91" w:rsidRPr="000F5B91">
        <w:rPr>
          <w:rFonts w:ascii="Times New Roman" w:hAnsi="Times New Roman" w:cs="Times New Roman"/>
          <w:sz w:val="24"/>
          <w:szCs w:val="24"/>
        </w:rPr>
        <w:t>These results align with those of recent studies, suggesting that PSU generally complicates treatment retention in specific settings</w:t>
      </w:r>
      <w:r w:rsidR="000F5B91">
        <w:rPr>
          <w:rFonts w:ascii="Times New Roman" w:hAnsi="Times New Roman" w:cs="Times New Roman"/>
          <w:sz w:val="24"/>
          <w:szCs w:val="24"/>
        </w:rPr>
        <w:t xml:space="preserve"> </w:t>
      </w:r>
      <w:r w:rsidR="000F5B91">
        <w:rPr>
          <w:rFonts w:ascii="Times New Roman" w:hAnsi="Times New Roman" w:cs="Times New Roman"/>
          <w:sz w:val="24"/>
          <w:szCs w:val="24"/>
        </w:rPr>
        <w:fldChar w:fldCharType="begin"/>
      </w:r>
      <w:r w:rsidR="000F5B91">
        <w:rPr>
          <w:rFonts w:ascii="Times New Roman" w:hAnsi="Times New Roman" w:cs="Times New Roman"/>
          <w:sz w:val="24"/>
          <w:szCs w:val="24"/>
        </w:rPr>
        <w:instrText xml:space="preserve"> ADDIN ZOTERO_ITEM CSL_CITATION {"citationID":"LZU4a3Pn","properties":{"formattedCitation":"(Andersson et al., 2021; Levola et al., 2021)","plainCitation":"(Andersson et al., 2021; Levola et al., 2021)","noteIndex":0},"citationItems":[{"id":"GFDVas5C/KokmgvY3","uris":["http://zotero.org/users/12673371/items/36M32WVX"],"itemData":{"id":"GFDVas5C/KokmgvY3","type":"article-journal","abstract":"INTRODUCTION: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Forsmo"},{"family":"Nordfjærn","given":"Trond"}],"issued":{"date-parts":[["2021"]]}}},{"id":"GFDVas5C/GSHRyYkN","uris":["http://zotero.org/users/12673371/items/KB5U3P92"],"itemData":{"id":"GFDVas5C/GSHRyYkN","type":"article-journal","abstract":"Aims:\nTreatment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0F5B91">
        <w:rPr>
          <w:rFonts w:ascii="Times New Roman" w:hAnsi="Times New Roman" w:cs="Times New Roman"/>
          <w:sz w:val="24"/>
          <w:szCs w:val="24"/>
        </w:rPr>
        <w:fldChar w:fldCharType="separate"/>
      </w:r>
      <w:r w:rsidR="000F5B91" w:rsidRPr="000F5B91">
        <w:rPr>
          <w:rFonts w:ascii="Times New Roman" w:hAnsi="Times New Roman" w:cs="Times New Roman"/>
          <w:sz w:val="24"/>
        </w:rPr>
        <w:t>(Andersson et al., 2021; Levola et al., 2021)</w:t>
      </w:r>
      <w:r w:rsidR="000F5B91">
        <w:rPr>
          <w:rFonts w:ascii="Times New Roman" w:hAnsi="Times New Roman" w:cs="Times New Roman"/>
          <w:sz w:val="24"/>
          <w:szCs w:val="24"/>
        </w:rPr>
        <w:fldChar w:fldCharType="end"/>
      </w:r>
      <w:r w:rsidR="000F5B91" w:rsidRPr="000F5B91">
        <w:rPr>
          <w:rFonts w:ascii="Times New Roman" w:hAnsi="Times New Roman" w:cs="Times New Roman"/>
          <w:sz w:val="24"/>
          <w:szCs w:val="24"/>
        </w:rPr>
        <w:t>.</w:t>
      </w:r>
      <w:r w:rsidR="00B430ED">
        <w:rPr>
          <w:rFonts w:ascii="Times New Roman" w:hAnsi="Times New Roman" w:cs="Times New Roman"/>
          <w:sz w:val="24"/>
          <w:szCs w:val="24"/>
        </w:rPr>
        <w:t xml:space="preserve"> Regarding the reasons for non-completion, a study conducted in Latin America found that t</w:t>
      </w:r>
      <w:r w:rsidR="00B430ED" w:rsidRPr="00B430ED">
        <w:rPr>
          <w:rFonts w:ascii="Times New Roman" w:hAnsi="Times New Roman" w:cs="Times New Roman"/>
          <w:sz w:val="24"/>
          <w:szCs w:val="24"/>
          <w:lang w:val="en-US"/>
        </w:rPr>
        <w:t>he main reasons for abandonment were "not accepting the rules of the institution,”</w:t>
      </w:r>
      <w:r w:rsidR="00B430ED">
        <w:rPr>
          <w:rFonts w:ascii="Times New Roman" w:hAnsi="Times New Roman" w:cs="Times New Roman"/>
          <w:sz w:val="24"/>
          <w:szCs w:val="24"/>
          <w:lang w:val="en-US"/>
        </w:rPr>
        <w:t xml:space="preserve"> </w:t>
      </w:r>
      <w:r w:rsidR="00B430ED" w:rsidRPr="00B430ED">
        <w:rPr>
          <w:rFonts w:ascii="Times New Roman" w:hAnsi="Times New Roman" w:cs="Times New Roman"/>
          <w:sz w:val="24"/>
          <w:szCs w:val="24"/>
          <w:lang w:val="en-US"/>
        </w:rPr>
        <w:t>"lack of money, " and "not feeling comfortable with the facilities"</w:t>
      </w:r>
      <w:ins w:id="219" w:author="Andrés González Santa Cruz" w:date="2024-07-19T17:57:00Z" w16du:dateUtc="2024-07-19T21:57:00Z">
        <w:r w:rsidR="005F34B7">
          <w:rPr>
            <w:rFonts w:ascii="Times New Roman" w:hAnsi="Times New Roman" w:cs="Times New Roman"/>
            <w:sz w:val="24"/>
            <w:szCs w:val="24"/>
            <w:lang w:val="en-US"/>
          </w:rPr>
          <w:t xml:space="preserve"> </w:t>
        </w:r>
      </w:ins>
      <w:r w:rsidR="00B430E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2017)","noteIndex":0},"citationItems":[{"id":126,"uris":["http://zotero.org/users/local/0vuW8hEP/items/DK4RWIIV"],"itemData":{"id":126,"type":"article-journal","abstract":"BACKGROUND: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sidR="00B430E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(Gómez-Restrepo et al., 2017)</w:t>
      </w:r>
      <w:r w:rsidR="00B430ED">
        <w:rPr>
          <w:rFonts w:ascii="Times New Roman" w:hAnsi="Times New Roman" w:cs="Times New Roman"/>
          <w:sz w:val="24"/>
          <w:szCs w:val="24"/>
          <w:lang w:val="en-US"/>
        </w:rPr>
        <w:fldChar w:fldCharType="end"/>
      </w:r>
      <w:r w:rsidR="00B430ED" w:rsidRPr="00B430ED">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993797">
        <w:rPr>
          <w:rFonts w:ascii="Times New Roman" w:hAnsi="Times New Roman" w:cs="Times New Roman"/>
          <w:sz w:val="24"/>
          <w:szCs w:val="24"/>
          <w:lang w:val="en-US"/>
        </w:rPr>
        <w:instrText xml:space="preserve"> ADDIN ZOTERO_ITEM CSL_CITATION {"citationID":"aHxwWtaO","properties":{"formattedCitation":"(DIPRES, 2017a)","plainCitation":"(DIPRES, 2017a)","noteIndex":0},"citationItems":[{"id":20,"uris":["http://zotero.org/users/local/0vuW8hEP/items/Z8XAH972"],"itemData":{"id":20,"type":"document","publisher":"SENDA","title":"Informe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993797">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p>
    <w:p w14:paraId="7343693A" w14:textId="39925565" w:rsidR="000F5B91" w:rsidRPr="00701F33" w:rsidRDefault="006B3171">
      <w:pPr>
        <w:spacing w:line="480" w:lineRule="auto"/>
        <w:ind w:firstLine="567"/>
        <w:rPr>
          <w:rFonts w:ascii="Times New Roman" w:hAnsi="Times New Roman" w:cs="Times New Roman"/>
          <w:sz w:val="24"/>
          <w:szCs w:val="24"/>
          <w:lang w:val="en-US"/>
        </w:rPr>
        <w:pPrChange w:id="220" w:author="Andrés González Santa Cruz" w:date="2024-07-19T17:19:00Z" w16du:dateUtc="2024-07-19T21:19:00Z">
          <w:pPr>
            <w:spacing w:line="480" w:lineRule="auto"/>
            <w:ind w:firstLine="360"/>
          </w:pPr>
        </w:pPrChange>
      </w:pPr>
      <w:commentRangeStart w:id="221"/>
      <w:r w:rsidRPr="00701F33">
        <w:rPr>
          <w:rFonts w:ascii="Times New Roman" w:hAnsi="Times New Roman" w:cs="Times New Roman"/>
          <w:sz w:val="24"/>
          <w:szCs w:val="24"/>
          <w:lang w:val="en-US"/>
        </w:rPr>
        <w:lastRenderedPageBreak/>
        <w:t>The</w:t>
      </w:r>
      <w:commentRangeEnd w:id="221"/>
      <w:r w:rsidR="00957EE8">
        <w:rPr>
          <w:rStyle w:val="Refdecomentario"/>
          <w:rFonts w:ascii="Times New Roman" w:eastAsia="Times New Roman" w:hAnsi="Times New Roman" w:cs="Times New Roman"/>
          <w:lang w:val="en-US" w:eastAsia="es-CL"/>
        </w:rPr>
        <w:commentReference w:id="221"/>
      </w:r>
      <w:r w:rsidRPr="00701F33">
        <w:rPr>
          <w:rFonts w:ascii="Times New Roman" w:hAnsi="Times New Roman" w:cs="Times New Roman"/>
          <w:sz w:val="24"/>
          <w:szCs w:val="24"/>
          <w:lang w:val="en-US"/>
        </w:rPr>
        <w:t xml:space="preserve"> secondary results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Patients with PSU tended to be younger, with a median age of 31.4 years at admission compared to 37.1 years for single-substance users, and were more likely to be unemployed.</w:t>
      </w:r>
      <w:r w:rsidR="00701F33" w:rsidRPr="00701F33">
        <w:rPr>
          <w:rFonts w:ascii="Times New Roman" w:hAnsi="Times New Roman" w:cs="Times New Roman"/>
          <w:sz w:val="24"/>
          <w:szCs w:val="24"/>
          <w:lang w:val="en-US"/>
        </w:rPr>
        <w:t xml:space="preserve"> </w:t>
      </w:r>
      <w:commentRangeStart w:id="222"/>
      <w:r w:rsidR="00E16AC4" w:rsidRPr="00701F33">
        <w:rPr>
          <w:rFonts w:ascii="Times New Roman" w:hAnsi="Times New Roman" w:cs="Times New Roman"/>
          <w:sz w:val="24"/>
          <w:szCs w:val="24"/>
          <w:lang w:val="en-US"/>
        </w:rPr>
        <w:t>Age at admission to treatment and recent birth years may suggest the presence of an age-cohort effect, in which younger individuals might be less reluctant to seek subsequent treatment</w:t>
      </w:r>
      <w:commentRangeEnd w:id="222"/>
      <w:r w:rsidR="00971223">
        <w:rPr>
          <w:rStyle w:val="Refdecomentario"/>
          <w:rFonts w:ascii="Times New Roman" w:eastAsia="Times New Roman" w:hAnsi="Times New Roman" w:cs="Times New Roman"/>
          <w:lang w:val="en-US" w:eastAsia="es-CL"/>
        </w:rPr>
        <w:commentReference w:id="222"/>
      </w:r>
      <w:r w:rsidR="00E16AC4" w:rsidRPr="00701F33">
        <w:rPr>
          <w:rFonts w:ascii="Times New Roman" w:hAnsi="Times New Roman" w:cs="Times New Roman"/>
          <w:sz w:val="24"/>
          <w:szCs w:val="24"/>
          <w:lang w:val="en-US"/>
        </w:rPr>
        <w:t xml:space="preserve">. </w:t>
      </w:r>
      <w:commentRangeStart w:id="223"/>
      <w:commentRangeEnd w:id="223"/>
      <w:r w:rsidR="00E16AC4" w:rsidRPr="00701F33">
        <w:rPr>
          <w:rStyle w:val="Refdecomentario"/>
          <w:rFonts w:ascii="Times New Roman" w:eastAsia="Times New Roman" w:hAnsi="Times New Roman" w:cs="Times New Roman"/>
          <w:sz w:val="24"/>
          <w:szCs w:val="24"/>
          <w:lang w:val="en-US" w:eastAsia="es-CL"/>
        </w:rPr>
        <w:commentReference w:id="223"/>
      </w:r>
      <w:commentRangeStart w:id="224"/>
      <w:commentRangeEnd w:id="224"/>
      <w:r w:rsidR="00E16AC4" w:rsidRPr="00701F33">
        <w:rPr>
          <w:rStyle w:val="Refdecomentario"/>
          <w:rFonts w:ascii="Times New Roman" w:eastAsia="Times New Roman" w:hAnsi="Times New Roman" w:cs="Times New Roman"/>
          <w:sz w:val="24"/>
          <w:szCs w:val="24"/>
          <w:lang w:val="en-US" w:eastAsia="es-CL"/>
        </w:rPr>
        <w:commentReference w:id="224"/>
      </w:r>
      <w:r w:rsidR="00E16AC4" w:rsidRPr="00701F33">
        <w:rPr>
          <w:rFonts w:ascii="Times New Roman" w:hAnsi="Times New Roman" w:cs="Times New Roman"/>
          <w:sz w:val="24"/>
          <w:szCs w:val="24"/>
          <w:lang w:val="en-US"/>
        </w:rPr>
        <w:t xml:space="preserve">Additionally, the expansion of treatment </w:t>
      </w:r>
      <w:commentRangeStart w:id="225"/>
      <w:del w:id="226" w:author="Andrés González Santa Cruz" w:date="2024-07-18T14:21:00Z" w16du:dateUtc="2024-07-18T18:21:00Z">
        <w:r w:rsidR="00E16AC4" w:rsidRPr="00701F33" w:rsidDel="00971223">
          <w:rPr>
            <w:rFonts w:ascii="Times New Roman" w:hAnsi="Times New Roman" w:cs="Times New Roman"/>
            <w:sz w:val="24"/>
            <w:szCs w:val="24"/>
            <w:lang w:val="en-US"/>
          </w:rPr>
          <w:delText>offerings</w:delText>
        </w:r>
        <w:commentRangeEnd w:id="225"/>
        <w:r w:rsidR="00E16AC4" w:rsidRPr="00701F33" w:rsidDel="00971223">
          <w:rPr>
            <w:rStyle w:val="Refdecomentario"/>
            <w:rFonts w:ascii="Times New Roman" w:eastAsia="Times New Roman" w:hAnsi="Times New Roman" w:cs="Times New Roman"/>
            <w:sz w:val="24"/>
            <w:szCs w:val="24"/>
            <w:lang w:val="en-US" w:eastAsia="es-CL"/>
          </w:rPr>
          <w:commentReference w:id="225"/>
        </w:r>
      </w:del>
      <w:ins w:id="227" w:author="Andrés González Santa Cruz" w:date="2024-07-18T14:21:00Z" w16du:dateUtc="2024-07-18T18:21:00Z">
        <w:r w:rsidR="00971223">
          <w:rPr>
            <w:rFonts w:ascii="Times New Roman" w:hAnsi="Times New Roman" w:cs="Times New Roman"/>
            <w:sz w:val="24"/>
            <w:szCs w:val="24"/>
            <w:lang w:val="en-US"/>
          </w:rPr>
          <w:t>supply</w:t>
        </w:r>
      </w:ins>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E16AC4">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Additionally, 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 xml:space="preserve">Despite these differences, the incidence rates of non-completion were </w:t>
      </w:r>
      <w:commentRangeStart w:id="228"/>
      <w:r w:rsidRPr="00701F33">
        <w:rPr>
          <w:rFonts w:ascii="Times New Roman" w:hAnsi="Times New Roman" w:cs="Times New Roman"/>
          <w:sz w:val="24"/>
          <w:szCs w:val="24"/>
          <w:lang w:val="en-US"/>
        </w:rPr>
        <w:t>paradoxically</w:t>
      </w:r>
      <w:commentRangeEnd w:id="228"/>
      <w:r w:rsidR="00957EE8">
        <w:rPr>
          <w:rStyle w:val="Refdecomentario"/>
          <w:rFonts w:ascii="Times New Roman" w:eastAsia="Times New Roman" w:hAnsi="Times New Roman" w:cs="Times New Roman"/>
          <w:lang w:val="en-US" w:eastAsia="es-CL"/>
        </w:rPr>
        <w:commentReference w:id="228"/>
      </w:r>
      <w:r w:rsidRPr="00701F33">
        <w:rPr>
          <w:rFonts w:ascii="Times New Roman" w:hAnsi="Times New Roman" w:cs="Times New Roman"/>
          <w:sz w:val="24"/>
          <w:szCs w:val="24"/>
          <w:lang w:val="en-US"/>
        </w:rPr>
        <w:t xml:space="preserve"> lower among patients with PSU in certain contexts, suggesting that repeated treatment engagements might influence their overall treatment trajectory.</w:t>
      </w:r>
    </w:p>
    <w:p w14:paraId="62072AE3" w14:textId="0FDCE6A9" w:rsidR="000F5B91" w:rsidRDefault="00AA5B6C" w:rsidP="00B430ED">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lang w:val="en-US"/>
        </w:rPr>
        <w:t xml:space="preserve">This study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Pr="00701F33">
        <w:rPr>
          <w:rFonts w:ascii="Times New Roman" w:hAnsi="Times New Roman" w:cs="Times New Roman"/>
          <w:sz w:val="24"/>
          <w:szCs w:val="24"/>
          <w:lang w:val="en-US"/>
        </w:rPr>
        <w:fldChar w:fldCharType="begin"/>
      </w:r>
      <w:r w:rsidRPr="00701F33">
        <w:rPr>
          <w:rFonts w:ascii="Times New Roman" w:hAnsi="Times New Roman" w:cs="Times New Roman"/>
          <w:sz w:val="24"/>
          <w:szCs w:val="24"/>
          <w:lang w:val="en-US"/>
        </w:rPr>
        <w:instrText xml:space="preserve"> ADDIN ZOTERO_ITEM CSL_CITATION {"citationID":"b3Vt9z8e","properties":{"formattedCitation":"(Beaulieu et al., 2022b)","plainCitation":"(Beaulieu et al., 2022b)","noteIndex":0},"citationItems":[{"id":"GFDVas5C/n2uGU464","uris":["http://zotero.org/users/12673371/items/SLASNFLZ"],"itemData":{"id":973,"type":"article-journal","abstract":"Specialized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Pr="00701F33">
        <w:rPr>
          <w:rFonts w:ascii="Times New Roman" w:hAnsi="Times New Roman" w:cs="Times New Roman"/>
          <w:sz w:val="24"/>
          <w:szCs w:val="24"/>
          <w:lang w:val="en-US"/>
        </w:rPr>
        <w:fldChar w:fldCharType="separate"/>
      </w:r>
      <w:r w:rsidRPr="00701F33">
        <w:rPr>
          <w:rFonts w:ascii="Times New Roman" w:hAnsi="Times New Roman" w:cs="Times New Roman"/>
          <w:sz w:val="24"/>
          <w:szCs w:val="24"/>
          <w:lang w:val="en-US"/>
        </w:rPr>
        <w:t>(Beaulieu et al., 2022)</w:t>
      </w:r>
      <w:r w:rsidRPr="00701F33">
        <w:rPr>
          <w:rFonts w:ascii="Times New Roman" w:hAnsi="Times New Roman" w:cs="Times New Roman"/>
          <w:sz w:val="24"/>
          <w:szCs w:val="24"/>
          <w:lang w:val="en-US"/>
        </w:rPr>
        <w:fldChar w:fldCharType="end"/>
      </w:r>
      <w:r w:rsidRPr="00701F33">
        <w:rPr>
          <w:rFonts w:ascii="Times New Roman" w:hAnsi="Times New Roman" w:cs="Times New Roman"/>
          <w:sz w:val="24"/>
          <w:szCs w:val="24"/>
          <w:lang w:val="en-US"/>
        </w:rPr>
        <w:t xml:space="preserve">. </w:t>
      </w:r>
      <w:r w:rsidR="00B430ED" w:rsidRPr="000F5B91">
        <w:rPr>
          <w:rFonts w:ascii="Times New Roman" w:hAnsi="Times New Roman" w:cs="Times New Roman"/>
          <w:sz w:val="24"/>
          <w:szCs w:val="24"/>
        </w:rPr>
        <w:t xml:space="preserve">Interestingly, </w:t>
      </w:r>
      <w:r w:rsidR="00B430ED">
        <w:rPr>
          <w:rFonts w:ascii="Times New Roman" w:hAnsi="Times New Roman" w:cs="Times New Roman"/>
          <w:sz w:val="24"/>
          <w:szCs w:val="24"/>
        </w:rPr>
        <w:t xml:space="preserve">we </w:t>
      </w:r>
      <w:r w:rsidR="00B430ED" w:rsidRPr="000F5B91">
        <w:rPr>
          <w:rFonts w:ascii="Times New Roman" w:hAnsi="Times New Roman" w:cs="Times New Roman"/>
          <w:sz w:val="24"/>
          <w:szCs w:val="24"/>
        </w:rPr>
        <w:t>also noted that some factors expected to influence treatment outcomes, such as previous PSU, specific primary substances at admission, and certain psychiatric comorbidities, had negligible or nonsignificant effects on treatment return rates</w:t>
      </w:r>
      <w:r w:rsidR="00B430ED">
        <w:rPr>
          <w:rFonts w:ascii="Times New Roman" w:hAnsi="Times New Roman" w:cs="Times New Roman"/>
          <w:sz w:val="24"/>
          <w:szCs w:val="24"/>
        </w:rPr>
        <w:t xml:space="preserve"> </w:t>
      </w:r>
      <w:r w:rsidR="00B430ED">
        <w:rPr>
          <w:rFonts w:ascii="Times New Roman" w:hAnsi="Times New Roman" w:cs="Times New Roman"/>
          <w:sz w:val="24"/>
          <w:szCs w:val="24"/>
        </w:rPr>
        <w:fldChar w:fldCharType="begin"/>
      </w:r>
      <w:r w:rsidR="00B430ED">
        <w:rPr>
          <w:rFonts w:ascii="Times New Roman" w:hAnsi="Times New Roman" w:cs="Times New Roman"/>
          <w:sz w:val="24"/>
          <w:szCs w:val="24"/>
        </w:rPr>
        <w:instrText xml:space="preserve"> ADDIN ZOTERO_ITEM CSL_CITATION {"citationID":"gkKEVEA0","properties":{"formattedCitation":"(Passos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B430ED">
        <w:rPr>
          <w:rFonts w:ascii="Times New Roman" w:hAnsi="Times New Roman" w:cs="Times New Roman"/>
          <w:sz w:val="24"/>
          <w:szCs w:val="24"/>
        </w:rPr>
        <w:fldChar w:fldCharType="separate"/>
      </w:r>
      <w:r w:rsidR="00B430ED" w:rsidRPr="000F5B91">
        <w:rPr>
          <w:rFonts w:ascii="Times New Roman" w:hAnsi="Times New Roman" w:cs="Times New Roman"/>
          <w:sz w:val="24"/>
        </w:rPr>
        <w:t xml:space="preserve">(Passos &amp; </w:t>
      </w:r>
      <w:r w:rsidR="00B430ED" w:rsidRPr="000F5B91">
        <w:rPr>
          <w:rFonts w:ascii="Times New Roman" w:hAnsi="Times New Roman" w:cs="Times New Roman"/>
          <w:sz w:val="24"/>
        </w:rPr>
        <w:lastRenderedPageBreak/>
        <w:t>Camacho, 2000)</w:t>
      </w:r>
      <w:r w:rsidR="00B430ED">
        <w:rPr>
          <w:rFonts w:ascii="Times New Roman" w:hAnsi="Times New Roman" w:cs="Times New Roman"/>
          <w:sz w:val="24"/>
          <w:szCs w:val="24"/>
        </w:rPr>
        <w:fldChar w:fldCharType="end"/>
      </w:r>
      <w:r w:rsidR="00B430ED" w:rsidRPr="000F5B91">
        <w:rPr>
          <w:rFonts w:ascii="Times New Roman" w:hAnsi="Times New Roman" w:cs="Times New Roman"/>
          <w:sz w:val="24"/>
          <w:szCs w:val="24"/>
        </w:rPr>
        <w:t>.</w:t>
      </w:r>
      <w:r w:rsidR="000F5B91" w:rsidRPr="000F5B91">
        <w:rPr>
          <w:rFonts w:ascii="Times New Roman" w:hAnsi="Times New Roman" w:cs="Times New Roman"/>
          <w:sz w:val="24"/>
          <w:szCs w:val="24"/>
        </w:rPr>
        <w:t xml:space="preserve"> </w:t>
      </w:r>
      <w:r w:rsidR="00B430ED" w:rsidRPr="000F5B91">
        <w:rPr>
          <w:rFonts w:ascii="Times New Roman" w:hAnsi="Times New Roman" w:cs="Times New Roman"/>
          <w:sz w:val="24"/>
          <w:szCs w:val="24"/>
        </w:rPr>
        <w:t xml:space="preserve">This is in contrast to studies that have observed lower treatment responsiveness among patients with PSU </w:t>
      </w:r>
      <w:r w:rsidR="00B430ED">
        <w:rPr>
          <w:rFonts w:ascii="Times New Roman" w:hAnsi="Times New Roman" w:cs="Times New Roman"/>
          <w:sz w:val="24"/>
          <w:szCs w:val="24"/>
        </w:rPr>
        <w:fldChar w:fldCharType="begin"/>
      </w:r>
      <w:r w:rsidR="00B430ED">
        <w:rPr>
          <w:rFonts w:ascii="Times New Roman" w:hAnsi="Times New Roman" w:cs="Times New Roman"/>
          <w:sz w:val="24"/>
          <w:szCs w:val="24"/>
        </w:rPr>
        <w:instrText xml:space="preserve"> ADDIN ZOTERO_ITEM CSL_CITATION {"citationID":"gY7DlWfg","properties":{"formattedCitation":"(Bonfiglio et al., 2022)","plainCitation":"(Bonfiglio et al., 2022)","noteIndex":0},"citationItems":[{"id":"GFDVas5C/6wTSWTKA","uris":["http://zotero.org/users/12673371/items/CZH72MRW"],"itemData":{"id":"GFDVas5C/6wTSWTKA","type":"article-journal","abstract":"Substance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B430ED">
        <w:rPr>
          <w:rFonts w:ascii="Times New Roman" w:hAnsi="Times New Roman" w:cs="Times New Roman"/>
          <w:sz w:val="24"/>
          <w:szCs w:val="24"/>
        </w:rPr>
        <w:fldChar w:fldCharType="separate"/>
      </w:r>
      <w:r w:rsidR="00B430ED" w:rsidRPr="000F5B91">
        <w:rPr>
          <w:rFonts w:ascii="Times New Roman" w:hAnsi="Times New Roman" w:cs="Times New Roman"/>
          <w:sz w:val="24"/>
        </w:rPr>
        <w:t>(Bonfiglio et al., 2022)</w:t>
      </w:r>
      <w:r w:rsidR="00B430ED">
        <w:rPr>
          <w:rFonts w:ascii="Times New Roman" w:hAnsi="Times New Roman" w:cs="Times New Roman"/>
          <w:sz w:val="24"/>
          <w:szCs w:val="24"/>
        </w:rPr>
        <w:fldChar w:fldCharType="end"/>
      </w:r>
      <w:r w:rsidR="00B430ED" w:rsidRPr="000F5B91">
        <w:rPr>
          <w:rFonts w:ascii="Times New Roman" w:hAnsi="Times New Roman" w:cs="Times New Roman"/>
          <w:sz w:val="24"/>
          <w:szCs w:val="24"/>
        </w:rPr>
        <w:t>.</w:t>
      </w:r>
      <w:r w:rsidR="000F5B91" w:rsidRPr="000F5B91">
        <w:rPr>
          <w:rFonts w:ascii="Times New Roman" w:hAnsi="Times New Roman" w:cs="Times New Roman"/>
          <w:sz w:val="24"/>
          <w:szCs w:val="24"/>
        </w:rPr>
        <w:t xml:space="preserve"> Our results indicate that while PSU poses challenges, the specific context and characteristics of the treatment setting play a critical role in determining outcomes, highlighting the need for tailored interventions</w:t>
      </w:r>
    </w:p>
    <w:p w14:paraId="4BB3AA2A" w14:textId="28A5A7D5" w:rsidR="00AA5B6C" w:rsidRPr="00C31320" w:rsidRDefault="007C3F46" w:rsidP="00C31320">
      <w:pPr>
        <w:spacing w:line="480" w:lineRule="auto"/>
        <w:ind w:firstLine="567"/>
        <w:rPr>
          <w:rFonts w:ascii="Times New Roman" w:hAnsi="Times New Roman" w:cs="Times New Roman"/>
          <w:sz w:val="24"/>
          <w:szCs w:val="24"/>
          <w:lang w:val="en-US"/>
        </w:rPr>
      </w:pPr>
      <w:commentRangeStart w:id="229"/>
      <w:r w:rsidRPr="00701F33">
        <w:rPr>
          <w:rFonts w:ascii="Times New Roman" w:hAnsi="Times New Roman" w:cs="Times New Roman"/>
          <w:sz w:val="24"/>
          <w:szCs w:val="24"/>
          <w:lang w:val="en-US"/>
        </w:rPr>
        <w:t>Interestingly</w:t>
      </w:r>
      <w:commentRangeEnd w:id="229"/>
      <w:r w:rsidRPr="00701F33">
        <w:rPr>
          <w:rStyle w:val="Refdecomentario"/>
          <w:rFonts w:ascii="Times New Roman" w:eastAsia="Times New Roman" w:hAnsi="Times New Roman" w:cs="Times New Roman"/>
          <w:sz w:val="24"/>
          <w:szCs w:val="24"/>
          <w:lang w:eastAsia="es-ES_tradnl"/>
        </w:rPr>
        <w:commentReference w:id="229"/>
      </w:r>
      <w:r w:rsidRPr="00701F33">
        <w:rPr>
          <w:rFonts w:ascii="Times New Roman" w:hAnsi="Times New Roman" w:cs="Times New Roman"/>
          <w:sz w:val="24"/>
          <w:szCs w:val="24"/>
          <w:lang w:val="en-US"/>
        </w:rPr>
        <w:t xml:space="preserve">, some factors that we expected to be influential, such as polysubstance use in previous treatments, specific primary substances at admission, and certain psychiatric </w:t>
      </w:r>
      <w:commentRangeStart w:id="230"/>
      <w:r w:rsidRPr="00701F33">
        <w:rPr>
          <w:rFonts w:ascii="Times New Roman" w:hAnsi="Times New Roman" w:cs="Times New Roman"/>
          <w:sz w:val="24"/>
          <w:szCs w:val="24"/>
          <w:lang w:val="en-US"/>
        </w:rPr>
        <w:t>comorbidities</w:t>
      </w:r>
      <w:commentRangeEnd w:id="230"/>
      <w:r w:rsidRPr="00701F33">
        <w:rPr>
          <w:rStyle w:val="Refdecomentario"/>
          <w:rFonts w:ascii="Times New Roman" w:eastAsia="Times New Roman" w:hAnsi="Times New Roman" w:cs="Times New Roman"/>
          <w:sz w:val="24"/>
          <w:szCs w:val="24"/>
          <w:lang w:eastAsia="es-ES_tradnl"/>
        </w:rPr>
        <w:commentReference w:id="230"/>
      </w:r>
      <w:r>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fldChar w:fldCharType="begin"/>
      </w:r>
      <w:r w:rsidRPr="00701F33">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Pr="00701F33">
        <w:rPr>
          <w:rFonts w:ascii="Times New Roman" w:hAnsi="Times New Roman" w:cs="Times New Roman"/>
          <w:sz w:val="24"/>
          <w:szCs w:val="24"/>
          <w:lang w:val="en-US"/>
        </w:rPr>
        <w:fldChar w:fldCharType="separate"/>
      </w:r>
      <w:r w:rsidRPr="00701F33">
        <w:rPr>
          <w:rFonts w:ascii="Times New Roman" w:hAnsi="Times New Roman" w:cs="Times New Roman"/>
          <w:sz w:val="24"/>
          <w:szCs w:val="24"/>
        </w:rPr>
        <w:t>(Passos &amp; Camacho, 2000)</w:t>
      </w:r>
      <w:r w:rsidRPr="00701F33">
        <w:rPr>
          <w:rFonts w:ascii="Times New Roman" w:hAnsi="Times New Roman" w:cs="Times New Roman"/>
          <w:sz w:val="24"/>
          <w:szCs w:val="24"/>
          <w:lang w:val="en-US"/>
        </w:rPr>
        <w:fldChar w:fldCharType="end"/>
      </w:r>
      <w:r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Adjusting for</w:t>
      </w:r>
      <w:r w:rsidR="006B3171" w:rsidRPr="00C31320">
        <w:rPr>
          <w:rFonts w:ascii="Times New Roman" w:hAnsi="Times New Roman" w:cs="Times New Roman"/>
          <w:sz w:val="24"/>
          <w:szCs w:val="24"/>
          <w:lang w:val="en-US"/>
        </w:rPr>
        <w:t xml:space="preserve"> biopsychosocial compromise and stratification by treatment setting would capture the variability attributed to these </w:t>
      </w:r>
      <w:commentRangeStart w:id="231"/>
      <w:commentRangeStart w:id="232"/>
      <w:commentRangeStart w:id="233"/>
      <w:r w:rsidR="006B3171" w:rsidRPr="00C31320">
        <w:rPr>
          <w:rFonts w:ascii="Times New Roman" w:hAnsi="Times New Roman" w:cs="Times New Roman"/>
          <w:sz w:val="24"/>
          <w:szCs w:val="24"/>
          <w:lang w:val="en-US"/>
        </w:rPr>
        <w:t>factors</w:t>
      </w:r>
      <w:commentRangeEnd w:id="231"/>
      <w:r w:rsidR="006B3171" w:rsidRPr="00C31320">
        <w:rPr>
          <w:rStyle w:val="Refdecomentario"/>
          <w:rFonts w:ascii="Times New Roman" w:eastAsia="Times New Roman" w:hAnsi="Times New Roman" w:cs="Times New Roman"/>
          <w:sz w:val="24"/>
          <w:szCs w:val="24"/>
          <w:lang w:eastAsia="es-ES_tradnl"/>
        </w:rPr>
        <w:commentReference w:id="231"/>
      </w:r>
      <w:commentRangeEnd w:id="232"/>
      <w:r w:rsidR="00AF0450">
        <w:rPr>
          <w:rStyle w:val="Refdecomentario"/>
          <w:rFonts w:ascii="Times New Roman" w:eastAsia="Times New Roman" w:hAnsi="Times New Roman" w:cs="Times New Roman"/>
          <w:lang w:val="en-US" w:eastAsia="es-CL"/>
        </w:rPr>
        <w:commentReference w:id="232"/>
      </w:r>
      <w:commentRangeEnd w:id="233"/>
      <w:r w:rsidR="00AF0450">
        <w:rPr>
          <w:rStyle w:val="Refdecomentario"/>
          <w:rFonts w:ascii="Times New Roman" w:eastAsia="Times New Roman" w:hAnsi="Times New Roman" w:cs="Times New Roman"/>
          <w:lang w:val="en-US" w:eastAsia="es-CL"/>
        </w:rPr>
        <w:commentReference w:id="233"/>
      </w:r>
      <w:r w:rsidR="006B3171"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w:t>
      </w:r>
    </w:p>
    <w:p w14:paraId="4613E783" w14:textId="69218752"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he proportional intensity model used to calculate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2013)","noteIndex":0},"citationItems":[{"id":"GFDVas5C/LBo7Ex0n","uris":["http://zotero.org/users/12673371/items/RZYVMWFA"],"itemData":{"id":974,"type":"article-journal","abstract":"A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234"/>
      <w:r w:rsidR="00AA5B6C" w:rsidRPr="00C31320">
        <w:rPr>
          <w:rFonts w:ascii="Times New Roman" w:hAnsi="Times New Roman" w:cs="Times New Roman"/>
          <w:sz w:val="24"/>
          <w:szCs w:val="24"/>
          <w:lang w:val="en-US"/>
        </w:rPr>
        <w:t>.</w:t>
      </w:r>
      <w:commentRangeEnd w:id="234"/>
      <w:r w:rsidR="00AA5B6C" w:rsidRPr="00C31320">
        <w:rPr>
          <w:rStyle w:val="Refdecomentario"/>
          <w:rFonts w:ascii="Times New Roman" w:eastAsia="Times New Roman" w:hAnsi="Times New Roman" w:cs="Times New Roman"/>
          <w:sz w:val="24"/>
          <w:szCs w:val="24"/>
          <w:lang w:eastAsia="es-ES_tradnl"/>
        </w:rPr>
        <w:commentReference w:id="234"/>
      </w:r>
      <w:commentRangeStart w:id="235"/>
      <w:commentRangeEnd w:id="235"/>
      <w:r w:rsidR="00AA5B6C" w:rsidRPr="00C31320">
        <w:rPr>
          <w:rStyle w:val="Refdecomentario"/>
          <w:rFonts w:ascii="Times New Roman" w:eastAsia="Times New Roman" w:hAnsi="Times New Roman" w:cs="Times New Roman"/>
          <w:sz w:val="24"/>
          <w:szCs w:val="24"/>
          <w:lang w:eastAsia="es-ES_tradnl"/>
        </w:rPr>
        <w:commentReference w:id="235"/>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fully indicative of nonproportional </w:t>
      </w:r>
      <w:commentRangeStart w:id="236"/>
      <w:r w:rsidR="00E30D40" w:rsidRPr="00C31320">
        <w:rPr>
          <w:rFonts w:ascii="Times New Roman" w:hAnsi="Times New Roman" w:cs="Times New Roman"/>
          <w:sz w:val="24"/>
          <w:szCs w:val="24"/>
          <w:lang w:val="en-US"/>
        </w:rPr>
        <w:t>hazards</w:t>
      </w:r>
      <w:commentRangeEnd w:id="236"/>
      <w:r w:rsidR="00E30D40" w:rsidRPr="00C31320">
        <w:rPr>
          <w:rStyle w:val="Refdecomentario"/>
          <w:rFonts w:ascii="Times New Roman" w:eastAsia="Times New Roman" w:hAnsi="Times New Roman" w:cs="Times New Roman"/>
          <w:sz w:val="24"/>
          <w:szCs w:val="24"/>
          <w:lang w:eastAsia="es-ES_tradnl"/>
        </w:rPr>
        <w:commentReference w:id="236"/>
      </w:r>
      <w:ins w:id="237" w:author="Andrés González Santa Cruz" w:date="2024-07-19T17:21:00Z" w16du:dateUtc="2024-07-19T21:21:00Z">
        <w:r w:rsidR="001F0A50">
          <w:rPr>
            <w:rFonts w:ascii="Times New Roman" w:hAnsi="Times New Roman" w:cs="Times New Roman"/>
            <w:sz w:val="24"/>
            <w:szCs w:val="24"/>
            <w:lang w:val="en-US"/>
          </w:rPr>
          <w:t xml:space="preserve"> </w:t>
        </w:r>
      </w:ins>
      <w:r w:rsidR="00E30D40">
        <w:rPr>
          <w:rFonts w:ascii="Times New Roman" w:hAnsi="Times New Roman" w:cs="Times New Roman"/>
          <w:sz w:val="24"/>
          <w:szCs w:val="24"/>
          <w:lang w:val="en-US"/>
        </w:rPr>
        <w:fldChar w:fldCharType="begin"/>
      </w:r>
      <w:r w:rsidR="00E30D40">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2023)","noteIndex":0},"citationItems":[{"id":122,"uris":["http://zotero.org/users/local/0vuW8hEP/items/82LFBE98"],"itemData":{"id":122,"type":"paper-conference","event-place":"University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2010)","noteIndex":0},"citationItems":[{"id":"GFDVas5C/9UfeGq2i","uris":["http://zotero.org/users/12673371/items/RTPF6UQJ"],"itemData":{"id":977,"type":"article-journal","abstract":"The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238"/>
      <w:r w:rsidR="00AA5B6C" w:rsidRPr="00C31320">
        <w:rPr>
          <w:rFonts w:ascii="Times New Roman" w:hAnsi="Times New Roman" w:cs="Times New Roman"/>
          <w:sz w:val="24"/>
          <w:szCs w:val="24"/>
          <w:lang w:val="en-US"/>
        </w:rPr>
        <w:t>.</w:t>
      </w:r>
      <w:commentRangeEnd w:id="238"/>
      <w:r w:rsidR="00AA5B6C" w:rsidRPr="00C31320">
        <w:rPr>
          <w:rStyle w:val="Refdecomentario"/>
          <w:rFonts w:ascii="Times New Roman" w:eastAsia="Times New Roman" w:hAnsi="Times New Roman" w:cs="Times New Roman"/>
          <w:sz w:val="24"/>
          <w:szCs w:val="24"/>
          <w:lang w:eastAsia="es-ES_tradnl"/>
        </w:rPr>
        <w:commentReference w:id="238"/>
      </w:r>
      <w:commentRangeStart w:id="239"/>
      <w:commentRangeEnd w:id="239"/>
      <w:r w:rsidR="00AA5B6C" w:rsidRPr="00C31320">
        <w:rPr>
          <w:rStyle w:val="Refdecomentario"/>
          <w:rFonts w:ascii="Times New Roman" w:eastAsia="Times New Roman" w:hAnsi="Times New Roman" w:cs="Times New Roman"/>
          <w:sz w:val="24"/>
          <w:szCs w:val="24"/>
          <w:lang w:eastAsia="es-ES_tradnl"/>
        </w:rPr>
        <w:commentReference w:id="239"/>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2022)","noteIndex":0},"citationItems":[{"id":"GFDVas5C/G5HWQgA4","uris":["http://zotero.org/users/12673371/items/X3R7IYS3"],"itemData":{"id":978,"type":"article-journal","abstract":"Prediction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240"/>
      <w:r w:rsidR="00AA5B6C" w:rsidRPr="00C31320">
        <w:rPr>
          <w:rFonts w:ascii="Times New Roman" w:hAnsi="Times New Roman" w:cs="Times New Roman"/>
          <w:sz w:val="24"/>
          <w:szCs w:val="24"/>
          <w:lang w:val="en-US"/>
        </w:rPr>
        <w:t>.</w:t>
      </w:r>
      <w:commentRangeEnd w:id="240"/>
      <w:r w:rsidR="00AA5B6C" w:rsidRPr="00C31320">
        <w:rPr>
          <w:rStyle w:val="Refdecomentario"/>
          <w:rFonts w:ascii="Times New Roman" w:eastAsia="Times New Roman" w:hAnsi="Times New Roman" w:cs="Times New Roman"/>
          <w:sz w:val="24"/>
          <w:szCs w:val="24"/>
          <w:lang w:eastAsia="es-ES_tradnl"/>
        </w:rPr>
        <w:commentReference w:id="240"/>
      </w:r>
      <w:commentRangeStart w:id="241"/>
      <w:commentRangeEnd w:id="241"/>
      <w:r w:rsidR="00AA5B6C" w:rsidRPr="00C31320">
        <w:rPr>
          <w:rStyle w:val="Refdecomentario"/>
          <w:rFonts w:ascii="Times New Roman" w:eastAsia="Times New Roman" w:hAnsi="Times New Roman" w:cs="Times New Roman"/>
          <w:sz w:val="24"/>
          <w:szCs w:val="24"/>
          <w:lang w:eastAsia="es-ES_tradnl"/>
        </w:rPr>
        <w:commentReference w:id="241"/>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 xml:space="preserve">n dates closer to administrative censorship or in </w:t>
      </w:r>
      <w:r w:rsidRPr="00C31320">
        <w:rPr>
          <w:rFonts w:ascii="Times New Roman" w:hAnsi="Times New Roman" w:cs="Times New Roman"/>
          <w:sz w:val="24"/>
          <w:szCs w:val="24"/>
          <w:lang w:val="en-US"/>
        </w:rPr>
        <w:lastRenderedPageBreak/>
        <w:t>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242"/>
      <w:r w:rsidRPr="00C31320">
        <w:rPr>
          <w:rFonts w:ascii="Times New Roman" w:hAnsi="Times New Roman" w:cs="Times New Roman"/>
          <w:sz w:val="24"/>
          <w:szCs w:val="24"/>
          <w:lang w:val="en-US"/>
        </w:rPr>
        <w:t>treatments</w:t>
      </w:r>
      <w:commentRangeEnd w:id="242"/>
      <w:r w:rsidRPr="00C31320">
        <w:rPr>
          <w:rStyle w:val="Refdecomentario"/>
          <w:rFonts w:ascii="Times New Roman" w:eastAsia="Times New Roman" w:hAnsi="Times New Roman" w:cs="Times New Roman"/>
          <w:sz w:val="24"/>
          <w:szCs w:val="24"/>
          <w:lang w:eastAsia="es-ES_tradnl"/>
        </w:rPr>
        <w:commentReference w:id="242"/>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2024)","noteIndex":0},"citationItems":[{"id":123,"uris":["http://zotero.org/users/local/0vuW8hEP/items/3I59WWXB"],"itemData":{"id":123,"type":"article","abstract":"Longitudinal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BD61EF">
      <w:pPr>
        <w:pStyle w:val="Prrafodelista"/>
        <w:numPr>
          <w:ilvl w:val="0"/>
          <w:numId w:val="5"/>
        </w:numPr>
        <w:spacing w:line="480" w:lineRule="auto"/>
        <w:rPr>
          <w:rFonts w:ascii="Times New Roman" w:hAnsi="Times New Roman" w:cs="Times New Roman"/>
          <w:b/>
          <w:bCs/>
          <w:sz w:val="24"/>
          <w:szCs w:val="24"/>
          <w:lang w:val="en-US"/>
        </w:rPr>
      </w:pPr>
      <w:r w:rsidRPr="00BD61EF">
        <w:rPr>
          <w:rFonts w:ascii="Times New Roman" w:hAnsi="Times New Roman" w:cs="Times New Roman"/>
          <w:b/>
          <w:bCs/>
          <w:sz w:val="24"/>
          <w:szCs w:val="24"/>
          <w:lang w:val="en-US"/>
        </w:rPr>
        <w:t>CONCLUSION</w:t>
      </w:r>
    </w:p>
    <w:p w14:paraId="2D19D666" w14:textId="79FD0B58" w:rsidR="00BD61EF" w:rsidRPr="00BD61EF" w:rsidRDefault="008769C7">
      <w:pPr>
        <w:spacing w:line="480" w:lineRule="auto"/>
        <w:ind w:firstLine="567"/>
        <w:rPr>
          <w:rFonts w:ascii="Times New Roman" w:hAnsi="Times New Roman" w:cs="Times New Roman"/>
          <w:sz w:val="24"/>
          <w:szCs w:val="24"/>
          <w:lang w:val="en-US"/>
        </w:rPr>
        <w:pPrChange w:id="243" w:author="Andrés González Santa Cruz" w:date="2024-07-19T17:15:00Z" w16du:dateUtc="2024-07-19T21:15:00Z">
          <w:pPr>
            <w:spacing w:line="480" w:lineRule="auto"/>
          </w:pPr>
        </w:pPrChange>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244"/>
      <w:r w:rsidRPr="00F27C17">
        <w:rPr>
          <w:rFonts w:ascii="Times New Roman" w:hAnsi="Times New Roman" w:cs="Times New Roman"/>
          <w:b/>
          <w:bCs/>
          <w:sz w:val="24"/>
          <w:szCs w:val="24"/>
          <w:lang w:val="en-US"/>
        </w:rPr>
        <w:t>BIBLIOGRAPHY</w:t>
      </w:r>
      <w:commentRangeEnd w:id="244"/>
      <w:r w:rsidR="001F0A50">
        <w:rPr>
          <w:rStyle w:val="Refdecomentario"/>
          <w:rFonts w:ascii="Times New Roman" w:eastAsia="Times New Roman" w:hAnsi="Times New Roman" w:cs="Times New Roman"/>
          <w:lang w:val="en-US" w:eastAsia="es-CL"/>
        </w:rPr>
        <w:commentReference w:id="244"/>
      </w:r>
    </w:p>
    <w:p w14:paraId="1EC9FD0A" w14:textId="77777777" w:rsidR="00AA5B6C" w:rsidRPr="00F27C17" w:rsidRDefault="00AA5B6C" w:rsidP="00F27C17">
      <w:pPr>
        <w:rPr>
          <w:rFonts w:ascii="Times New Roman" w:hAnsi="Times New Roman" w:cs="Times New Roman"/>
          <w:sz w:val="24"/>
          <w:szCs w:val="24"/>
          <w:lang w:val="en-US"/>
        </w:rPr>
      </w:pPr>
    </w:p>
    <w:p w14:paraId="1BF349E6" w14:textId="77777777" w:rsidR="00A12593" w:rsidRDefault="00AA5B6C" w:rsidP="00A12593">
      <w:pPr>
        <w:pStyle w:val="Bibliografa"/>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A12593">
        <w:t xml:space="preserve">Andersson, H. W., Lauvsnes, A. D. F., &amp; Nordfjærn, T. (2021). Emerging Adults in Inpatient Substance Use Treatment: A Prospective Cohort Study of Patient Characteristics and Treatment Outcomes. </w:t>
      </w:r>
      <w:r w:rsidR="00A12593">
        <w:rPr>
          <w:i/>
          <w:iCs/>
        </w:rPr>
        <w:t>European Addiction Research</w:t>
      </w:r>
      <w:r w:rsidR="00A12593">
        <w:t xml:space="preserve">, </w:t>
      </w:r>
      <w:r w:rsidR="00A12593">
        <w:rPr>
          <w:i/>
          <w:iCs/>
        </w:rPr>
        <w:t>27</w:t>
      </w:r>
      <w:r w:rsidR="00A12593">
        <w:t>(3), 206–215. https://doi.org/10.1159/000512156</w:t>
      </w:r>
    </w:p>
    <w:p w14:paraId="5F66BC18" w14:textId="77777777" w:rsidR="00A12593" w:rsidRDefault="00A12593" w:rsidP="00A12593">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034ABFC3" w14:textId="77777777" w:rsidR="00A12593" w:rsidRDefault="00A12593" w:rsidP="00A12593">
      <w:pPr>
        <w:pStyle w:val="Bibliografa"/>
      </w:pPr>
      <w:r>
        <w:t xml:space="preserve">Andersson, H. W., Wenaas, M., &amp; Nordfjærn, T. (2019). Relapse after inpatient substance use treatment: A prospective cohort study among users of illicit </w:t>
      </w:r>
      <w:r>
        <w:lastRenderedPageBreak/>
        <w:t xml:space="preserve">substances. </w:t>
      </w:r>
      <w:r>
        <w:rPr>
          <w:i/>
          <w:iCs/>
        </w:rPr>
        <w:t>Addictive Behaviors</w:t>
      </w:r>
      <w:r>
        <w:t xml:space="preserve">, </w:t>
      </w:r>
      <w:r>
        <w:rPr>
          <w:i/>
          <w:iCs/>
        </w:rPr>
        <w:t>90</w:t>
      </w:r>
      <w:r>
        <w:t>, 222–228. https://doi.org/10.1016/j.addbeh.2018.11.008</w:t>
      </w:r>
    </w:p>
    <w:p w14:paraId="65AB438D" w14:textId="77777777" w:rsidR="00A12593" w:rsidRDefault="00A12593" w:rsidP="00A12593">
      <w:pPr>
        <w:pStyle w:val="Bibliografa"/>
      </w:pPr>
      <w:r>
        <w:t xml:space="preserve">Babor, T. F. (2021). Treatment Systems for Population Management of Substance Use Disorders: Requirements and Priorities from a Public Health Perspective. In N. el-Guebaly, G. Carrà, M. Galanter, &amp; A. M. Baldacchino (Eds.), </w:t>
      </w:r>
      <w:r>
        <w:rPr>
          <w:i/>
          <w:iCs/>
        </w:rPr>
        <w:t>Textbook of Addiction Treatment: International Perspectives</w:t>
      </w:r>
      <w:r>
        <w:t xml:space="preserve"> (pp. 553–567). Springer International Publishing. https://doi.org/10.1007/978-3-030-36391-8_39</w:t>
      </w:r>
    </w:p>
    <w:p w14:paraId="764B5C67" w14:textId="77777777" w:rsidR="00A12593" w:rsidRDefault="00A12593" w:rsidP="00A1259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4424C6A4" w14:textId="77777777" w:rsidR="00A12593" w:rsidRDefault="00A12593" w:rsidP="00A1259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1E558B8" w14:textId="77777777" w:rsidR="00A12593" w:rsidRDefault="00A12593" w:rsidP="00A1259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66896E32" w14:textId="77777777" w:rsidR="00A12593" w:rsidRDefault="00A12593" w:rsidP="00A1259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41556ED2" w14:textId="77777777" w:rsidR="00A12593" w:rsidRDefault="00A12593" w:rsidP="00A12593">
      <w:pPr>
        <w:pStyle w:val="Bibliografa"/>
      </w:pPr>
      <w:r>
        <w:t xml:space="preserve">Bonfiglio, N. S., Portoghese, I., Renati, R., Mascia, M. L., &amp; Penna, M. P. (2022). Polysubstance Use Patterns among Outpatients Undergoing Substance Use </w:t>
      </w:r>
      <w:r>
        <w:lastRenderedPageBreak/>
        <w:t xml:space="preserve">Disorder Treatment: A Latent Class Analysis. </w:t>
      </w:r>
      <w:r>
        <w:rPr>
          <w:i/>
          <w:iCs/>
        </w:rPr>
        <w:t>International Journal of Environmental Research and Public Health</w:t>
      </w:r>
      <w:r>
        <w:t xml:space="preserve">, </w:t>
      </w:r>
      <w:r>
        <w:rPr>
          <w:i/>
          <w:iCs/>
        </w:rPr>
        <w:t>19</w:t>
      </w:r>
      <w:r>
        <w:t>(24), Article 24. https://doi.org/10.3390/ijerph192416759</w:t>
      </w:r>
    </w:p>
    <w:p w14:paraId="05895565" w14:textId="77777777" w:rsidR="00A12593" w:rsidRDefault="00A12593" w:rsidP="00A12593">
      <w:pPr>
        <w:pStyle w:val="Bibliografa"/>
      </w:pPr>
      <w:r w:rsidRPr="00A12593">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009DB4C6" w14:textId="77777777" w:rsidR="00A12593" w:rsidRDefault="00A12593" w:rsidP="00A1259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3D2CC26F" w14:textId="77777777" w:rsidR="00A12593" w:rsidRDefault="00A12593" w:rsidP="00A12593">
      <w:pPr>
        <w:pStyle w:val="Bibliografa"/>
      </w:pPr>
      <w: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Pr>
          <w:i/>
          <w:iCs/>
        </w:rPr>
        <w:t>The Lancet Psychiatry</w:t>
      </w:r>
      <w:r>
        <w:t xml:space="preserve">, </w:t>
      </w:r>
      <w:r>
        <w:rPr>
          <w:i/>
          <w:iCs/>
        </w:rPr>
        <w:t>10</w:t>
      </w:r>
      <w:r>
        <w:t>(2), 85–97. https://doi.org/10.1016/S2215-0366(22)00339-X</w:t>
      </w:r>
    </w:p>
    <w:p w14:paraId="792BE022" w14:textId="77777777" w:rsidR="00A12593" w:rsidRDefault="00A12593" w:rsidP="00A1259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23426C6B" w14:textId="77777777" w:rsidR="00A12593" w:rsidRDefault="00A12593" w:rsidP="00A1259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46460649" w14:textId="77777777" w:rsidR="00A12593" w:rsidRDefault="00A12593" w:rsidP="00A12593">
      <w:pPr>
        <w:pStyle w:val="Bibliografa"/>
      </w:pPr>
      <w:r>
        <w:lastRenderedPageBreak/>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076BE7F4" w14:textId="77777777" w:rsidR="00A12593" w:rsidRDefault="00A12593" w:rsidP="00A1259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51AE2F6A" w14:textId="77777777" w:rsidR="00A12593" w:rsidRDefault="00A12593" w:rsidP="00A12593">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25DE30E" w14:textId="77777777" w:rsidR="00A12593" w:rsidRDefault="00A12593" w:rsidP="00A1259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Pr>
          <w:i/>
          <w:iCs/>
        </w:rPr>
        <w:t>The Lancet HIV</w:t>
      </w:r>
      <w:r>
        <w:t xml:space="preserve">, </w:t>
      </w:r>
      <w:r>
        <w:rPr>
          <w:i/>
          <w:iCs/>
        </w:rPr>
        <w:t>1</w:t>
      </w:r>
      <w:r>
        <w:t>(1), e22–e31. https://doi.org/10.1016/S2352-3018(14)70001-3</w:t>
      </w:r>
    </w:p>
    <w:p w14:paraId="06DC58FF" w14:textId="77777777" w:rsidR="00A12593" w:rsidRDefault="00A12593" w:rsidP="00A1259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4E4ED7FF" w14:textId="77777777" w:rsidR="00A12593" w:rsidRPr="00A12593" w:rsidRDefault="00A12593" w:rsidP="00A12593">
      <w:pPr>
        <w:pStyle w:val="Bibliografa"/>
        <w:rPr>
          <w:lang w:val="es-CL"/>
        </w:rPr>
      </w:pPr>
      <w:r w:rsidRPr="00A12593">
        <w:rPr>
          <w:lang w:val="es-CL"/>
        </w:rPr>
        <w:t xml:space="preserve">DIPRES. (2017a). </w:t>
      </w:r>
      <w:r w:rsidRPr="00A12593">
        <w:rPr>
          <w:i/>
          <w:iCs/>
          <w:lang w:val="es-CL"/>
        </w:rPr>
        <w:t>Informe Final: Evaluación de resultados de los programas de tratamiento y rehabilitación del Servicio nacional para la prevención y rehabilitación del consumo de drogas y alcohol</w:t>
      </w:r>
      <w:r w:rsidRPr="00A12593">
        <w:rPr>
          <w:lang w:val="es-CL"/>
        </w:rPr>
        <w:t>. SENDA.</w:t>
      </w:r>
    </w:p>
    <w:p w14:paraId="41C135AB" w14:textId="77777777" w:rsidR="00A12593" w:rsidRPr="00A12593" w:rsidRDefault="00A12593" w:rsidP="00A12593">
      <w:pPr>
        <w:pStyle w:val="Bibliografa"/>
        <w:rPr>
          <w:lang w:val="es-CL"/>
        </w:rPr>
      </w:pPr>
      <w:r w:rsidRPr="00A12593">
        <w:rPr>
          <w:lang w:val="es-CL"/>
        </w:rPr>
        <w:t xml:space="preserve">DIPRES. (2017b). </w:t>
      </w:r>
      <w:r w:rsidRPr="00A12593">
        <w:rPr>
          <w:i/>
          <w:iCs/>
          <w:lang w:val="es-CL"/>
        </w:rPr>
        <w:t>Informe Final: Evaluación de resultados de los programas de tratamiento y rehabilitación del Servicio Nacional para la Prevención y Rehabilitación del Consumo de Drogas y Alcohol, SENDA.</w:t>
      </w:r>
    </w:p>
    <w:p w14:paraId="2C34A768" w14:textId="77777777" w:rsidR="00A12593" w:rsidRPr="00A12593" w:rsidRDefault="00A12593" w:rsidP="00A12593">
      <w:pPr>
        <w:pStyle w:val="Bibliografa"/>
        <w:rPr>
          <w:lang w:val="es-CL"/>
        </w:rPr>
      </w:pPr>
      <w:r w:rsidRPr="00A12593">
        <w:rPr>
          <w:lang w:val="es-CL"/>
        </w:rPr>
        <w:lastRenderedPageBreak/>
        <w:t xml:space="preserve">Fiestas, F., &amp; Ponce, J. (2012). Eficacia de las comunidades terapéuticas en el tratamiento de problemas por uso de sustancias psicoactivas: Una revisión sistemática. </w:t>
      </w:r>
      <w:r w:rsidRPr="00A12593">
        <w:rPr>
          <w:i/>
          <w:iCs/>
          <w:lang w:val="es-CL"/>
        </w:rPr>
        <w:t>Revista Peruana de Medicina Experimental y Salud Publica</w:t>
      </w:r>
      <w:r w:rsidRPr="00A12593">
        <w:rPr>
          <w:lang w:val="es-CL"/>
        </w:rPr>
        <w:t xml:space="preserve">, </w:t>
      </w:r>
      <w:r w:rsidRPr="00A12593">
        <w:rPr>
          <w:i/>
          <w:iCs/>
          <w:lang w:val="es-CL"/>
        </w:rPr>
        <w:t>29</w:t>
      </w:r>
      <w:r w:rsidRPr="00A12593">
        <w:rPr>
          <w:lang w:val="es-CL"/>
        </w:rPr>
        <w:t>(1), 12–20.</w:t>
      </w:r>
    </w:p>
    <w:p w14:paraId="7B0702CA" w14:textId="77777777" w:rsidR="00A12593" w:rsidRDefault="00A12593" w:rsidP="00A12593">
      <w:pPr>
        <w:pStyle w:val="Bibliografa"/>
      </w:pPr>
      <w:r w:rsidRPr="00A12593">
        <w:rPr>
          <w:lang w:val="es-CL"/>
        </w:rPr>
        <w:t xml:space="preserve">Fleury, M.-J., Djouini, A., Huỳnh, C., Tremblay, J., Ferland, F., Ménard, J.-M., &amp; Belleville, G. (2016). </w:t>
      </w:r>
      <w:r>
        <w:t xml:space="preserve">Remission from substance use disorders: A systematic review and meta-analysis. </w:t>
      </w:r>
      <w:r>
        <w:rPr>
          <w:i/>
          <w:iCs/>
        </w:rPr>
        <w:t>Drug and Alcohol Dependence</w:t>
      </w:r>
      <w:r>
        <w:t xml:space="preserve">, </w:t>
      </w:r>
      <w:r>
        <w:rPr>
          <w:i/>
          <w:iCs/>
        </w:rPr>
        <w:t>168</w:t>
      </w:r>
      <w:r>
        <w:t>, 293–306. https://doi.org/10.1016/j.drugalcdep.2016.08.625</w:t>
      </w:r>
    </w:p>
    <w:p w14:paraId="5703008F" w14:textId="77777777" w:rsidR="00A12593" w:rsidRDefault="00A12593" w:rsidP="00A1259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29394D7C" w14:textId="77777777" w:rsidR="00A12593" w:rsidRPr="00A12593" w:rsidRDefault="00A12593" w:rsidP="00A12593">
      <w:pPr>
        <w:pStyle w:val="Bibliografa"/>
        <w:rPr>
          <w:lang w:val="es-CL"/>
        </w:rPr>
      </w:pPr>
      <w:r>
        <w:t xml:space="preserve">Gjersing, L., &amp; Bretteville-Jensen, A. L. (2018). Patterns of substance use and mortality risk in a cohort of ‘hard-to-reach’ polysubstance users. </w:t>
      </w:r>
      <w:r w:rsidRPr="00A12593">
        <w:rPr>
          <w:i/>
          <w:iCs/>
          <w:lang w:val="es-CL"/>
        </w:rPr>
        <w:t>Addiction</w:t>
      </w:r>
      <w:r w:rsidRPr="00A12593">
        <w:rPr>
          <w:lang w:val="es-CL"/>
        </w:rPr>
        <w:t xml:space="preserve">, </w:t>
      </w:r>
      <w:r w:rsidRPr="00A12593">
        <w:rPr>
          <w:i/>
          <w:iCs/>
          <w:lang w:val="es-CL"/>
        </w:rPr>
        <w:t>113</w:t>
      </w:r>
      <w:r w:rsidRPr="00A12593">
        <w:rPr>
          <w:lang w:val="es-CL"/>
        </w:rPr>
        <w:t>(4), 729–739. https://doi.org/10.1111/add.14053</w:t>
      </w:r>
    </w:p>
    <w:p w14:paraId="165E583B" w14:textId="77777777" w:rsidR="00A12593" w:rsidRDefault="00A12593" w:rsidP="00A12593">
      <w:pPr>
        <w:pStyle w:val="Bibliografa"/>
      </w:pPr>
      <w:r w:rsidRPr="00A12593">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C6B7C2B" w14:textId="77777777" w:rsidR="00A12593" w:rsidRDefault="00A12593" w:rsidP="00A1259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028741F6" w14:textId="77777777" w:rsidR="00A12593" w:rsidRDefault="00A12593" w:rsidP="00A12593">
      <w:pPr>
        <w:pStyle w:val="Bibliografa"/>
      </w:pPr>
      <w:r>
        <w:t xml:space="preserve">Griffin, B. A., Ramchand, R., Almirall, D., Slaughter, M. E., Burgette, L. F., &amp; McCaffery, D. F. (2014). Estimating the causal effects of cumulative treatment episodes for adolescents using marginal structural models and inverse probability of treatment </w:t>
      </w:r>
      <w:r>
        <w:lastRenderedPageBreak/>
        <w:t xml:space="preserve">weighting. </w:t>
      </w:r>
      <w:r>
        <w:rPr>
          <w:i/>
          <w:iCs/>
        </w:rPr>
        <w:t>Drug and Alcohol Dependence</w:t>
      </w:r>
      <w:r>
        <w:t xml:space="preserve">, </w:t>
      </w:r>
      <w:r>
        <w:rPr>
          <w:i/>
          <w:iCs/>
        </w:rPr>
        <w:t>136</w:t>
      </w:r>
      <w:r>
        <w:t>, 69–78. https://doi.org/10.1016/j.drugalcdep.2013.12.017</w:t>
      </w:r>
    </w:p>
    <w:p w14:paraId="19FA20A8" w14:textId="77777777" w:rsidR="00A12593" w:rsidRDefault="00A12593" w:rsidP="00A1259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BC39FE8" w14:textId="77777777" w:rsidR="00A12593" w:rsidRDefault="00A12593" w:rsidP="00A1259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ADA4DB8" w14:textId="77777777" w:rsidR="00A12593" w:rsidRDefault="00A12593" w:rsidP="00A1259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3E4356D" w14:textId="77777777" w:rsidR="00A12593" w:rsidRDefault="00A12593" w:rsidP="00A1259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14E28F89" w14:textId="77777777" w:rsidR="00A12593" w:rsidRDefault="00A12593" w:rsidP="00A12593">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52A934D7" w14:textId="77777777" w:rsidR="00A12593" w:rsidRDefault="00A12593" w:rsidP="00A1259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05CED2E" w14:textId="77777777" w:rsidR="00A12593" w:rsidRDefault="00A12593" w:rsidP="00A1259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4803C5B8" w14:textId="77777777" w:rsidR="00A12593" w:rsidRDefault="00A12593" w:rsidP="00A12593">
      <w:pPr>
        <w:pStyle w:val="Bibliografa"/>
      </w:pPr>
      <w:r>
        <w:t xml:space="preserve">Körkel,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3C4ECAC" w14:textId="77777777" w:rsidR="00A12593" w:rsidRDefault="00A12593" w:rsidP="00A12593">
      <w:pPr>
        <w:pStyle w:val="Bibliografa"/>
      </w:pPr>
      <w:r>
        <w:lastRenderedPageBreak/>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44B8719A" w14:textId="77777777" w:rsidR="00A12593" w:rsidRDefault="00A12593" w:rsidP="00A12593">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2EB0918" w14:textId="77777777" w:rsidR="00A12593" w:rsidRPr="00A12593" w:rsidRDefault="00A12593" w:rsidP="00A12593">
      <w:pPr>
        <w:pStyle w:val="Bibliografa"/>
        <w:rPr>
          <w:lang w:val="es-CL"/>
        </w:rPr>
      </w:pPr>
      <w:r>
        <w:t xml:space="preserve">Liu, Y., Williamson, V. G., Setlow, B., Cottler, L. B., &amp; Knackstedt, L. A. (2018). The importance of considering polysubstance use: Lessons from cocaine research. </w:t>
      </w:r>
      <w:r w:rsidRPr="00A12593">
        <w:rPr>
          <w:i/>
          <w:iCs/>
          <w:lang w:val="es-CL"/>
        </w:rPr>
        <w:t>Drug and Alcohol Dependence</w:t>
      </w:r>
      <w:r w:rsidRPr="00A12593">
        <w:rPr>
          <w:lang w:val="es-CL"/>
        </w:rPr>
        <w:t xml:space="preserve">, </w:t>
      </w:r>
      <w:r w:rsidRPr="00A12593">
        <w:rPr>
          <w:i/>
          <w:iCs/>
          <w:lang w:val="es-CL"/>
        </w:rPr>
        <w:t>192</w:t>
      </w:r>
      <w:r w:rsidRPr="00A12593">
        <w:rPr>
          <w:lang w:val="es-CL"/>
        </w:rPr>
        <w:t>, 16–28. https://doi.org/10.1016/j.drugalcdep.2018.07.025</w:t>
      </w:r>
    </w:p>
    <w:p w14:paraId="3DC8C9FE" w14:textId="77777777" w:rsidR="00A12593" w:rsidRDefault="00A12593" w:rsidP="00A12593">
      <w:pPr>
        <w:pStyle w:val="Bibliografa"/>
      </w:pPr>
      <w:r w:rsidRPr="00A12593">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5AF9DAE1" w14:textId="77777777" w:rsidR="00A12593" w:rsidRDefault="00A12593" w:rsidP="00A12593">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3E4EE020" w14:textId="77777777" w:rsidR="00A12593" w:rsidRPr="00A12593" w:rsidRDefault="00A12593" w:rsidP="00A1259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A12593">
        <w:rPr>
          <w:i/>
          <w:iCs/>
          <w:lang w:val="es-CL"/>
        </w:rPr>
        <w:t>Addiction (Abingdon, England)</w:t>
      </w:r>
      <w:r w:rsidRPr="00A12593">
        <w:rPr>
          <w:lang w:val="es-CL"/>
        </w:rPr>
        <w:t xml:space="preserve">, </w:t>
      </w:r>
      <w:r w:rsidRPr="00A12593">
        <w:rPr>
          <w:i/>
          <w:iCs/>
          <w:lang w:val="es-CL"/>
        </w:rPr>
        <w:t>117</w:t>
      </w:r>
      <w:r w:rsidRPr="00A12593">
        <w:rPr>
          <w:lang w:val="es-CL"/>
        </w:rPr>
        <w:t>(12), 3110–3120. https://doi.org/10.1111/add.16008</w:t>
      </w:r>
    </w:p>
    <w:p w14:paraId="72F90529" w14:textId="77777777" w:rsidR="00A12593" w:rsidRDefault="00A12593" w:rsidP="00A12593">
      <w:pPr>
        <w:pStyle w:val="Bibliografa"/>
      </w:pPr>
      <w:r w:rsidRPr="00A12593">
        <w:rPr>
          <w:lang w:val="es-CL"/>
        </w:rPr>
        <w:t xml:space="preserve">Olivari, C. F., Gaete, J., Rodriguez, N., Pizarro, E., Del Villar, P., Calvo, E., &amp; Castillo-Carniglia, A. (2022). </w:t>
      </w:r>
      <w:r>
        <w:t xml:space="preserve">Polydrug Use and Co-occurring Substance Use Disorders in </w:t>
      </w:r>
      <w:r>
        <w:lastRenderedPageBreak/>
        <w:t xml:space="preserve">a Respondent Driven Sampling of Cocaine Base Paste Users in Santiago, Chile. </w:t>
      </w:r>
      <w:r>
        <w:rPr>
          <w:i/>
          <w:iCs/>
        </w:rPr>
        <w:t>Journal of Psychoactive Drugs</w:t>
      </w:r>
      <w:r>
        <w:t xml:space="preserve">, </w:t>
      </w:r>
      <w:r>
        <w:rPr>
          <w:i/>
          <w:iCs/>
        </w:rPr>
        <w:t>54</w:t>
      </w:r>
      <w:r>
        <w:t>(4), 348–357. https://doi.org/10.1080/02791072.2021.1976886</w:t>
      </w:r>
    </w:p>
    <w:p w14:paraId="5647F86B" w14:textId="77777777" w:rsidR="00A12593" w:rsidRDefault="00A12593" w:rsidP="00A12593">
      <w:pPr>
        <w:pStyle w:val="Bibliografa"/>
      </w:pPr>
      <w:r>
        <w:t xml:space="preserve">Olivari, C. F., González-Santa Cruz, A., Mauro, P. M., Martins, S. S., Sapag, J., Gaete, J., Cerdá, M., &amp; Castillo-Carniglia, A. (2022). Treatment outcome and readmission risk among women in women-only versus mixed-gender drug treatment programs in Chile. </w:t>
      </w:r>
      <w:r>
        <w:rPr>
          <w:i/>
          <w:iCs/>
        </w:rPr>
        <w:t>Journal of Substance Abuse Treatment</w:t>
      </w:r>
      <w:r>
        <w:t xml:space="preserve">, </w:t>
      </w:r>
      <w:r>
        <w:rPr>
          <w:i/>
          <w:iCs/>
        </w:rPr>
        <w:t>134</w:t>
      </w:r>
      <w:r>
        <w:t>, 108616. https://doi.org/10.1016/j.jsat.2021.108616</w:t>
      </w:r>
    </w:p>
    <w:p w14:paraId="22120AE6" w14:textId="77777777" w:rsidR="00A12593" w:rsidRDefault="00A12593" w:rsidP="00A12593">
      <w:pPr>
        <w:pStyle w:val="Bibliografa"/>
      </w:pPr>
      <w:r w:rsidRPr="00A12593">
        <w:rPr>
          <w:lang w:val="es-CL"/>
        </w:rPr>
        <w:t xml:space="preserve">Passos, S. R., &amp; Camacho, L. A. (2000). </w:t>
      </w:r>
      <w:r>
        <w:t xml:space="preserve">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2938CDDB" w14:textId="77777777" w:rsidR="00A12593" w:rsidRDefault="00A12593" w:rsidP="00A1259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033E1C29" w14:textId="77777777" w:rsidR="00A12593" w:rsidRDefault="00A12593" w:rsidP="00A1259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00CAFCF5" w14:textId="77777777" w:rsidR="00A12593" w:rsidRDefault="00A12593" w:rsidP="00A12593">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0656EEFE" w14:textId="77777777" w:rsidR="00A12593" w:rsidRDefault="00A12593" w:rsidP="00A12593">
      <w:pPr>
        <w:pStyle w:val="Bibliografa"/>
      </w:pPr>
      <w:r w:rsidRPr="00A12593">
        <w:rPr>
          <w:lang w:val="es-CL"/>
        </w:rPr>
        <w:t xml:space="preserve">Reyes, J., Perez, C., Colon, H., Dowell, M., &amp; Cumsille, F. (2013). </w:t>
      </w:r>
      <w:r>
        <w:t xml:space="preserve">Prevalence and Patterns of Polydrug Use in Latin America: Analysis of Population-based Surveys </w:t>
      </w:r>
      <w:r>
        <w:lastRenderedPageBreak/>
        <w:t xml:space="preserve">in Six Countries. </w:t>
      </w:r>
      <w:r>
        <w:rPr>
          <w:i/>
          <w:iCs/>
        </w:rPr>
        <w:t>Review of European Studies</w:t>
      </w:r>
      <w:r>
        <w:t xml:space="preserve">, </w:t>
      </w:r>
      <w:r>
        <w:rPr>
          <w:i/>
          <w:iCs/>
        </w:rPr>
        <w:t>5</w:t>
      </w:r>
      <w:r>
        <w:t>(1), Article 1. https://doi.org/10.5539/res.v5n1p10</w:t>
      </w:r>
    </w:p>
    <w:p w14:paraId="501B4249" w14:textId="77777777" w:rsidR="00A12593" w:rsidRPr="00A12593" w:rsidRDefault="00A12593" w:rsidP="00A12593">
      <w:pPr>
        <w:pStyle w:val="Bibliografa"/>
        <w:rPr>
          <w:lang w:val="es-CL"/>
        </w:rPr>
      </w:pPr>
      <w:r>
        <w:t xml:space="preserve">Royston, P., &amp; Altman, D. G. (2013). External validation of a Cox prognostic model: Principles and methods. </w:t>
      </w:r>
      <w:r w:rsidRPr="00A12593">
        <w:rPr>
          <w:i/>
          <w:iCs/>
          <w:lang w:val="es-CL"/>
        </w:rPr>
        <w:t>BMC Medical Research Methodology</w:t>
      </w:r>
      <w:r w:rsidRPr="00A12593">
        <w:rPr>
          <w:lang w:val="es-CL"/>
        </w:rPr>
        <w:t xml:space="preserve">, </w:t>
      </w:r>
      <w:r w:rsidRPr="00A12593">
        <w:rPr>
          <w:i/>
          <w:iCs/>
          <w:lang w:val="es-CL"/>
        </w:rPr>
        <w:t>13</w:t>
      </w:r>
      <w:r w:rsidRPr="00A12593">
        <w:rPr>
          <w:lang w:val="es-CL"/>
        </w:rPr>
        <w:t>(1), 33. https://doi.org/10.1186/1471-2288-13-33</w:t>
      </w:r>
    </w:p>
    <w:p w14:paraId="40CAC431" w14:textId="77777777" w:rsidR="00A12593" w:rsidRDefault="00A12593" w:rsidP="00A12593">
      <w:pPr>
        <w:pStyle w:val="Bibliografa"/>
      </w:pPr>
      <w:r w:rsidRPr="00A12593">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3DD55767" w14:textId="77777777" w:rsidR="00A12593" w:rsidRDefault="00A12593" w:rsidP="00A1259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3C86EED3" w14:textId="77777777" w:rsidR="00A12593" w:rsidRDefault="00A12593" w:rsidP="00A12593">
      <w:pPr>
        <w:pStyle w:val="Bibliografa"/>
      </w:pPr>
      <w:r w:rsidRPr="00A12593">
        <w:rPr>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Pr>
          <w:i/>
          <w:iCs/>
        </w:rPr>
        <w:t>Revista Médica de Chile</w:t>
      </w:r>
      <w:r>
        <w:t xml:space="preserve">, </w:t>
      </w:r>
      <w:r>
        <w:rPr>
          <w:i/>
          <w:iCs/>
        </w:rPr>
        <w:t>135</w:t>
      </w:r>
      <w:r>
        <w:t>(1), 45–53. https://doi.org/10.4067/S0034-98872007000100007</w:t>
      </w:r>
    </w:p>
    <w:p w14:paraId="1F84D76A" w14:textId="77777777" w:rsidR="00A12593" w:rsidRDefault="00A12593" w:rsidP="00A1259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4648D147" w14:textId="77777777" w:rsidR="00A12593" w:rsidRDefault="00A12593" w:rsidP="00A12593">
      <w:pPr>
        <w:pStyle w:val="Bibliografa"/>
      </w:pPr>
      <w:r>
        <w:t xml:space="preserve">Sheetal, A., Jiang, Z., &amp; Di Milia, L. (2023). Using machine learning to analyze longitudinal data: A tutorial guide and best-practice recommendations for social </w:t>
      </w:r>
      <w:r>
        <w:lastRenderedPageBreak/>
        <w:t xml:space="preserve">science researchers. </w:t>
      </w:r>
      <w:r>
        <w:rPr>
          <w:i/>
          <w:iCs/>
        </w:rPr>
        <w:t>Applied Psychology</w:t>
      </w:r>
      <w:r>
        <w:t xml:space="preserve">, </w:t>
      </w:r>
      <w:r>
        <w:rPr>
          <w:i/>
          <w:iCs/>
        </w:rPr>
        <w:t>72</w:t>
      </w:r>
      <w:r>
        <w:t>(3), 1339–1364. https://doi.org/10.1111/apps.12435</w:t>
      </w:r>
    </w:p>
    <w:p w14:paraId="72916D7A" w14:textId="77777777" w:rsidR="00A12593" w:rsidRDefault="00A12593" w:rsidP="00A12593">
      <w:pPr>
        <w:pStyle w:val="Bibliografa"/>
      </w:pPr>
      <w:r>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5021D59C" w14:textId="77777777" w:rsidR="00A12593" w:rsidRDefault="00A12593" w:rsidP="00A12593">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3D0C97EA" w14:textId="77777777" w:rsidR="00A12593" w:rsidRPr="00A12593" w:rsidRDefault="00A12593" w:rsidP="00A12593">
      <w:pPr>
        <w:pStyle w:val="Bibliografa"/>
        <w:rPr>
          <w:lang w:val="es-CL"/>
        </w:rPr>
      </w:pPr>
      <w:r>
        <w:t xml:space="preserve">Vázquez-Real, M., Talero-Barrientos, E. M., &amp; Franco-Fernández, M. D. (2022). Sociodemographic, clinical and pharmacological factors influencing early readmission in mental health settings. </w:t>
      </w:r>
      <w:r w:rsidRPr="00A12593">
        <w:rPr>
          <w:i/>
          <w:iCs/>
          <w:lang w:val="es-CL"/>
        </w:rPr>
        <w:t>Actas Espanolas De Psiquiatria</w:t>
      </w:r>
      <w:r w:rsidRPr="00A12593">
        <w:rPr>
          <w:lang w:val="es-CL"/>
        </w:rPr>
        <w:t xml:space="preserve">, </w:t>
      </w:r>
      <w:r w:rsidRPr="00A12593">
        <w:rPr>
          <w:i/>
          <w:iCs/>
          <w:lang w:val="es-CL"/>
        </w:rPr>
        <w:t>50</w:t>
      </w:r>
      <w:r w:rsidRPr="00A12593">
        <w:rPr>
          <w:lang w:val="es-CL"/>
        </w:rPr>
        <w:t>(6), 248–255.</w:t>
      </w:r>
    </w:p>
    <w:p w14:paraId="272CC879" w14:textId="77777777" w:rsidR="00A12593" w:rsidRDefault="00A12593" w:rsidP="00A12593">
      <w:pPr>
        <w:pStyle w:val="Bibliografa"/>
      </w:pPr>
      <w:r w:rsidRPr="00A12593">
        <w:rPr>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Pr>
          <w:i/>
          <w:iCs/>
        </w:rPr>
        <w:t>Revista Médica de Chile</w:t>
      </w:r>
      <w:r>
        <w:t xml:space="preserve">, </w:t>
      </w:r>
      <w:r>
        <w:rPr>
          <w:i/>
          <w:iCs/>
        </w:rPr>
        <w:t>150</w:t>
      </w:r>
      <w:r>
        <w:t>(5), 584–596. https://doi.org/10.4067/s0034-98872022000500584</w:t>
      </w:r>
    </w:p>
    <w:p w14:paraId="37866A04" w14:textId="1394936E" w:rsidR="00AA5B6C" w:rsidRDefault="00AA5B6C" w:rsidP="00C31320">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25" w:author="Mariel Mateo" w:date="2024-06-25T14:40:00Z" w:initials="MM">
    <w:p w14:paraId="7AF9EE51"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26" w:author="Andrés González Santa Cruz" w:date="2024-06-25T14:56:00Z" w:initials="AG">
    <w:p w14:paraId="613898F4"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18" w:author="Mariel Mateo" w:date="2024-06-25T14:40:00Z" w:initials="MM">
    <w:p w14:paraId="5350A879"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19" w:author="Andrés González Santa Cruz" w:date="2024-06-25T14:56:00Z" w:initials="AG">
    <w:p w14:paraId="585C1002"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41" w:author="Andrés González Santa Cruz" w:date="2024-06-25T14:42:00Z" w:initials="AG">
    <w:p w14:paraId="5EDF05B3" w14:textId="77777777"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42" w:author="Andrés González Santa Cruz" w:date="2024-06-25T15:06:00Z" w:initials="AG">
    <w:p w14:paraId="2CEA903A" w14:textId="77777777" w:rsidR="00AA5B6C" w:rsidRPr="00A13FCC" w:rsidRDefault="00AA5B6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44" w:author="Andrés González Santa Cruz" w:date="2024-06-23T21:05:00Z" w:initials="AG">
    <w:p w14:paraId="472CCC52"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45"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46"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47"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40" w:author="Andrés González Santa Cruz" w:date="2024-07-19T16:39:00Z" w:initials="AG">
    <w:p w14:paraId="3560ED68" w14:textId="77777777" w:rsidR="00323EDB" w:rsidRDefault="00323EDB" w:rsidP="00323EDB">
      <w:pPr>
        <w:pStyle w:val="Textocomentario"/>
      </w:pPr>
      <w:r>
        <w:rPr>
          <w:rStyle w:val="Refdecomentario"/>
        </w:rPr>
        <w:annotationRef/>
      </w:r>
      <w:r>
        <w:t xml:space="preserve">United Nations Office on Drugs and </w:t>
      </w:r>
      <w:proofErr w:type="gramStart"/>
      <w:r>
        <w:t>Crime[</w:t>
      </w:r>
      <w:proofErr w:type="gramEnd"/>
      <w:r>
        <w:t xml:space="preserve">UNODC], 2023. TREATMENT SERVICES FOR SUBSTANCE USE DISORDERS IN LATIN AMERICAN COUNTRIES Findings from the UNODC-WHO facility survey for field testing. Publishing production: English, Publishing and Library Section, United Nations Office at Vienna. Vienna. Obtained from: </w:t>
      </w:r>
      <w:hyperlink r:id="rId1" w:history="1">
        <w:r w:rsidRPr="00282592">
          <w:rPr>
            <w:rStyle w:val="Hipervnculo"/>
          </w:rPr>
          <w:t>https://www.unodc.org/documents/drug-prevention-and-treatment/UNODC_QALAT_mapping_report_ENGLISH.pdf</w:t>
        </w:r>
      </w:hyperlink>
    </w:p>
  </w:comment>
  <w:comment w:id="142" w:author="Mariel Mateo" w:date="2024-06-25T15:24:00Z" w:initials="MM">
    <w:p w14:paraId="3719E29D" w14:textId="134B3D74" w:rsidR="00AA5B6C" w:rsidRPr="00AB67F7" w:rsidRDefault="00AA5B6C"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143" w:author="Mariel Mateo" w:date="2024-06-25T15:29:00Z" w:initials="MM">
    <w:p w14:paraId="77178058" w14:textId="77777777" w:rsidR="00AA5B6C" w:rsidRPr="00AB67F7" w:rsidRDefault="00AA5B6C"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144" w:author="Mariel Mateo" w:date="2024-06-25T15:21:00Z" w:initials="MM">
    <w:p w14:paraId="5BA39712" w14:textId="77777777" w:rsidR="00AA5B6C" w:rsidRPr="00AB67F7" w:rsidRDefault="00AA5B6C"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52" w:author="Mariel Mateo" w:date="2024-06-25T15:32:00Z" w:initials="MM">
    <w:p w14:paraId="2DE764FB" w14:textId="77777777"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153"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159" w:author="Mariel Mateo" w:date="2024-06-25T15:39:00Z" w:initials="MM">
    <w:p w14:paraId="75691888" w14:textId="77777777" w:rsidR="00AA5B6C" w:rsidRPr="00E9496E" w:rsidRDefault="00AA5B6C" w:rsidP="00B722A3">
      <w:pPr>
        <w:pStyle w:val="Textocomentario"/>
        <w:rPr>
          <w:lang w:val="es-CL"/>
        </w:rPr>
      </w:pPr>
      <w:r>
        <w:rPr>
          <w:rStyle w:val="Refdecomentario"/>
        </w:rPr>
        <w:annotationRef/>
      </w:r>
      <w:r w:rsidRPr="00E9496E">
        <w:rPr>
          <w:lang w:val="es-CL"/>
        </w:rPr>
        <w:t>idem</w:t>
      </w:r>
    </w:p>
  </w:comment>
  <w:comment w:id="160" w:author="Andrés González Santa Cruz" w:date="2024-07-19T17:06:00Z" w:initials="AG">
    <w:p w14:paraId="28635CFC" w14:textId="77777777" w:rsidR="00974B01" w:rsidRDefault="00AA2B28" w:rsidP="00974B01">
      <w:pPr>
        <w:pStyle w:val="Textocomentario"/>
      </w:pPr>
      <w:r>
        <w:rPr>
          <w:rStyle w:val="Refdecomentario"/>
        </w:rPr>
        <w:annotationRef/>
      </w:r>
      <w:proofErr w:type="gramStart"/>
      <w:r w:rsidR="00974B01">
        <w:rPr>
          <w:lang w:val="es-CL"/>
        </w:rPr>
        <w:t xml:space="preserve">Tal vez debiese haber una </w:t>
      </w:r>
      <w:proofErr w:type="spellStart"/>
      <w:r w:rsidR="00974B01">
        <w:rPr>
          <w:lang w:val="es-CL"/>
        </w:rPr>
        <w:t>seccion</w:t>
      </w:r>
      <w:proofErr w:type="spellEnd"/>
      <w:r w:rsidR="00974B01">
        <w:rPr>
          <w:lang w:val="es-CL"/>
        </w:rPr>
        <w:t xml:space="preserve"> para calcular la tasa de incidencia ??</w:t>
      </w:r>
      <w:proofErr w:type="gramEnd"/>
      <w:r w:rsidR="00974B01">
        <w:rPr>
          <w:lang w:val="es-CL"/>
        </w:rPr>
        <w:br/>
      </w:r>
      <w:r w:rsidR="00974B01">
        <w:rPr>
          <w:lang w:val="es-CL"/>
        </w:rPr>
        <w:br/>
      </w:r>
      <w:proofErr w:type="spellStart"/>
      <w:r w:rsidR="00974B01">
        <w:rPr>
          <w:lang w:val="es-CL"/>
        </w:rPr>
        <w:t>Incidence</w:t>
      </w:r>
      <w:proofErr w:type="spellEnd"/>
      <w:r w:rsidR="00974B01">
        <w:rPr>
          <w:lang w:val="es-CL"/>
        </w:rPr>
        <w:t xml:space="preserve"> </w:t>
      </w:r>
      <w:proofErr w:type="spellStart"/>
      <w:r w:rsidR="00974B01">
        <w:rPr>
          <w:lang w:val="es-CL"/>
        </w:rPr>
        <w:t>rates</w:t>
      </w:r>
      <w:proofErr w:type="spellEnd"/>
      <w:r w:rsidR="00974B01">
        <w:rPr>
          <w:lang w:val="es-CL"/>
        </w:rPr>
        <w:t xml:space="preserve"> (IR) </w:t>
      </w:r>
      <w:proofErr w:type="spellStart"/>
      <w:r w:rsidR="00974B01">
        <w:rPr>
          <w:lang w:val="es-CL"/>
        </w:rPr>
        <w:t>were</w:t>
      </w:r>
      <w:proofErr w:type="spellEnd"/>
      <w:r w:rsidR="00974B01">
        <w:rPr>
          <w:lang w:val="es-CL"/>
        </w:rPr>
        <w:t xml:space="preserve"> </w:t>
      </w:r>
      <w:proofErr w:type="spellStart"/>
      <w:r w:rsidR="00974B01">
        <w:rPr>
          <w:lang w:val="es-CL"/>
        </w:rPr>
        <w:t>calculated</w:t>
      </w:r>
      <w:proofErr w:type="spellEnd"/>
      <w:r w:rsidR="00974B01">
        <w:rPr>
          <w:lang w:val="es-CL"/>
        </w:rPr>
        <w:t xml:space="preserve"> per 1,000 </w:t>
      </w:r>
      <w:proofErr w:type="spellStart"/>
      <w:r w:rsidR="00974B01">
        <w:rPr>
          <w:lang w:val="es-CL"/>
        </w:rPr>
        <w:t>person-months</w:t>
      </w:r>
      <w:proofErr w:type="spellEnd"/>
      <w:r w:rsidR="00974B01">
        <w:rPr>
          <w:lang w:val="es-CL"/>
        </w:rPr>
        <w:t xml:space="preserve"> </w:t>
      </w:r>
      <w:proofErr w:type="spellStart"/>
      <w:r w:rsidR="00974B01">
        <w:rPr>
          <w:lang w:val="es-CL"/>
        </w:rPr>
        <w:t>to</w:t>
      </w:r>
      <w:proofErr w:type="spellEnd"/>
      <w:r w:rsidR="00974B01">
        <w:rPr>
          <w:lang w:val="es-CL"/>
        </w:rPr>
        <w:t xml:space="preserve"> explore </w:t>
      </w:r>
      <w:proofErr w:type="spellStart"/>
      <w:r w:rsidR="00974B01">
        <w:rPr>
          <w:lang w:val="es-CL"/>
        </w:rPr>
        <w:t>the</w:t>
      </w:r>
      <w:proofErr w:type="spellEnd"/>
      <w:r w:rsidR="00974B01">
        <w:rPr>
          <w:lang w:val="es-CL"/>
        </w:rPr>
        <w:t xml:space="preserve"> crude </w:t>
      </w:r>
      <w:proofErr w:type="spellStart"/>
      <w:r w:rsidR="00974B01">
        <w:rPr>
          <w:lang w:val="es-CL"/>
        </w:rPr>
        <w:t>association</w:t>
      </w:r>
      <w:proofErr w:type="spellEnd"/>
      <w:r w:rsidR="00974B01">
        <w:rPr>
          <w:lang w:val="es-CL"/>
        </w:rPr>
        <w:t xml:space="preserve"> </w:t>
      </w:r>
      <w:proofErr w:type="spellStart"/>
      <w:r w:rsidR="00974B01">
        <w:rPr>
          <w:lang w:val="es-CL"/>
        </w:rPr>
        <w:t>between</w:t>
      </w:r>
      <w:proofErr w:type="spellEnd"/>
      <w:r w:rsidR="00974B01">
        <w:rPr>
          <w:lang w:val="es-CL"/>
        </w:rPr>
        <w:t xml:space="preserve"> </w:t>
      </w:r>
      <w:proofErr w:type="spellStart"/>
      <w:r w:rsidR="00974B01">
        <w:rPr>
          <w:lang w:val="es-CL"/>
        </w:rPr>
        <w:t>reporting</w:t>
      </w:r>
      <w:proofErr w:type="spellEnd"/>
      <w:r w:rsidR="00974B01">
        <w:rPr>
          <w:lang w:val="es-CL"/>
        </w:rPr>
        <w:t xml:space="preserve"> PSU and </w:t>
      </w:r>
      <w:proofErr w:type="spellStart"/>
      <w:r w:rsidR="00974B01">
        <w:rPr>
          <w:lang w:val="es-CL"/>
        </w:rPr>
        <w:t>treatment</w:t>
      </w:r>
      <w:proofErr w:type="spellEnd"/>
      <w:r w:rsidR="00974B01">
        <w:rPr>
          <w:lang w:val="es-CL"/>
        </w:rPr>
        <w:t xml:space="preserve"> non-</w:t>
      </w:r>
      <w:proofErr w:type="spellStart"/>
      <w:r w:rsidR="00974B01">
        <w:rPr>
          <w:lang w:val="es-CL"/>
        </w:rPr>
        <w:t>completion</w:t>
      </w:r>
      <w:proofErr w:type="spellEnd"/>
      <w:r w:rsidR="00974B01">
        <w:rPr>
          <w:lang w:val="es-CL"/>
        </w:rPr>
        <w:t xml:space="preserve"> </w:t>
      </w:r>
      <w:proofErr w:type="spellStart"/>
      <w:r w:rsidR="00974B01">
        <w:rPr>
          <w:lang w:val="es-CL"/>
        </w:rPr>
        <w:t>while</w:t>
      </w:r>
      <w:proofErr w:type="spellEnd"/>
      <w:r w:rsidR="00974B01">
        <w:rPr>
          <w:lang w:val="es-CL"/>
        </w:rPr>
        <w:t xml:space="preserve"> </w:t>
      </w:r>
      <w:proofErr w:type="spellStart"/>
      <w:r w:rsidR="00974B01">
        <w:rPr>
          <w:lang w:val="es-CL"/>
        </w:rPr>
        <w:t>accounting</w:t>
      </w:r>
      <w:proofErr w:type="spellEnd"/>
      <w:r w:rsidR="00974B01">
        <w:rPr>
          <w:lang w:val="es-CL"/>
        </w:rPr>
        <w:t xml:space="preserve"> </w:t>
      </w:r>
      <w:proofErr w:type="spellStart"/>
      <w:r w:rsidR="00974B01">
        <w:rPr>
          <w:lang w:val="es-CL"/>
        </w:rPr>
        <w:t>for</w:t>
      </w:r>
      <w:proofErr w:type="spellEnd"/>
      <w:r w:rsidR="00974B01">
        <w:rPr>
          <w:lang w:val="es-CL"/>
        </w:rPr>
        <w:t xml:space="preserve"> </w:t>
      </w:r>
      <w:proofErr w:type="spellStart"/>
      <w:r w:rsidR="00974B01">
        <w:rPr>
          <w:lang w:val="es-CL"/>
        </w:rPr>
        <w:t>heterogeneous</w:t>
      </w:r>
      <w:proofErr w:type="spellEnd"/>
      <w:r w:rsidR="00974B01">
        <w:rPr>
          <w:lang w:val="es-CL"/>
        </w:rPr>
        <w:t xml:space="preserve"> </w:t>
      </w:r>
      <w:proofErr w:type="spellStart"/>
      <w:r w:rsidR="00974B01">
        <w:rPr>
          <w:lang w:val="es-CL"/>
        </w:rPr>
        <w:t>follow</w:t>
      </w:r>
      <w:proofErr w:type="spellEnd"/>
      <w:r w:rsidR="00974B01">
        <w:rPr>
          <w:lang w:val="es-CL"/>
        </w:rPr>
        <w:t>-up times.</w:t>
      </w:r>
    </w:p>
  </w:comment>
  <w:comment w:id="176" w:author="Andrés González Santa Cruz" w:date="2024-06-27T12:14:00Z" w:initials="AG">
    <w:p w14:paraId="5BDF0201" w14:textId="4B078614" w:rsidR="00AA5B6C" w:rsidRPr="00FE4FE6" w:rsidRDefault="00AA5B6C" w:rsidP="00FE4FE6">
      <w:pPr>
        <w:pStyle w:val="Textocomentario"/>
        <w:rPr>
          <w:lang w:val="es-CL"/>
        </w:rPr>
      </w:pPr>
      <w:r>
        <w:rPr>
          <w:rStyle w:val="Refdecomentario"/>
        </w:rPr>
        <w:annotationRef/>
      </w:r>
      <w:r w:rsidRPr="00FE4FE6">
        <w:t xml:space="preserve">Kaufman, J. S., &amp; </w:t>
      </w:r>
      <w:proofErr w:type="spellStart"/>
      <w:r w:rsidRPr="00FE4FE6">
        <w:t>MacLehose</w:t>
      </w:r>
      <w:proofErr w:type="spellEnd"/>
      <w:r w:rsidRPr="00FE4FE6">
        <w:t xml:space="preserve">, R. F. (2013). Which of these things is not like the others? </w:t>
      </w:r>
      <w:proofErr w:type="spellStart"/>
      <w:r w:rsidRPr="00FE4FE6">
        <w:rPr>
          <w:lang w:val="es-CL"/>
        </w:rPr>
        <w:t>Cancer</w:t>
      </w:r>
      <w:proofErr w:type="spellEnd"/>
      <w:r w:rsidRPr="00FE4FE6">
        <w:rPr>
          <w:lang w:val="es-CL"/>
        </w:rPr>
        <w:t>, 119(24), 4216-4222. https://doi.org/10.1002/cncr.28359</w:t>
      </w:r>
    </w:p>
  </w:comment>
  <w:comment w:id="181" w:author="jose antonio ruiz-tagle" w:date="2024-06-14T09:43:00Z" w:initials="jr">
    <w:p w14:paraId="4A37EBC6" w14:textId="77777777"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194"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210" w:author="Andrés González Santa Cruz" w:date="2024-07-19T18:30:00Z" w:initials="AG">
    <w:p w14:paraId="4C6BD446" w14:textId="77777777" w:rsidR="00957EE8" w:rsidRPr="00E9496E" w:rsidRDefault="00957EE8" w:rsidP="00957EE8">
      <w:pPr>
        <w:pStyle w:val="Textocomentario"/>
        <w:rPr>
          <w:lang w:val="es-CL"/>
        </w:rPr>
      </w:pPr>
      <w:r>
        <w:rPr>
          <w:rStyle w:val="Refdecomentario"/>
        </w:rPr>
        <w:annotationRef/>
      </w:r>
      <w:r>
        <w:rPr>
          <w:lang w:val="es-CL"/>
        </w:rPr>
        <w:t xml:space="preserve">Lo </w:t>
      </w:r>
      <w:proofErr w:type="spellStart"/>
      <w:r>
        <w:rPr>
          <w:lang w:val="es-CL"/>
        </w:rPr>
        <w:t>dejaria</w:t>
      </w:r>
      <w:proofErr w:type="spellEnd"/>
      <w:r>
        <w:rPr>
          <w:lang w:val="es-CL"/>
        </w:rPr>
        <w:t xml:space="preserve"> </w:t>
      </w:r>
      <w:proofErr w:type="spellStart"/>
      <w:r>
        <w:rPr>
          <w:lang w:val="es-CL"/>
        </w:rPr>
        <w:t>mas</w:t>
      </w:r>
      <w:proofErr w:type="spellEnd"/>
      <w:r>
        <w:rPr>
          <w:lang w:val="es-CL"/>
        </w:rPr>
        <w:t xml:space="preserve"> arriba</w:t>
      </w:r>
    </w:p>
  </w:comment>
  <w:comment w:id="216" w:author="Andrés González Santa Cruz" w:date="2024-06-27T13:38:00Z" w:initials="AG">
    <w:p w14:paraId="1E1303F0" w14:textId="5FDCC365" w:rsidR="00E30D40" w:rsidRPr="00705200" w:rsidRDefault="00E30D40" w:rsidP="00901803">
      <w:pPr>
        <w:pStyle w:val="Textocomentario"/>
        <w:rPr>
          <w:lang w:val="es-CL"/>
        </w:rPr>
      </w:pPr>
      <w:r>
        <w:rPr>
          <w:rStyle w:val="Refdecomentario"/>
        </w:rPr>
        <w:annotationRef/>
      </w:r>
      <w:r w:rsidRPr="00705200">
        <w:rPr>
          <w:noProof/>
          <w:lang w:val="es-CL"/>
        </w:rPr>
        <w:t>c</w:t>
      </w:r>
      <w:r>
        <w:rPr>
          <w:noProof/>
          <w:lang w:val="es-CL"/>
        </w:rPr>
        <w:t>orresponderá a la discusión??</w:t>
      </w:r>
    </w:p>
  </w:comment>
  <w:comment w:id="217" w:author="Andrés González Santa Cruz" w:date="2024-07-18T14:30:00Z" w:initials="AG">
    <w:p w14:paraId="4AA8CBDB" w14:textId="4FCD24ED" w:rsidR="00105D77" w:rsidRPr="00105D77" w:rsidRDefault="00105D77">
      <w:pPr>
        <w:pStyle w:val="Textocomentario"/>
      </w:pPr>
      <w:r>
        <w:rPr>
          <w:rStyle w:val="Refdecomentario"/>
        </w:rPr>
        <w:annotationRef/>
      </w:r>
      <w:proofErr w:type="spellStart"/>
      <w:r w:rsidRPr="00105D77">
        <w:t>Hace</w:t>
      </w:r>
      <w:proofErr w:type="spellEnd"/>
      <w:r w:rsidRPr="00105D77">
        <w:t xml:space="preserve"> </w:t>
      </w:r>
      <w:proofErr w:type="spellStart"/>
      <w:r w:rsidRPr="00105D77">
        <w:t>alusión</w:t>
      </w:r>
      <w:proofErr w:type="spellEnd"/>
      <w:r w:rsidRPr="00105D77">
        <w:t xml:space="preserve"> a las IRRs?</w:t>
      </w:r>
      <w:r w:rsidRPr="00105D77">
        <w:br/>
      </w:r>
      <w:proofErr w:type="spellStart"/>
      <w:r w:rsidRPr="00105D77">
        <w:t>si</w:t>
      </w:r>
      <w:proofErr w:type="spellEnd"/>
      <w:r w:rsidRPr="00105D77">
        <w:t xml:space="preserve"> no es </w:t>
      </w:r>
      <w:proofErr w:type="spellStart"/>
      <w:r w:rsidRPr="00105D77">
        <w:t>así</w:t>
      </w:r>
      <w:proofErr w:type="spellEnd"/>
      <w:r>
        <w:t xml:space="preserve">, </w:t>
      </w:r>
      <w:proofErr w:type="spellStart"/>
      <w:r>
        <w:t>incluir</w:t>
      </w:r>
      <w:proofErr w:type="spellEnd"/>
      <w:r>
        <w:t xml:space="preserve"> algo </w:t>
      </w:r>
      <w:proofErr w:type="spellStart"/>
      <w:r>
        <w:t>así</w:t>
      </w:r>
      <w:proofErr w:type="spellEnd"/>
      <w:r w:rsidRPr="00105D77">
        <w:t xml:space="preserve">: </w:t>
      </w:r>
      <w:r>
        <w:t>“</w:t>
      </w:r>
      <w:r>
        <w:rPr>
          <w:sz w:val="24"/>
          <w:szCs w:val="24"/>
        </w:rPr>
        <w:t>in patients that underwent general-population intensive ambulatory treatments and women-specific residential treatments”</w:t>
      </w:r>
    </w:p>
  </w:comment>
  <w:comment w:id="218" w:author="Andrés González Santa Cruz" w:date="2024-07-18T14:31:00Z" w:initials="AG">
    <w:p w14:paraId="7DDAD32C" w14:textId="509FD8D0" w:rsidR="007B0936" w:rsidRPr="007B0936" w:rsidRDefault="007B0936">
      <w:pPr>
        <w:pStyle w:val="Textocomentario"/>
        <w:rPr>
          <w:lang w:val="es-CL"/>
        </w:rPr>
      </w:pPr>
      <w:r>
        <w:rPr>
          <w:rStyle w:val="Refdecomentario"/>
        </w:rPr>
        <w:annotationRef/>
      </w:r>
      <w:proofErr w:type="gramStart"/>
      <w:r w:rsidRPr="007B0936">
        <w:rPr>
          <w:lang w:val="es-CL"/>
        </w:rPr>
        <w:t>Cuál es el problema de fon</w:t>
      </w:r>
      <w:r>
        <w:rPr>
          <w:lang w:val="es-CL"/>
        </w:rPr>
        <w:t>do?</w:t>
      </w:r>
      <w:proofErr w:type="gramEnd"/>
    </w:p>
  </w:comment>
  <w:comment w:id="221" w:author="Andrés González Santa Cruz" w:date="2024-07-19T18:30:00Z" w:initials="AG">
    <w:p w14:paraId="4F9F55A1" w14:textId="77777777" w:rsidR="00957EE8" w:rsidRPr="00E9496E" w:rsidRDefault="00957EE8" w:rsidP="00957EE8">
      <w:pPr>
        <w:pStyle w:val="Textocomentario"/>
        <w:rPr>
          <w:lang w:val="es-CL"/>
        </w:rPr>
      </w:pPr>
      <w:r>
        <w:rPr>
          <w:rStyle w:val="Refdecomentario"/>
        </w:rPr>
        <w:annotationRef/>
      </w:r>
      <w:r>
        <w:rPr>
          <w:lang w:val="es-CL"/>
        </w:rPr>
        <w:t>Esto debiese ser el principio, porque es la tabla 1</w:t>
      </w:r>
    </w:p>
  </w:comment>
  <w:comment w:id="222" w:author="Andrés González Santa Cruz" w:date="2024-07-18T14:24:00Z" w:initials="AG">
    <w:p w14:paraId="5629818F" w14:textId="414C6EC6" w:rsidR="00971223" w:rsidRPr="00971223" w:rsidRDefault="00971223">
      <w:pPr>
        <w:pStyle w:val="Textocomentario"/>
        <w:rPr>
          <w:lang w:val="es-CL"/>
        </w:rPr>
      </w:pPr>
      <w:r>
        <w:rPr>
          <w:rStyle w:val="Refdecomentario"/>
        </w:rPr>
        <w:annotationRef/>
      </w:r>
      <w:proofErr w:type="gramStart"/>
      <w:r w:rsidRPr="00971223">
        <w:rPr>
          <w:lang w:val="es-CL"/>
        </w:rPr>
        <w:t>No se entiende bien e</w:t>
      </w:r>
      <w:r>
        <w:rPr>
          <w:lang w:val="es-CL"/>
        </w:rPr>
        <w:t>l contexto</w:t>
      </w:r>
      <w:r w:rsidR="00105D77">
        <w:rPr>
          <w:lang w:val="es-CL"/>
        </w:rPr>
        <w:t>, alude a la readmisión???</w:t>
      </w:r>
      <w:proofErr w:type="gramEnd"/>
    </w:p>
  </w:comment>
  <w:comment w:id="223" w:author="Mariel Mateo" w:date="2024-06-25T16:12:00Z" w:initials="MM">
    <w:p w14:paraId="10209FDF" w14:textId="77777777" w:rsidR="00E16AC4" w:rsidRPr="00AB67F7" w:rsidRDefault="00E16AC4" w:rsidP="00E16AC4">
      <w:pPr>
        <w:pStyle w:val="Textocomentario"/>
        <w:rPr>
          <w:lang w:val="es-CL"/>
        </w:rPr>
      </w:pPr>
      <w:r>
        <w:rPr>
          <w:rStyle w:val="Refdecomentario"/>
        </w:rPr>
        <w:annotationRef/>
      </w:r>
      <w:r w:rsidRPr="00AB67F7">
        <w:rPr>
          <w:lang w:val="es-CL"/>
        </w:rPr>
        <w:t xml:space="preserve">Me choca un poco partir por esto, en lugar de partir por cuales son los </w:t>
      </w:r>
      <w:proofErr w:type="spellStart"/>
      <w:r w:rsidRPr="00AB67F7">
        <w:rPr>
          <w:lang w:val="es-CL"/>
        </w:rPr>
        <w:t>findings</w:t>
      </w:r>
      <w:proofErr w:type="spellEnd"/>
      <w:r w:rsidRPr="00AB67F7">
        <w:rPr>
          <w:lang w:val="es-CL"/>
        </w:rPr>
        <w:t xml:space="preserve"> respecto a los objetivos del estudio.</w:t>
      </w:r>
    </w:p>
  </w:comment>
  <w:comment w:id="224" w:author="Mariel Mateo" w:date="2024-06-25T16:23:00Z" w:initials="MM">
    <w:p w14:paraId="4EA1E10A" w14:textId="77777777" w:rsidR="00E16AC4" w:rsidRPr="00AB67F7" w:rsidRDefault="00E16AC4" w:rsidP="00E16AC4">
      <w:pPr>
        <w:pStyle w:val="Textocomentario"/>
        <w:rPr>
          <w:lang w:val="es-CL"/>
        </w:rPr>
      </w:pPr>
      <w:r>
        <w:rPr>
          <w:rStyle w:val="Refdecomentario"/>
        </w:rPr>
        <w:annotationRef/>
      </w:r>
      <w:proofErr w:type="spellStart"/>
      <w:r w:rsidRPr="00AB67F7">
        <w:rPr>
          <w:lang w:val="es-CL"/>
        </w:rPr>
        <w:t>Tambien</w:t>
      </w:r>
      <w:proofErr w:type="spellEnd"/>
      <w:r w:rsidRPr="00AB67F7">
        <w:rPr>
          <w:lang w:val="es-CL"/>
        </w:rPr>
        <w:t xml:space="preserve"> me confunde la centralidad dada a las readmisiones dado la </w:t>
      </w:r>
      <w:proofErr w:type="spellStart"/>
      <w:r w:rsidRPr="00AB67F7">
        <w:rPr>
          <w:lang w:val="es-CL"/>
        </w:rPr>
        <w:t>definicion</w:t>
      </w:r>
      <w:proofErr w:type="spellEnd"/>
      <w:r w:rsidRPr="00AB67F7">
        <w:rPr>
          <w:lang w:val="es-CL"/>
        </w:rPr>
        <w:t xml:space="preserve"> de los objetivos del estudio. Por esto, de nuevo, me parece que hay que decidir si modificar los objetivos -para incluir la </w:t>
      </w:r>
      <w:proofErr w:type="spellStart"/>
      <w:r w:rsidRPr="00AB67F7">
        <w:rPr>
          <w:lang w:val="es-CL"/>
        </w:rPr>
        <w:t>asociacion</w:t>
      </w:r>
      <w:proofErr w:type="spellEnd"/>
      <w:r w:rsidRPr="00AB67F7">
        <w:rPr>
          <w:lang w:val="es-CL"/>
        </w:rPr>
        <w:t xml:space="preserve"> ente </w:t>
      </w:r>
      <w:proofErr w:type="spellStart"/>
      <w:r w:rsidRPr="00AB67F7">
        <w:rPr>
          <w:lang w:val="es-CL"/>
        </w:rPr>
        <w:t>readmision</w:t>
      </w:r>
      <w:proofErr w:type="spellEnd"/>
      <w:r w:rsidRPr="00AB67F7">
        <w:rPr>
          <w:lang w:val="es-CL"/>
        </w:rPr>
        <w:t xml:space="preserve"> y PSU - o bien, la </w:t>
      </w:r>
      <w:proofErr w:type="spellStart"/>
      <w:r w:rsidRPr="00AB67F7">
        <w:rPr>
          <w:lang w:val="es-CL"/>
        </w:rPr>
        <w:t>sacaria</w:t>
      </w:r>
      <w:proofErr w:type="spellEnd"/>
      <w:r w:rsidRPr="00AB67F7">
        <w:rPr>
          <w:lang w:val="es-CL"/>
        </w:rPr>
        <w:t xml:space="preserve"> de los resultados...</w:t>
      </w:r>
    </w:p>
  </w:comment>
  <w:comment w:id="225" w:author="Mariel Mateo" w:date="2024-06-25T16:13:00Z" w:initials="MM">
    <w:p w14:paraId="33430ADC" w14:textId="77777777" w:rsidR="00E16AC4" w:rsidRDefault="00E16AC4" w:rsidP="00E16AC4">
      <w:pPr>
        <w:pStyle w:val="Textocomentario"/>
      </w:pPr>
      <w:r>
        <w:rPr>
          <w:rStyle w:val="Refdecomentario"/>
        </w:rPr>
        <w:annotationRef/>
      </w:r>
      <w:r>
        <w:rPr>
          <w:lang w:val="en-AU"/>
        </w:rPr>
        <w:t>Supply?</w:t>
      </w:r>
    </w:p>
  </w:comment>
  <w:comment w:id="228" w:author="Andrés González Santa Cruz" w:date="2024-07-19T18:31:00Z" w:initials="AG">
    <w:p w14:paraId="6E5AAEFC" w14:textId="77777777" w:rsidR="00957EE8" w:rsidRDefault="00957EE8" w:rsidP="00957EE8">
      <w:pPr>
        <w:pStyle w:val="Textocomentario"/>
      </w:pPr>
      <w:r>
        <w:rPr>
          <w:rStyle w:val="Refdecomentario"/>
        </w:rPr>
        <w:annotationRef/>
      </w:r>
      <w:r>
        <w:rPr>
          <w:lang w:val="en-AU"/>
        </w:rPr>
        <w:t xml:space="preserve">PSU at admission was associated with a lower incidence of non-completion than single substance use. </w:t>
      </w:r>
    </w:p>
  </w:comment>
  <w:comment w:id="229"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230"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231" w:author="Andrés González Santa Cruz" w:date="2024-05-19T19:43:00Z" w:initials="AG">
    <w:p w14:paraId="52AB8327" w14:textId="77777777" w:rsidR="006B3171" w:rsidRPr="00AB67F7" w:rsidRDefault="006B3171" w:rsidP="00C31320">
      <w:pPr>
        <w:pStyle w:val="Textocomentario"/>
        <w:rPr>
          <w:lang w:val="es-CL"/>
        </w:rPr>
      </w:pPr>
      <w:r>
        <w:rPr>
          <w:rStyle w:val="Refdecomentario"/>
          <w:rFonts w:eastAsiaTheme="majorEastAsia"/>
        </w:rPr>
        <w:annotationRef/>
      </w:r>
      <w:r w:rsidRPr="00AB67F7">
        <w:rPr>
          <w:lang w:val="es-CL"/>
        </w:rPr>
        <w:t xml:space="preserve">Plan de acción 2024-2030, </w:t>
      </w:r>
      <w:r w:rsidRPr="00AB67F7">
        <w:rPr>
          <w:lang w:val="es-CL"/>
        </w:rPr>
        <w:br/>
        <w:t>ampliar oferta socioeducativa, personas cesantes e inactivas</w:t>
      </w:r>
      <w:r w:rsidRPr="00AB67F7">
        <w:rPr>
          <w:lang w:val="es-CL"/>
        </w:rPr>
        <w:br/>
        <w:t>Ampliar la cobertura para el programa de población específica de mujeres, con especial énfasis en gestantes y puérperas.</w:t>
      </w:r>
      <w:r w:rsidRPr="00AB67F7">
        <w:rPr>
          <w:lang w:val="es-CL"/>
        </w:rPr>
        <w:br/>
      </w:r>
      <w:r w:rsidRPr="00AB67F7">
        <w:rPr>
          <w:lang w:val="es-CL"/>
        </w:rPr>
        <w:br/>
        <w:t>Ampliar la participación laboral en personas en procesos de recuperación para contribuir a su autonomía económica, con especial énfasis en mujeres</w:t>
      </w:r>
      <w:r w:rsidRPr="00AB67F7">
        <w:rPr>
          <w:lang w:val="es-CL"/>
        </w:rPr>
        <w:br/>
      </w:r>
      <w:r w:rsidRPr="00AB67F7">
        <w:rPr>
          <w:lang w:val="es-CL"/>
        </w:rPr>
        <w:br/>
        <w:t>https://www.senda.gob.cl/wp-content/uploads/2024/05/Plan-de-Accion-2024-2030.pdf</w:t>
      </w:r>
    </w:p>
  </w:comment>
  <w:comment w:id="232" w:author="jose antonio ruiz-tagle" w:date="2024-07-07T23:38:00Z" w:initials="jr">
    <w:p w14:paraId="0FCF8F84" w14:textId="77777777" w:rsidR="00AF0450" w:rsidRPr="00E275E8" w:rsidRDefault="00AF0450" w:rsidP="00AF0450">
      <w:pPr>
        <w:pStyle w:val="Textocomentario"/>
        <w:rPr>
          <w:lang w:val="es-CL"/>
        </w:rPr>
      </w:pPr>
      <w:r>
        <w:rPr>
          <w:rStyle w:val="Refdecomentario"/>
        </w:rPr>
        <w:annotationRef/>
      </w:r>
      <w:r>
        <w:rPr>
          <w:lang w:val="es-CL"/>
        </w:rPr>
        <w:t>Necesito ayuda para posicionar esto</w:t>
      </w:r>
    </w:p>
  </w:comment>
  <w:comment w:id="233" w:author="jose antonio ruiz-tagle" w:date="2024-07-07T23:39:00Z" w:initials="jr">
    <w:p w14:paraId="776894ED" w14:textId="77777777" w:rsidR="00AF0450" w:rsidRPr="00E275E8" w:rsidRDefault="00AF0450" w:rsidP="00AF0450">
      <w:pPr>
        <w:pStyle w:val="Textocomentario"/>
        <w:rPr>
          <w:lang w:val="es-CL"/>
        </w:rPr>
      </w:pPr>
      <w:r>
        <w:rPr>
          <w:rStyle w:val="Refdecomentario"/>
        </w:rPr>
        <w:annotationRef/>
      </w:r>
      <w:r>
        <w:rPr>
          <w:lang w:val="es-CL"/>
        </w:rPr>
        <w:t>Creo que tiene más sentido dejarlo en el párrafo final</w:t>
      </w:r>
    </w:p>
  </w:comment>
  <w:comment w:id="234"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235"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236"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238"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239"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240"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241"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242"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E9496E">
        <w:rPr>
          <w:lang w:val="es-CL"/>
        </w:rPr>
        <w:br/>
        <w:t>https://arxiv.org/pdf/2404.01736</w:t>
      </w:r>
    </w:p>
  </w:comment>
  <w:comment w:id="244"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8FBA6" w15:done="1"/>
  <w15:commentEx w15:paraId="7AF9EE51" w15:done="1"/>
  <w15:commentEx w15:paraId="613898F4" w15:paraIdParent="7AF9EE51" w15:done="1"/>
  <w15:commentEx w15:paraId="5350A879" w15:done="1"/>
  <w15:commentEx w15:paraId="585C1002" w15:paraIdParent="5350A879" w15:done="1"/>
  <w15:commentEx w15:paraId="5EDF05B3" w15:done="1"/>
  <w15:commentEx w15:paraId="2CEA903A" w15:done="1"/>
  <w15:commentEx w15:paraId="472CCC52" w15:done="1"/>
  <w15:commentEx w15:paraId="1CA74AA5" w15:done="1"/>
  <w15:commentEx w15:paraId="3DABBFA3" w15:done="1"/>
  <w15:commentEx w15:paraId="00E39D65" w15:done="1"/>
  <w15:commentEx w15:paraId="3560ED68" w15:done="0"/>
  <w15:commentEx w15:paraId="3719E29D" w15:done="1"/>
  <w15:commentEx w15:paraId="77178058" w15:paraIdParent="3719E29D" w15:done="1"/>
  <w15:commentEx w15:paraId="5BA39712" w15:done="1"/>
  <w15:commentEx w15:paraId="2DE764FB" w15:done="1"/>
  <w15:commentEx w15:paraId="2119CA0D" w15:paraIdParent="2DE764FB" w15:done="1"/>
  <w15:commentEx w15:paraId="75691888" w15:done="1"/>
  <w15:commentEx w15:paraId="28635CFC" w15:done="0"/>
  <w15:commentEx w15:paraId="5BDF0201" w15:done="1"/>
  <w15:commentEx w15:paraId="4A37EBC6" w15:done="0"/>
  <w15:commentEx w15:paraId="5E5CF9D2" w15:done="1"/>
  <w15:commentEx w15:paraId="4C6BD446" w15:done="0"/>
  <w15:commentEx w15:paraId="1E1303F0" w15:done="1"/>
  <w15:commentEx w15:paraId="4AA8CBDB" w15:done="0"/>
  <w15:commentEx w15:paraId="7DDAD32C" w15:paraIdParent="4AA8CBDB" w15:done="0"/>
  <w15:commentEx w15:paraId="4F9F55A1" w15:done="0"/>
  <w15:commentEx w15:paraId="5629818F" w15:done="0"/>
  <w15:commentEx w15:paraId="10209FDF" w15:done="0"/>
  <w15:commentEx w15:paraId="4EA1E10A" w15:paraIdParent="10209FDF" w15:done="0"/>
  <w15:commentEx w15:paraId="33430ADC" w15:done="1"/>
  <w15:commentEx w15:paraId="6E5AAEFC" w15:done="0"/>
  <w15:commentEx w15:paraId="06EBB2A2" w15:done="1"/>
  <w15:commentEx w15:paraId="4AFEACE9" w15:done="1"/>
  <w15:commentEx w15:paraId="52AB8327" w15:done="0"/>
  <w15:commentEx w15:paraId="0FCF8F84" w15:paraIdParent="52AB8327" w15:done="0"/>
  <w15:commentEx w15:paraId="776894ED" w15:paraIdParent="52AB8327" w15:done="0"/>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1C8B26FE" w16cex:dateUtc="2024-07-19T20:39: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486E6DC9" w16cex:dateUtc="2024-06-25T05:39:00Z"/>
  <w16cex:commentExtensible w16cex:durableId="7D753E91" w16cex:dateUtc="2024-07-19T21:06:00Z"/>
  <w16cex:commentExtensible w16cex:durableId="6A9E1EFD" w16cex:dateUtc="2024-06-27T16:14:00Z"/>
  <w16cex:commentExtensible w16cex:durableId="391F1ECC" w16cex:dateUtc="2024-06-14T13:43:00Z"/>
  <w16cex:commentExtensible w16cex:durableId="7F9A4E1A" w16cex:dateUtc="2024-06-25T06:08:00Z"/>
  <w16cex:commentExtensible w16cex:durableId="16D3AF83" w16cex:dateUtc="2024-07-19T22:30:00Z"/>
  <w16cex:commentExtensible w16cex:durableId="5FF36DFB" w16cex:dateUtc="2024-06-27T17:38:00Z"/>
  <w16cex:commentExtensible w16cex:durableId="614EBBA8" w16cex:dateUtc="2024-07-18T18:30:00Z"/>
  <w16cex:commentExtensible w16cex:durableId="1BF58197" w16cex:dateUtc="2024-07-18T18:31:00Z"/>
  <w16cex:commentExtensible w16cex:durableId="11E9D285" w16cex:dateUtc="2024-07-19T22:30:00Z"/>
  <w16cex:commentExtensible w16cex:durableId="57DE50F7" w16cex:dateUtc="2024-07-18T18:24:00Z"/>
  <w16cex:commentExtensible w16cex:durableId="7AD6C17A" w16cex:dateUtc="2024-06-25T06:12:00Z"/>
  <w16cex:commentExtensible w16cex:durableId="69BCE07A" w16cex:dateUtc="2024-06-25T06:23:00Z"/>
  <w16cex:commentExtensible w16cex:durableId="57685A12" w16cex:dateUtc="2024-06-25T06:13:00Z"/>
  <w16cex:commentExtensible w16cex:durableId="14C59A0D" w16cex:dateUtc="2024-07-19T22:31:00Z"/>
  <w16cex:commentExtensible w16cex:durableId="56C9D1B4" w16cex:dateUtc="2024-06-14T13:48:00Z"/>
  <w16cex:commentExtensible w16cex:durableId="03351211" w16cex:dateUtc="2024-06-14T13:48:00Z"/>
  <w16cex:commentExtensible w16cex:durableId="4A5FBB3B" w16cex:dateUtc="2024-06-14T13:48:00Z"/>
  <w16cex:commentExtensible w16cex:durableId="43AED6D2" w16cex:dateUtc="2024-07-08T03:38:00Z"/>
  <w16cex:commentExtensible w16cex:durableId="11BB9D0B" w16cex:dateUtc="2024-07-08T03:39: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8FBA6" w16cid:durableId="267A881C"/>
  <w16cid:commentId w16cid:paraId="7AF9EE51" w16cid:durableId="17A99172"/>
  <w16cid:commentId w16cid:paraId="613898F4" w16cid:durableId="25D8F053"/>
  <w16cid:commentId w16cid:paraId="5350A879" w16cid:durableId="291BC304"/>
  <w16cid:commentId w16cid:paraId="585C1002" w16cid:durableId="6752A9AC"/>
  <w16cid:commentId w16cid:paraId="5EDF05B3" w16cid:durableId="79C13B18"/>
  <w16cid:commentId w16cid:paraId="2CEA903A" w16cid:durableId="76E08139"/>
  <w16cid:commentId w16cid:paraId="472CCC52" w16cid:durableId="7910A50A"/>
  <w16cid:commentId w16cid:paraId="1CA74AA5" w16cid:durableId="53828995"/>
  <w16cid:commentId w16cid:paraId="3DABBFA3" w16cid:durableId="31DC7114"/>
  <w16cid:commentId w16cid:paraId="00E39D65" w16cid:durableId="435E116F"/>
  <w16cid:commentId w16cid:paraId="3560ED68" w16cid:durableId="1C8B26FE"/>
  <w16cid:commentId w16cid:paraId="3719E29D" w16cid:durableId="1EF2A922"/>
  <w16cid:commentId w16cid:paraId="77178058" w16cid:durableId="036AA21A"/>
  <w16cid:commentId w16cid:paraId="5BA39712" w16cid:durableId="40E3F3F5"/>
  <w16cid:commentId w16cid:paraId="2DE764FB" w16cid:durableId="529B27A6"/>
  <w16cid:commentId w16cid:paraId="2119CA0D" w16cid:durableId="03DD06E0"/>
  <w16cid:commentId w16cid:paraId="75691888" w16cid:durableId="486E6DC9"/>
  <w16cid:commentId w16cid:paraId="28635CFC" w16cid:durableId="7D753E91"/>
  <w16cid:commentId w16cid:paraId="5BDF0201" w16cid:durableId="6A9E1EFD"/>
  <w16cid:commentId w16cid:paraId="4A37EBC6" w16cid:durableId="391F1ECC"/>
  <w16cid:commentId w16cid:paraId="5E5CF9D2" w16cid:durableId="7F9A4E1A"/>
  <w16cid:commentId w16cid:paraId="4C6BD446" w16cid:durableId="16D3AF83"/>
  <w16cid:commentId w16cid:paraId="1E1303F0" w16cid:durableId="5FF36DFB"/>
  <w16cid:commentId w16cid:paraId="4AA8CBDB" w16cid:durableId="614EBBA8"/>
  <w16cid:commentId w16cid:paraId="7DDAD32C" w16cid:durableId="1BF58197"/>
  <w16cid:commentId w16cid:paraId="4F9F55A1" w16cid:durableId="11E9D285"/>
  <w16cid:commentId w16cid:paraId="5629818F" w16cid:durableId="57DE50F7"/>
  <w16cid:commentId w16cid:paraId="10209FDF" w16cid:durableId="7AD6C17A"/>
  <w16cid:commentId w16cid:paraId="4EA1E10A" w16cid:durableId="69BCE07A"/>
  <w16cid:commentId w16cid:paraId="33430ADC" w16cid:durableId="57685A12"/>
  <w16cid:commentId w16cid:paraId="6E5AAEFC" w16cid:durableId="14C59A0D"/>
  <w16cid:commentId w16cid:paraId="06EBB2A2" w16cid:durableId="56C9D1B4"/>
  <w16cid:commentId w16cid:paraId="4AFEACE9" w16cid:durableId="03351211"/>
  <w16cid:commentId w16cid:paraId="52AB8327" w16cid:durableId="4A5FBB3B"/>
  <w16cid:commentId w16cid:paraId="0FCF8F84" w16cid:durableId="43AED6D2"/>
  <w16cid:commentId w16cid:paraId="776894ED" w16cid:durableId="11BB9D0B"/>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1C02D5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35FE"/>
    <w:rsid w:val="000257E1"/>
    <w:rsid w:val="000567C3"/>
    <w:rsid w:val="000631C2"/>
    <w:rsid w:val="00090B7C"/>
    <w:rsid w:val="000A19E8"/>
    <w:rsid w:val="000B7AC1"/>
    <w:rsid w:val="000F254D"/>
    <w:rsid w:val="000F5B91"/>
    <w:rsid w:val="00105D77"/>
    <w:rsid w:val="001115B1"/>
    <w:rsid w:val="001200A7"/>
    <w:rsid w:val="00146332"/>
    <w:rsid w:val="0016361B"/>
    <w:rsid w:val="001777F3"/>
    <w:rsid w:val="00192038"/>
    <w:rsid w:val="001F07DB"/>
    <w:rsid w:val="001F0A50"/>
    <w:rsid w:val="001F337E"/>
    <w:rsid w:val="00203861"/>
    <w:rsid w:val="00241100"/>
    <w:rsid w:val="002561E6"/>
    <w:rsid w:val="002D289A"/>
    <w:rsid w:val="002E0582"/>
    <w:rsid w:val="002E32F9"/>
    <w:rsid w:val="002F1870"/>
    <w:rsid w:val="00303DBD"/>
    <w:rsid w:val="00305771"/>
    <w:rsid w:val="00323EDB"/>
    <w:rsid w:val="00324CFC"/>
    <w:rsid w:val="00351DC1"/>
    <w:rsid w:val="00353AAA"/>
    <w:rsid w:val="00363C3E"/>
    <w:rsid w:val="0036784A"/>
    <w:rsid w:val="00373382"/>
    <w:rsid w:val="003848C0"/>
    <w:rsid w:val="00395014"/>
    <w:rsid w:val="003A0F4E"/>
    <w:rsid w:val="003A4AF8"/>
    <w:rsid w:val="003B6E1F"/>
    <w:rsid w:val="003F4CA4"/>
    <w:rsid w:val="00421889"/>
    <w:rsid w:val="00455E84"/>
    <w:rsid w:val="00465685"/>
    <w:rsid w:val="00467745"/>
    <w:rsid w:val="0047576E"/>
    <w:rsid w:val="004B17FE"/>
    <w:rsid w:val="004D4F56"/>
    <w:rsid w:val="004F0C4C"/>
    <w:rsid w:val="005A76AD"/>
    <w:rsid w:val="005B0171"/>
    <w:rsid w:val="005B0775"/>
    <w:rsid w:val="005C12B8"/>
    <w:rsid w:val="005C5ACB"/>
    <w:rsid w:val="005F0351"/>
    <w:rsid w:val="005F34B7"/>
    <w:rsid w:val="00605568"/>
    <w:rsid w:val="00614553"/>
    <w:rsid w:val="00614966"/>
    <w:rsid w:val="00616FB3"/>
    <w:rsid w:val="00623AE4"/>
    <w:rsid w:val="00664533"/>
    <w:rsid w:val="006B3171"/>
    <w:rsid w:val="006C3029"/>
    <w:rsid w:val="006E432B"/>
    <w:rsid w:val="00701F33"/>
    <w:rsid w:val="00705200"/>
    <w:rsid w:val="00765A31"/>
    <w:rsid w:val="00765C93"/>
    <w:rsid w:val="0077375C"/>
    <w:rsid w:val="00781616"/>
    <w:rsid w:val="007A161A"/>
    <w:rsid w:val="007A46CA"/>
    <w:rsid w:val="007B0936"/>
    <w:rsid w:val="007C2C42"/>
    <w:rsid w:val="007C3F46"/>
    <w:rsid w:val="007E3CC9"/>
    <w:rsid w:val="007E4AD0"/>
    <w:rsid w:val="007F797E"/>
    <w:rsid w:val="00801B47"/>
    <w:rsid w:val="00845F5E"/>
    <w:rsid w:val="0087291E"/>
    <w:rsid w:val="008769C7"/>
    <w:rsid w:val="00887721"/>
    <w:rsid w:val="008A2C25"/>
    <w:rsid w:val="008C72D9"/>
    <w:rsid w:val="008F142A"/>
    <w:rsid w:val="00901803"/>
    <w:rsid w:val="00937518"/>
    <w:rsid w:val="009541AE"/>
    <w:rsid w:val="00957EE8"/>
    <w:rsid w:val="00971223"/>
    <w:rsid w:val="00974B01"/>
    <w:rsid w:val="009920C0"/>
    <w:rsid w:val="00993797"/>
    <w:rsid w:val="009A2F55"/>
    <w:rsid w:val="009A3598"/>
    <w:rsid w:val="009C40B3"/>
    <w:rsid w:val="009F054D"/>
    <w:rsid w:val="009F17AD"/>
    <w:rsid w:val="00A12593"/>
    <w:rsid w:val="00A12E75"/>
    <w:rsid w:val="00A13FCC"/>
    <w:rsid w:val="00A56D29"/>
    <w:rsid w:val="00A82E79"/>
    <w:rsid w:val="00AA2B28"/>
    <w:rsid w:val="00AA2E86"/>
    <w:rsid w:val="00AA3E65"/>
    <w:rsid w:val="00AA5B6C"/>
    <w:rsid w:val="00AA785E"/>
    <w:rsid w:val="00AB67F7"/>
    <w:rsid w:val="00AF0450"/>
    <w:rsid w:val="00AF1EB1"/>
    <w:rsid w:val="00B17BE9"/>
    <w:rsid w:val="00B3191B"/>
    <w:rsid w:val="00B41DB7"/>
    <w:rsid w:val="00B430ED"/>
    <w:rsid w:val="00B479D3"/>
    <w:rsid w:val="00B66961"/>
    <w:rsid w:val="00B722A3"/>
    <w:rsid w:val="00B8472E"/>
    <w:rsid w:val="00B851F6"/>
    <w:rsid w:val="00BA5DC0"/>
    <w:rsid w:val="00BC078D"/>
    <w:rsid w:val="00BC7832"/>
    <w:rsid w:val="00BD2D72"/>
    <w:rsid w:val="00BD61EF"/>
    <w:rsid w:val="00BE0A15"/>
    <w:rsid w:val="00BF028A"/>
    <w:rsid w:val="00C12A06"/>
    <w:rsid w:val="00C273FE"/>
    <w:rsid w:val="00C31320"/>
    <w:rsid w:val="00C41716"/>
    <w:rsid w:val="00C42B03"/>
    <w:rsid w:val="00C53B83"/>
    <w:rsid w:val="00C53F05"/>
    <w:rsid w:val="00C77E12"/>
    <w:rsid w:val="00C85D16"/>
    <w:rsid w:val="00C92025"/>
    <w:rsid w:val="00CB5D6C"/>
    <w:rsid w:val="00CC362C"/>
    <w:rsid w:val="00CC73A1"/>
    <w:rsid w:val="00CD38C2"/>
    <w:rsid w:val="00CD526E"/>
    <w:rsid w:val="00D67DF7"/>
    <w:rsid w:val="00DA7BB6"/>
    <w:rsid w:val="00DC5F7A"/>
    <w:rsid w:val="00DF0FA6"/>
    <w:rsid w:val="00E16AC4"/>
    <w:rsid w:val="00E275E8"/>
    <w:rsid w:val="00E30D40"/>
    <w:rsid w:val="00E9496E"/>
    <w:rsid w:val="00EB7E90"/>
    <w:rsid w:val="00ED0D98"/>
    <w:rsid w:val="00EE6800"/>
    <w:rsid w:val="00F0399E"/>
    <w:rsid w:val="00F073A8"/>
    <w:rsid w:val="00F1140E"/>
    <w:rsid w:val="00F27C17"/>
    <w:rsid w:val="00F406BA"/>
    <w:rsid w:val="00F80ACA"/>
    <w:rsid w:val="00FA23B4"/>
    <w:rsid w:val="00FC1C0A"/>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9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B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nodc.org/documents/drug-prevention-and-treatment/UNODC_QALAT_mapping_report_ENGLISH.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26</Pages>
  <Words>32006</Words>
  <Characters>176037</Characters>
  <Application>Microsoft Office Word</Application>
  <DocSecurity>0</DocSecurity>
  <Lines>1466</Lines>
  <Paragraphs>415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cp:revision>
  <dcterms:created xsi:type="dcterms:W3CDTF">2024-07-20T15:50:00Z</dcterms:created>
  <dcterms:modified xsi:type="dcterms:W3CDTF">2024-07-20T15:50:00Z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id="GFDVas5C"/&gt;&lt;style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