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542DE" w14:textId="03C6248A" w:rsidR="00090B7C" w:rsidRPr="00090B7C" w:rsidRDefault="00090B7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ins w:id="0" w:author="Andrés González Santa Cruz" w:date="2024-06-26T14:43:00Z" w16du:dateUtc="2024-06-26T18:43:00Z">
        <w:r w:rsidR="00C53F05">
          <w:rPr>
            <w:rFonts w:ascii="Times New Roman" w:hAnsi="Times New Roman" w:cs="Times New Roman"/>
            <w:b/>
            <w:bCs/>
            <w:sz w:val="24"/>
            <w:szCs w:val="24"/>
          </w:rPr>
          <w:t>-</w:t>
        </w:r>
      </w:ins>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444300A9" w14:textId="22536EFF" w:rsidR="00090B7C" w:rsidRPr="00090B7C" w:rsidRDefault="00090B7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r w:rsidRPr="00090B7C">
        <w:rPr>
          <w:rFonts w:ascii="Times New Roman" w:hAnsi="Times New Roman" w:cs="Times New Roman"/>
          <w:sz w:val="24"/>
          <w:szCs w:val="24"/>
          <w:vertAlign w:val="superscript"/>
          <w:lang w:val="es-CL"/>
        </w:rPr>
        <w:t>a</w:t>
      </w:r>
      <w:ins w:id="1" w:author="Mariel Mateo" w:date="2024-06-25T14:34:00Z" w16du:dateUtc="2024-06-25T04:34:00Z">
        <w:r w:rsidR="00146332">
          <w:rPr>
            <w:rFonts w:ascii="Times New Roman" w:hAnsi="Times New Roman" w:cs="Times New Roman"/>
            <w:sz w:val="24"/>
            <w:szCs w:val="24"/>
            <w:vertAlign w:val="superscript"/>
            <w:lang w:val="es-CL"/>
          </w:rPr>
          <w:t>,</w:t>
        </w:r>
      </w:ins>
      <w:del w:id="2" w:author="Mariel Mateo" w:date="2024-06-25T14:34:00Z" w16du:dateUtc="2024-06-25T04:34:00Z">
        <w:r w:rsidRPr="00090B7C" w:rsidDel="00146332">
          <w:rPr>
            <w:rFonts w:ascii="Times New Roman" w:hAnsi="Times New Roman" w:cs="Times New Roman"/>
            <w:sz w:val="24"/>
            <w:szCs w:val="24"/>
            <w:vertAlign w:val="superscript"/>
            <w:lang w:val="es-CL"/>
          </w:rPr>
          <w:delText>.</w:delText>
        </w:r>
      </w:del>
      <w:r w:rsidRPr="00090B7C">
        <w:rPr>
          <w:rFonts w:ascii="Times New Roman" w:hAnsi="Times New Roman" w:cs="Times New Roman"/>
          <w:sz w:val="24"/>
          <w:szCs w:val="24"/>
          <w:vertAlign w:val="superscript"/>
          <w:lang w:val="es-CL"/>
        </w:rPr>
        <w:t>b,c</w:t>
      </w:r>
      <w:r w:rsidRPr="00090B7C">
        <w:rPr>
          <w:rFonts w:ascii="Times New Roman" w:hAnsi="Times New Roman" w:cs="Times New Roman"/>
          <w:sz w:val="24"/>
          <w:szCs w:val="24"/>
          <w:lang w:val="es-CL"/>
        </w:rPr>
        <w:t>; José Ruiz-Tagle</w:t>
      </w:r>
      <w:r w:rsidRPr="00090B7C">
        <w:rPr>
          <w:rFonts w:ascii="Times New Roman" w:hAnsi="Times New Roman" w:cs="Times New Roman"/>
          <w:sz w:val="24"/>
          <w:szCs w:val="24"/>
          <w:vertAlign w:val="superscript"/>
          <w:lang w:val="es-CL"/>
        </w:rPr>
        <w:t>b,d</w:t>
      </w:r>
      <w:r w:rsidRPr="00090B7C">
        <w:rPr>
          <w:rFonts w:ascii="Times New Roman" w:hAnsi="Times New Roman" w:cs="Times New Roman"/>
          <w:sz w:val="24"/>
          <w:szCs w:val="24"/>
          <w:lang w:val="es-CL"/>
        </w:rPr>
        <w:t xml:space="preserve">; Mariel Mateo Pinones </w:t>
      </w:r>
      <w:r w:rsidRPr="00090B7C">
        <w:rPr>
          <w:rFonts w:ascii="Times New Roman" w:hAnsi="Times New Roman" w:cs="Times New Roman"/>
          <w:sz w:val="24"/>
          <w:szCs w:val="24"/>
          <w:vertAlign w:val="superscript"/>
          <w:lang w:val="es-CL"/>
        </w:rPr>
        <w:t>b,f</w:t>
      </w:r>
      <w:r w:rsidRPr="00090B7C">
        <w:rPr>
          <w:rFonts w:ascii="Times New Roman" w:hAnsi="Times New Roman" w:cs="Times New Roman"/>
          <w:sz w:val="24"/>
          <w:szCs w:val="24"/>
          <w:lang w:val="es-CL"/>
        </w:rPr>
        <w:t xml:space="preserve">; Álvaro Castillo-Carniglia </w:t>
      </w:r>
      <w:r w:rsidRPr="00090B7C">
        <w:rPr>
          <w:rFonts w:ascii="Times New Roman" w:hAnsi="Times New Roman" w:cs="Times New Roman"/>
          <w:sz w:val="24"/>
          <w:szCs w:val="24"/>
          <w:vertAlign w:val="superscript"/>
          <w:lang w:val="es-CL"/>
        </w:rPr>
        <w:t>b,c,g</w:t>
      </w:r>
      <w:r w:rsidRPr="00090B7C">
        <w:rPr>
          <w:rFonts w:ascii="Times New Roman" w:hAnsi="Times New Roman" w:cs="Times New Roman"/>
          <w:sz w:val="24"/>
          <w:szCs w:val="24"/>
          <w:lang w:val="es-CL"/>
        </w:rPr>
        <w:t>;</w:t>
      </w:r>
    </w:p>
    <w:p w14:paraId="597D2E35" w14:textId="77777777" w:rsidR="00090B7C" w:rsidRPr="00090B7C" w:rsidRDefault="00090B7C" w:rsidP="00090B7C">
      <w:pPr>
        <w:spacing w:after="0"/>
        <w:rPr>
          <w:rFonts w:ascii="Times New Roman" w:hAnsi="Times New Roman" w:cs="Times New Roman"/>
          <w:sz w:val="24"/>
          <w:szCs w:val="24"/>
          <w:lang w:val="es-CL"/>
        </w:rPr>
      </w:pPr>
    </w:p>
    <w:p w14:paraId="326286CA"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School of Public Health, Universidad de Chile, Chile</w:t>
      </w:r>
    </w:p>
    <w:p w14:paraId="08D9BD91"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(nDP), Chile.</w:t>
      </w:r>
    </w:p>
    <w:p w14:paraId="244A1069"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Facultad de Medicina y Ciencia, Universidad San Sebastian, Chile.</w:t>
      </w:r>
    </w:p>
    <w:p w14:paraId="4B704B56" w14:textId="19AE8A70"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Profesional DUOC UC, Chile.</w:t>
      </w:r>
    </w:p>
    <w:p w14:paraId="2E06F51D"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5BF62F54"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Sociomedicine (SocioMed), Chile.</w:t>
      </w:r>
    </w:p>
    <w:p w14:paraId="2401C6AD" w14:textId="77777777" w:rsidR="007C2C42" w:rsidRDefault="007C2C42">
      <w:pPr>
        <w:rPr>
          <w:lang w:val="en-US"/>
        </w:rPr>
      </w:pPr>
    </w:p>
    <w:p w14:paraId="509F089F" w14:textId="77777777" w:rsidR="00090B7C" w:rsidRDefault="00090B7C">
      <w:pPr>
        <w:rPr>
          <w:lang w:val="en-US"/>
        </w:rPr>
      </w:pPr>
    </w:p>
    <w:p w14:paraId="3FFBF3C0" w14:textId="7F331224" w:rsidR="00090B7C" w:rsidRPr="00090B7C" w:rsidRDefault="00090B7C" w:rsidP="00090B7C">
      <w:pPr>
        <w:spacing w:line="480" w:lineRule="auto"/>
        <w:rPr>
          <w:rFonts w:ascii="Times New Roman" w:hAnsi="Times New Roman" w:cs="Times New Roman"/>
          <w:i/>
          <w:sz w:val="24"/>
          <w:szCs w:val="24"/>
        </w:rPr>
      </w:pPr>
      <w:r w:rsidRPr="00090B7C">
        <w:rPr>
          <w:rFonts w:ascii="Times New Roman" w:hAnsi="Times New Roman" w:cs="Times New Roman"/>
          <w:i/>
          <w:sz w:val="24"/>
          <w:szCs w:val="24"/>
          <w:highlight w:val="yellow"/>
        </w:rPr>
        <w:t>*Correspondence to:</w:t>
      </w:r>
      <w:r w:rsidRPr="00090B7C">
        <w:rPr>
          <w:rFonts w:ascii="Times New Roman" w:hAnsi="Times New Roman" w:cs="Times New Roman"/>
          <w:i/>
          <w:sz w:val="24"/>
          <w:szCs w:val="24"/>
        </w:rPr>
        <w:t xml:space="preserve"> </w:t>
      </w:r>
    </w:p>
    <w:p w14:paraId="3FC2DA73" w14:textId="77777777" w:rsidR="00090B7C" w:rsidRPr="00090B7C" w:rsidRDefault="00090B7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disclosures.</w:t>
      </w:r>
    </w:p>
    <w:p w14:paraId="4BA6854D" w14:textId="77777777" w:rsidR="00AB67F7" w:rsidRDefault="00AB67F7">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9AFC81A" w14:textId="357E5C45" w:rsidR="00090B7C" w:rsidRPr="00090B7C" w:rsidRDefault="00090B7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58BA1058" w14:textId="11916E4B" w:rsidR="009F17AD" w:rsidRDefault="00090B7C" w:rsidP="00F80ACA">
      <w:pPr>
        <w:spacing w:line="480" w:lineRule="auto"/>
        <w:rPr>
          <w:ins w:id="3" w:author="Mariel Mateo" w:date="2024-06-25T14:50:00Z" w16du:dateUtc="2024-06-25T04:50:00Z"/>
        </w:rPr>
      </w:pPr>
      <w:commentRangeStart w:id="4"/>
      <w:commentRangeStart w:id="5"/>
      <w:r>
        <w:rPr>
          <w:rFonts w:ascii="Times New Roman" w:hAnsi="Times New Roman" w:cs="Times New Roman"/>
          <w:b/>
          <w:bCs/>
          <w:sz w:val="24"/>
          <w:szCs w:val="24"/>
          <w:lang w:val="en-US"/>
        </w:rPr>
        <w:t>Background</w:t>
      </w:r>
      <w:del w:id="6" w:author="Mariel Mateo" w:date="2024-06-25T14:50:00Z" w16du:dateUtc="2024-06-25T04:50:00Z">
        <w:r w:rsidDel="009F17AD">
          <w:rPr>
            <w:rFonts w:ascii="Times New Roman" w:hAnsi="Times New Roman" w:cs="Times New Roman"/>
            <w:b/>
            <w:bCs/>
            <w:sz w:val="24"/>
            <w:szCs w:val="24"/>
            <w:lang w:val="en-US"/>
          </w:rPr>
          <w:delText xml:space="preserve"> and Aims</w:delText>
        </w:r>
      </w:del>
      <w:r w:rsidRPr="00090B7C">
        <w:rPr>
          <w:rFonts w:ascii="Times New Roman" w:hAnsi="Times New Roman" w:cs="Times New Roman"/>
          <w:sz w:val="24"/>
          <w:szCs w:val="24"/>
          <w:lang w:val="en-US"/>
        </w:rPr>
        <w:t xml:space="preserve">: </w:t>
      </w:r>
      <w:ins w:id="7" w:author="Mariel Mateo" w:date="2024-06-25T14:50:00Z" w16du:dateUtc="2024-06-25T04:50:00Z">
        <w:r w:rsidR="009F17AD">
          <w:rPr>
            <w:rFonts w:ascii="Times New Roman" w:hAnsi="Times New Roman" w:cs="Times New Roman"/>
            <w:sz w:val="24"/>
            <w:szCs w:val="24"/>
            <w:lang w:val="en-US"/>
          </w:rPr>
          <w:t>E</w:t>
        </w:r>
        <w:r w:rsidR="009F17AD" w:rsidRPr="000F254D">
          <w:rPr>
            <w:rFonts w:ascii="Times New Roman" w:hAnsi="Times New Roman" w:cs="Times New Roman"/>
            <w:sz w:val="24"/>
            <w:szCs w:val="24"/>
            <w:lang w:val="en-US"/>
          </w:rPr>
          <w:t xml:space="preserve">vidence regarding the </w:t>
        </w:r>
        <w:r w:rsidR="009F17AD">
          <w:rPr>
            <w:rFonts w:ascii="Times New Roman" w:hAnsi="Times New Roman" w:cs="Times New Roman"/>
            <w:sz w:val="24"/>
            <w:szCs w:val="24"/>
            <w:lang w:val="en-US"/>
          </w:rPr>
          <w:t>implications</w:t>
        </w:r>
        <w:r w:rsidR="009F17AD" w:rsidRPr="000F254D">
          <w:rPr>
            <w:rFonts w:ascii="Times New Roman" w:hAnsi="Times New Roman" w:cs="Times New Roman"/>
            <w:sz w:val="24"/>
            <w:szCs w:val="24"/>
            <w:lang w:val="en-US"/>
          </w:rPr>
          <w:t xml:space="preserve"> of reporting </w:t>
        </w:r>
      </w:ins>
      <w:ins w:id="8" w:author="Mariel Mateo" w:date="2024-06-25T14:51:00Z" w16du:dateUtc="2024-06-25T04:51:00Z">
        <w:r w:rsidR="009F17AD" w:rsidRPr="00090B7C">
          <w:rPr>
            <w:rFonts w:ascii="Times New Roman" w:hAnsi="Times New Roman" w:cs="Times New Roman"/>
            <w:sz w:val="24"/>
            <w:szCs w:val="24"/>
            <w:lang w:val="en-US"/>
          </w:rPr>
          <w:t xml:space="preserve">polysubstance use </w:t>
        </w:r>
        <w:r w:rsidR="009F17AD">
          <w:rPr>
            <w:rFonts w:ascii="Times New Roman" w:hAnsi="Times New Roman" w:cs="Times New Roman"/>
            <w:sz w:val="24"/>
            <w:szCs w:val="24"/>
            <w:lang w:val="en-US"/>
          </w:rPr>
          <w:t>(</w:t>
        </w:r>
      </w:ins>
      <w:ins w:id="9" w:author="Mariel Mateo" w:date="2024-06-25T14:50:00Z" w16du:dateUtc="2024-06-25T04:50:00Z">
        <w:r w:rsidR="009F17AD" w:rsidRPr="000F254D">
          <w:rPr>
            <w:rFonts w:ascii="Times New Roman" w:hAnsi="Times New Roman" w:cs="Times New Roman"/>
            <w:sz w:val="24"/>
            <w:szCs w:val="24"/>
            <w:lang w:val="en-US"/>
          </w:rPr>
          <w:t>PSU</w:t>
        </w:r>
      </w:ins>
      <w:ins w:id="10" w:author="Mariel Mateo" w:date="2024-06-25T14:51:00Z" w16du:dateUtc="2024-06-25T04:51:00Z">
        <w:r w:rsidR="009F17AD">
          <w:rPr>
            <w:rFonts w:ascii="Times New Roman" w:hAnsi="Times New Roman" w:cs="Times New Roman"/>
            <w:sz w:val="24"/>
            <w:szCs w:val="24"/>
            <w:lang w:val="en-US"/>
          </w:rPr>
          <w:t>)</w:t>
        </w:r>
      </w:ins>
      <w:ins w:id="11" w:author="Mariel Mateo" w:date="2024-06-25T14:50:00Z" w16du:dateUtc="2024-06-25T04:50:00Z">
        <w:r w:rsidR="009F17AD" w:rsidRPr="000F254D">
          <w:rPr>
            <w:rFonts w:ascii="Times New Roman" w:hAnsi="Times New Roman" w:cs="Times New Roman"/>
            <w:sz w:val="24"/>
            <w:szCs w:val="24"/>
            <w:lang w:val="en-US"/>
          </w:rPr>
          <w:t xml:space="preserve"> </w:t>
        </w:r>
      </w:ins>
      <w:ins w:id="12" w:author="Andrés González Santa Cruz" w:date="2024-06-25T14:30:00Z" w16du:dateUtc="2024-06-25T18:30:00Z">
        <w:r w:rsidR="0087291E">
          <w:rPr>
            <w:rFonts w:ascii="Times New Roman" w:hAnsi="Times New Roman" w:cs="Times New Roman"/>
            <w:sz w:val="24"/>
            <w:szCs w:val="24"/>
            <w:lang w:val="en-US"/>
          </w:rPr>
          <w:t xml:space="preserve">at admission </w:t>
        </w:r>
      </w:ins>
      <w:ins w:id="13" w:author="Mariel Mateo" w:date="2024-06-25T14:50:00Z" w16du:dateUtc="2024-06-25T04:50:00Z">
        <w:r w:rsidR="009F17AD" w:rsidRPr="000F254D">
          <w:rPr>
            <w:rFonts w:ascii="Times New Roman" w:hAnsi="Times New Roman" w:cs="Times New Roman"/>
            <w:sz w:val="24"/>
            <w:szCs w:val="24"/>
            <w:lang w:val="en-US"/>
          </w:rPr>
          <w:t>on</w:t>
        </w:r>
      </w:ins>
      <w:ins w:id="14" w:author="Andrés González Santa Cruz" w:date="2024-06-25T15:01:00Z" w16du:dateUtc="2024-06-25T19:01:00Z">
        <w:r w:rsidR="00AF1EB1">
          <w:rPr>
            <w:rFonts w:ascii="Times New Roman" w:hAnsi="Times New Roman" w:cs="Times New Roman"/>
            <w:sz w:val="24"/>
            <w:szCs w:val="24"/>
            <w:lang w:val="en-US"/>
          </w:rPr>
          <w:t xml:space="preserve"> substance use</w:t>
        </w:r>
      </w:ins>
      <w:ins w:id="15" w:author="Mariel Mateo" w:date="2024-06-25T14:50:00Z" w16du:dateUtc="2024-06-25T04:50:00Z">
        <w:r w:rsidR="009F17AD" w:rsidRPr="000F254D">
          <w:rPr>
            <w:rFonts w:ascii="Times New Roman" w:hAnsi="Times New Roman" w:cs="Times New Roman"/>
            <w:sz w:val="24"/>
            <w:szCs w:val="24"/>
            <w:lang w:val="en-US"/>
          </w:rPr>
          <w:t xml:space="preserve"> treatment </w:t>
        </w:r>
      </w:ins>
      <w:ins w:id="16" w:author="Andrés González Santa Cruz" w:date="2024-06-25T15:01:00Z" w16du:dateUtc="2024-06-25T19:01:00Z">
        <w:r w:rsidR="00AF1EB1">
          <w:rPr>
            <w:rFonts w:ascii="Times New Roman" w:hAnsi="Times New Roman" w:cs="Times New Roman"/>
            <w:sz w:val="24"/>
            <w:szCs w:val="24"/>
            <w:lang w:val="en-US"/>
          </w:rPr>
          <w:t xml:space="preserve">(SUT) </w:t>
        </w:r>
      </w:ins>
      <w:ins w:id="17" w:author="Mariel Mateo" w:date="2024-06-25T14:50:00Z" w16du:dateUtc="2024-06-25T04:50:00Z">
        <w:r w:rsidR="009F17AD" w:rsidRPr="000F254D">
          <w:rPr>
            <w:rFonts w:ascii="Times New Roman" w:hAnsi="Times New Roman" w:cs="Times New Roman"/>
            <w:sz w:val="24"/>
            <w:szCs w:val="24"/>
            <w:lang w:val="en-US"/>
          </w:rPr>
          <w:t xml:space="preserve">outcomes is limited. </w:t>
        </w:r>
        <w:r w:rsidR="009F17AD">
          <w:rPr>
            <w:rFonts w:ascii="Times New Roman" w:hAnsi="Times New Roman" w:cs="Times New Roman"/>
            <w:sz w:val="24"/>
            <w:szCs w:val="24"/>
            <w:lang w:val="en-US"/>
          </w:rPr>
          <w:t xml:space="preserve">Moreover, </w:t>
        </w:r>
        <w:r w:rsidR="009F17AD" w:rsidRPr="000F254D">
          <w:rPr>
            <w:rFonts w:ascii="Times New Roman" w:hAnsi="Times New Roman" w:cs="Times New Roman"/>
            <w:sz w:val="24"/>
            <w:szCs w:val="24"/>
            <w:lang w:val="en-US"/>
          </w:rPr>
          <w:t xml:space="preserve">most studies </w:t>
        </w:r>
      </w:ins>
      <w:ins w:id="18" w:author="Mariel Mateo" w:date="2024-06-25T15:06:00Z" w16du:dateUtc="2024-06-25T05:06:00Z">
        <w:r w:rsidR="001777F3">
          <w:rPr>
            <w:rFonts w:ascii="Times New Roman" w:hAnsi="Times New Roman" w:cs="Times New Roman"/>
            <w:sz w:val="24"/>
            <w:szCs w:val="24"/>
            <w:lang w:val="en-US"/>
          </w:rPr>
          <w:t>come</w:t>
        </w:r>
      </w:ins>
      <w:ins w:id="19" w:author="Mariel Mateo" w:date="2024-06-25T15:05:00Z" w16du:dateUtc="2024-06-25T05:05:00Z">
        <w:r w:rsidR="001777F3">
          <w:rPr>
            <w:rFonts w:ascii="Times New Roman" w:hAnsi="Times New Roman" w:cs="Times New Roman"/>
            <w:sz w:val="24"/>
            <w:szCs w:val="24"/>
            <w:lang w:val="en-US"/>
          </w:rPr>
          <w:t xml:space="preserve"> from the Global North and </w:t>
        </w:r>
      </w:ins>
      <w:ins w:id="20" w:author="Mariel Mateo" w:date="2024-06-25T14:50:00Z" w16du:dateUtc="2024-06-25T04:50:00Z">
        <w:r w:rsidR="009F17AD" w:rsidRPr="000F254D">
          <w:rPr>
            <w:rFonts w:ascii="Times New Roman" w:hAnsi="Times New Roman" w:cs="Times New Roman"/>
            <w:sz w:val="24"/>
            <w:szCs w:val="24"/>
            <w:lang w:val="en-US"/>
          </w:rPr>
          <w:t>have focused on individual substances in isolation</w:t>
        </w:r>
      </w:ins>
      <w:ins w:id="21" w:author="Andrés González Santa Cruz" w:date="2024-06-25T14:37:00Z" w16du:dateUtc="2024-06-25T18:37:00Z">
        <w:r w:rsidR="007F797E">
          <w:rPr>
            <w:rFonts w:ascii="Times New Roman" w:hAnsi="Times New Roman" w:cs="Times New Roman"/>
            <w:sz w:val="24"/>
            <w:szCs w:val="24"/>
            <w:lang w:val="en-US"/>
          </w:rPr>
          <w:t xml:space="preserve">, with </w:t>
        </w:r>
      </w:ins>
      <w:ins w:id="22" w:author="Andrés González Santa Cruz" w:date="2024-06-25T14:38:00Z" w16du:dateUtc="2024-06-25T18:38:00Z">
        <w:r w:rsidR="007F797E">
          <w:rPr>
            <w:rFonts w:ascii="Times New Roman" w:hAnsi="Times New Roman" w:cs="Times New Roman"/>
            <w:sz w:val="24"/>
            <w:szCs w:val="24"/>
            <w:lang w:val="en-US"/>
          </w:rPr>
          <w:t xml:space="preserve">one </w:t>
        </w:r>
      </w:ins>
      <w:ins w:id="23" w:author="Andrés González Santa Cruz" w:date="2024-06-25T15:01:00Z" w16du:dateUtc="2024-06-25T19:01:00Z">
        <w:r w:rsidR="00AF1EB1">
          <w:rPr>
            <w:rFonts w:ascii="Times New Roman" w:hAnsi="Times New Roman" w:cs="Times New Roman"/>
            <w:sz w:val="24"/>
            <w:szCs w:val="24"/>
            <w:lang w:val="en-US"/>
          </w:rPr>
          <w:t>SUT</w:t>
        </w:r>
      </w:ins>
      <w:ins w:id="24" w:author="Andrés González Santa Cruz" w:date="2024-06-25T14:38:00Z" w16du:dateUtc="2024-06-25T18:38:00Z">
        <w:r w:rsidR="007F797E">
          <w:rPr>
            <w:rFonts w:ascii="Times New Roman" w:hAnsi="Times New Roman" w:cs="Times New Roman"/>
            <w:sz w:val="24"/>
            <w:szCs w:val="24"/>
            <w:lang w:val="en-US"/>
          </w:rPr>
          <w:t xml:space="preserve"> episode,</w:t>
        </w:r>
      </w:ins>
      <w:ins w:id="25" w:author="Mariel Mateo" w:date="2024-06-25T14:50:00Z" w16du:dateUtc="2024-06-25T04:50:00Z">
        <w:r w:rsidR="009F17AD" w:rsidRPr="000F254D">
          <w:rPr>
            <w:rFonts w:ascii="Times New Roman" w:hAnsi="Times New Roman" w:cs="Times New Roman"/>
            <w:sz w:val="24"/>
            <w:szCs w:val="24"/>
            <w:lang w:val="en-US"/>
          </w:rPr>
          <w:t xml:space="preserve"> and have considered </w:t>
        </w:r>
        <w:del w:id="26" w:author="Andrés González Santa Cruz" w:date="2024-06-25T14:31:00Z" w16du:dateUtc="2024-06-25T18:31:00Z">
          <w:r w:rsidR="009F17AD" w:rsidRPr="000F254D" w:rsidDel="0087291E">
            <w:rPr>
              <w:rFonts w:ascii="Times New Roman" w:hAnsi="Times New Roman" w:cs="Times New Roman"/>
              <w:sz w:val="24"/>
              <w:szCs w:val="24"/>
              <w:lang w:val="en-US"/>
            </w:rPr>
            <w:delText>a</w:delText>
          </w:r>
        </w:del>
        <w:r w:rsidR="009F17AD" w:rsidRPr="000F254D">
          <w:rPr>
            <w:rFonts w:ascii="Times New Roman" w:hAnsi="Times New Roman" w:cs="Times New Roman"/>
            <w:sz w:val="24"/>
            <w:szCs w:val="24"/>
            <w:lang w:val="en-US"/>
          </w:rPr>
          <w:t xml:space="preserve"> </w:t>
        </w:r>
        <w:r w:rsidR="009F17AD">
          <w:rPr>
            <w:rFonts w:ascii="Times New Roman" w:hAnsi="Times New Roman" w:cs="Times New Roman"/>
            <w:sz w:val="24"/>
            <w:szCs w:val="24"/>
            <w:lang w:val="en-US"/>
          </w:rPr>
          <w:t>PSU</w:t>
        </w:r>
        <w:r w:rsidR="009F17AD" w:rsidRPr="000F254D">
          <w:rPr>
            <w:rFonts w:ascii="Times New Roman" w:hAnsi="Times New Roman" w:cs="Times New Roman"/>
            <w:sz w:val="24"/>
            <w:szCs w:val="24"/>
            <w:lang w:val="en-US"/>
          </w:rPr>
          <w:t xml:space="preserve"> as an exclusion criterion for </w:t>
        </w:r>
        <w:del w:id="27" w:author="Andrés González Santa Cruz" w:date="2024-06-25T14:34:00Z" w16du:dateUtc="2024-06-25T18:34:00Z">
          <w:r w:rsidR="009F17AD" w:rsidRPr="000F254D" w:rsidDel="007F797E">
            <w:rPr>
              <w:rFonts w:ascii="Times New Roman" w:hAnsi="Times New Roman" w:cs="Times New Roman"/>
              <w:sz w:val="24"/>
              <w:szCs w:val="24"/>
              <w:lang w:val="en-US"/>
            </w:rPr>
            <w:delText xml:space="preserve">clinical </w:delText>
          </w:r>
        </w:del>
        <w:r w:rsidR="009F17AD" w:rsidRPr="000F254D">
          <w:rPr>
            <w:rFonts w:ascii="Times New Roman" w:hAnsi="Times New Roman" w:cs="Times New Roman"/>
            <w:sz w:val="24"/>
            <w:szCs w:val="24"/>
            <w:lang w:val="en-US"/>
          </w:rPr>
          <w:t xml:space="preserve">studies on treatment effectiveness, </w:t>
        </w:r>
        <w:del w:id="28" w:author="Andrés González Santa Cruz" w:date="2024-06-25T14:38:00Z" w16du:dateUtc="2024-06-25T18:38:00Z">
          <w:r w:rsidR="009F17AD" w:rsidRPr="000F254D" w:rsidDel="007F797E">
            <w:rPr>
              <w:rFonts w:ascii="Times New Roman" w:hAnsi="Times New Roman" w:cs="Times New Roman"/>
              <w:sz w:val="24"/>
              <w:szCs w:val="24"/>
              <w:lang w:val="en-US"/>
            </w:rPr>
            <w:delText xml:space="preserve">which </w:delText>
          </w:r>
        </w:del>
        <w:r w:rsidR="009F17AD" w:rsidRPr="000F254D">
          <w:rPr>
            <w:rFonts w:ascii="Times New Roman" w:hAnsi="Times New Roman" w:cs="Times New Roman"/>
            <w:sz w:val="24"/>
            <w:szCs w:val="24"/>
            <w:lang w:val="en-US"/>
          </w:rPr>
          <w:t>rais</w:t>
        </w:r>
      </w:ins>
      <w:ins w:id="29" w:author="Andrés González Santa Cruz" w:date="2024-06-25T14:38:00Z" w16du:dateUtc="2024-06-25T18:38:00Z">
        <w:r w:rsidR="007F797E">
          <w:rPr>
            <w:rFonts w:ascii="Times New Roman" w:hAnsi="Times New Roman" w:cs="Times New Roman"/>
            <w:sz w:val="24"/>
            <w:szCs w:val="24"/>
            <w:lang w:val="en-US"/>
          </w:rPr>
          <w:t>ing</w:t>
        </w:r>
      </w:ins>
      <w:ins w:id="30" w:author="Mariel Mateo" w:date="2024-06-25T14:50:00Z" w16du:dateUtc="2024-06-25T04:50:00Z">
        <w:del w:id="31" w:author="Andrés González Santa Cruz" w:date="2024-06-25T14:38:00Z" w16du:dateUtc="2024-06-25T18:38:00Z">
          <w:r w:rsidR="009F17AD" w:rsidRPr="000F254D" w:rsidDel="007F797E">
            <w:rPr>
              <w:rFonts w:ascii="Times New Roman" w:hAnsi="Times New Roman" w:cs="Times New Roman"/>
              <w:sz w:val="24"/>
              <w:szCs w:val="24"/>
              <w:lang w:val="en-US"/>
            </w:rPr>
            <w:delText>es</w:delText>
          </w:r>
        </w:del>
        <w:r w:rsidR="009F17AD" w:rsidRPr="000F254D">
          <w:rPr>
            <w:rFonts w:ascii="Times New Roman" w:hAnsi="Times New Roman" w:cs="Times New Roman"/>
            <w:sz w:val="24"/>
            <w:szCs w:val="24"/>
            <w:lang w:val="en-US"/>
          </w:rPr>
          <w:t xml:space="preserve"> </w:t>
        </w:r>
      </w:ins>
      <w:ins w:id="32" w:author="Andrés González Santa Cruz" w:date="2024-06-25T14:34:00Z" w16du:dateUtc="2024-06-25T18:34:00Z">
        <w:r w:rsidR="007F797E">
          <w:rPr>
            <w:rFonts w:ascii="Times New Roman" w:hAnsi="Times New Roman" w:cs="Times New Roman"/>
            <w:sz w:val="24"/>
            <w:szCs w:val="24"/>
            <w:lang w:val="en-US"/>
          </w:rPr>
          <w:t xml:space="preserve">concerns about </w:t>
        </w:r>
      </w:ins>
      <w:ins w:id="33" w:author="Mariel Mateo" w:date="2024-06-25T14:50:00Z" w16du:dateUtc="2024-06-25T04:50:00Z">
        <w:del w:id="34" w:author="Andrés González Santa Cruz" w:date="2024-06-25T14:34:00Z" w16du:dateUtc="2024-06-25T18:34:00Z">
          <w:r w:rsidR="009F17AD" w:rsidRPr="000F254D" w:rsidDel="007F797E">
            <w:rPr>
              <w:rFonts w:ascii="Times New Roman" w:hAnsi="Times New Roman" w:cs="Times New Roman"/>
              <w:sz w:val="24"/>
              <w:szCs w:val="24"/>
              <w:lang w:val="en-US"/>
            </w:rPr>
            <w:delText xml:space="preserve">the problem of </w:delText>
          </w:r>
        </w:del>
        <w:r w:rsidR="009F17AD" w:rsidRPr="000F254D">
          <w:rPr>
            <w:rFonts w:ascii="Times New Roman" w:hAnsi="Times New Roman" w:cs="Times New Roman"/>
            <w:sz w:val="24"/>
            <w:szCs w:val="24"/>
            <w:lang w:val="en-US"/>
          </w:rPr>
          <w:t>its translatability to real health contexts</w:t>
        </w:r>
        <w:r w:rsidR="009F17AD">
          <w:rPr>
            <w:rFonts w:ascii="Times New Roman" w:hAnsi="Times New Roman" w:cs="Times New Roman"/>
            <w:sz w:val="24"/>
            <w:szCs w:val="24"/>
            <w:lang w:val="en-US"/>
          </w:rPr>
          <w:t>. Therefore,</w:t>
        </w:r>
        <w:r w:rsidR="009F17AD" w:rsidRPr="000F254D">
          <w:rPr>
            <w:rFonts w:ascii="Times New Roman" w:hAnsi="Times New Roman" w:cs="Times New Roman"/>
            <w:sz w:val="24"/>
            <w:szCs w:val="24"/>
            <w:lang w:val="en-US"/>
          </w:rPr>
          <w:t xml:space="preserve"> it is crucial to determine the role of reporting PSU in treatment </w:t>
        </w:r>
      </w:ins>
      <w:ins w:id="35" w:author="Andrés González Santa Cruz" w:date="2024-06-25T15:14:00Z" w16du:dateUtc="2024-06-25T19:14:00Z">
        <w:r w:rsidR="003F4CA4">
          <w:rPr>
            <w:rFonts w:ascii="Times New Roman" w:hAnsi="Times New Roman" w:cs="Times New Roman"/>
            <w:sz w:val="24"/>
            <w:szCs w:val="24"/>
            <w:lang w:val="en-US"/>
          </w:rPr>
          <w:t>non-</w:t>
        </w:r>
      </w:ins>
      <w:ins w:id="36" w:author="Mariel Mateo" w:date="2024-06-25T14:50:00Z" w16du:dateUtc="2024-06-25T04:50:00Z">
        <w:r w:rsidR="009F17AD" w:rsidRPr="000F254D">
          <w:rPr>
            <w:rFonts w:ascii="Times New Roman" w:hAnsi="Times New Roman" w:cs="Times New Roman"/>
            <w:sz w:val="24"/>
            <w:szCs w:val="24"/>
            <w:lang w:val="en-US"/>
          </w:rPr>
          <w:t xml:space="preserve">completion </w:t>
        </w:r>
      </w:ins>
      <w:ins w:id="37" w:author="Andrés González Santa Cruz" w:date="2024-06-25T15:14:00Z" w16du:dateUtc="2024-06-25T19:14:00Z">
        <w:r w:rsidR="003F4CA4">
          <w:rPr>
            <w:rFonts w:ascii="Times New Roman" w:hAnsi="Times New Roman" w:cs="Times New Roman"/>
            <w:sz w:val="24"/>
            <w:szCs w:val="24"/>
            <w:lang w:val="en-US"/>
          </w:rPr>
          <w:t xml:space="preserve">(i.e., </w:t>
        </w:r>
      </w:ins>
      <w:ins w:id="38" w:author="Andrés González Santa Cruz" w:date="2024-06-25T15:25:00Z" w16du:dateUtc="2024-06-25T19:25:00Z">
        <w:r w:rsidR="00F80ACA">
          <w:rPr>
            <w:rFonts w:ascii="Times New Roman" w:hAnsi="Times New Roman" w:cs="Times New Roman"/>
            <w:sz w:val="24"/>
            <w:szCs w:val="24"/>
            <w:lang w:val="en-US"/>
          </w:rPr>
          <w:t xml:space="preserve">treatment </w:t>
        </w:r>
      </w:ins>
      <w:ins w:id="39" w:author="Andrés González Santa Cruz" w:date="2024-06-25T15:14:00Z" w16du:dateUtc="2024-06-25T19:14:00Z">
        <w:r w:rsidR="003F4CA4">
          <w:rPr>
            <w:rFonts w:ascii="Times New Roman" w:hAnsi="Times New Roman" w:cs="Times New Roman"/>
            <w:sz w:val="24"/>
            <w:szCs w:val="24"/>
            <w:lang w:val="en-US"/>
          </w:rPr>
          <w:t xml:space="preserve">dropouts) </w:t>
        </w:r>
      </w:ins>
      <w:ins w:id="40" w:author="Mariel Mateo" w:date="2024-06-25T14:50:00Z" w16du:dateUtc="2024-06-25T04:50:00Z">
        <w:r w:rsidR="009F17AD" w:rsidRPr="000F254D">
          <w:rPr>
            <w:rFonts w:ascii="Times New Roman" w:hAnsi="Times New Roman" w:cs="Times New Roman"/>
            <w:sz w:val="24"/>
            <w:szCs w:val="24"/>
            <w:lang w:val="en-US"/>
          </w:rPr>
          <w:t xml:space="preserve">to improve treatment </w:t>
        </w:r>
      </w:ins>
      <w:ins w:id="41" w:author="Andrés González Santa Cruz" w:date="2024-06-25T14:32:00Z" w16du:dateUtc="2024-06-25T18:32:00Z">
        <w:r w:rsidR="0087291E">
          <w:rPr>
            <w:rFonts w:ascii="Times New Roman" w:hAnsi="Times New Roman" w:cs="Times New Roman"/>
            <w:sz w:val="24"/>
            <w:szCs w:val="24"/>
            <w:lang w:val="en-US"/>
          </w:rPr>
          <w:t>for these groups</w:t>
        </w:r>
      </w:ins>
      <w:commentRangeStart w:id="42"/>
      <w:ins w:id="43" w:author="Mariel Mateo" w:date="2024-06-25T14:50:00Z" w16du:dateUtc="2024-06-25T04:50:00Z">
        <w:del w:id="44" w:author="Andrés González Santa Cruz" w:date="2024-06-25T14:32:00Z" w16du:dateUtc="2024-06-25T18:32:00Z">
          <w:r w:rsidR="009F17AD" w:rsidRPr="000F254D" w:rsidDel="0087291E">
            <w:rPr>
              <w:rFonts w:ascii="Times New Roman" w:hAnsi="Times New Roman" w:cs="Times New Roman"/>
              <w:sz w:val="24"/>
              <w:szCs w:val="24"/>
              <w:lang w:val="en-US"/>
            </w:rPr>
            <w:delText>effectiveness and research translatability</w:delText>
          </w:r>
        </w:del>
      </w:ins>
      <w:commentRangeEnd w:id="42"/>
      <w:r w:rsidR="0087291E">
        <w:rPr>
          <w:rStyle w:val="Refdecomentario"/>
          <w:rFonts w:ascii="Times New Roman" w:eastAsia="Times New Roman" w:hAnsi="Times New Roman" w:cs="Times New Roman"/>
          <w:lang w:val="en-US" w:eastAsia="es-CL"/>
        </w:rPr>
        <w:commentReference w:id="42"/>
      </w:r>
      <w:ins w:id="45" w:author="Mariel Mateo" w:date="2024-06-25T15:05:00Z" w16du:dateUtc="2024-06-25T05:05:00Z">
        <w:r w:rsidR="001777F3">
          <w:rPr>
            <w:rFonts w:ascii="Times New Roman" w:hAnsi="Times New Roman" w:cs="Times New Roman"/>
            <w:sz w:val="24"/>
            <w:szCs w:val="24"/>
            <w:lang w:val="en-US"/>
          </w:rPr>
          <w:t>, esp</w:t>
        </w:r>
      </w:ins>
      <w:ins w:id="46" w:author="Mariel Mateo" w:date="2024-06-25T15:06:00Z" w16du:dateUtc="2024-06-25T05:06:00Z">
        <w:r w:rsidR="001777F3">
          <w:rPr>
            <w:rFonts w:ascii="Times New Roman" w:hAnsi="Times New Roman" w:cs="Times New Roman"/>
            <w:sz w:val="24"/>
            <w:szCs w:val="24"/>
            <w:lang w:val="en-US"/>
          </w:rPr>
          <w:t>ecially outside the Global Nort</w:t>
        </w:r>
      </w:ins>
      <w:ins w:id="47" w:author="Mariel Mateo" w:date="2024-06-25T15:07:00Z" w16du:dateUtc="2024-06-25T05:07:00Z">
        <w:r w:rsidR="001777F3">
          <w:rPr>
            <w:rFonts w:ascii="Times New Roman" w:hAnsi="Times New Roman" w:cs="Times New Roman"/>
            <w:sz w:val="24"/>
            <w:szCs w:val="24"/>
            <w:lang w:val="en-US"/>
          </w:rPr>
          <w:t>h</w:t>
        </w:r>
        <w:del w:id="48" w:author="Andrés González Santa Cruz" w:date="2024-06-25T14:39:00Z" w16du:dateUtc="2024-06-25T18:39:00Z">
          <w:r w:rsidR="001777F3" w:rsidDel="007F797E">
            <w:rPr>
              <w:rFonts w:ascii="Times New Roman" w:hAnsi="Times New Roman" w:cs="Times New Roman"/>
              <w:sz w:val="24"/>
              <w:szCs w:val="24"/>
              <w:lang w:val="en-US"/>
            </w:rPr>
            <w:delText xml:space="preserve"> context</w:delText>
          </w:r>
        </w:del>
      </w:ins>
      <w:ins w:id="49" w:author="Mariel Mateo" w:date="2024-06-25T14:50:00Z" w16du:dateUtc="2024-06-25T04:50:00Z">
        <w:r w:rsidR="009F17AD">
          <w:rPr>
            <w:rFonts w:ascii="Times New Roman" w:hAnsi="Times New Roman" w:cs="Times New Roman"/>
            <w:sz w:val="24"/>
            <w:szCs w:val="24"/>
            <w:lang w:val="en-US"/>
          </w:rPr>
          <w:t>.</w:t>
        </w:r>
      </w:ins>
    </w:p>
    <w:p w14:paraId="75B3DCEC" w14:textId="20F941AD" w:rsidR="009F17AD" w:rsidDel="00C92025" w:rsidRDefault="009F17AD" w:rsidP="00373382">
      <w:pPr>
        <w:spacing w:line="480" w:lineRule="auto"/>
        <w:rPr>
          <w:del w:id="50" w:author="Mariel Mateo" w:date="2024-06-25T14:51:00Z" w16du:dateUtc="2024-06-25T04:51:00Z"/>
          <w:rFonts w:ascii="Times New Roman" w:hAnsi="Times New Roman" w:cs="Times New Roman"/>
          <w:sz w:val="24"/>
          <w:szCs w:val="24"/>
          <w:lang w:val="en-US"/>
        </w:rPr>
      </w:pPr>
      <w:ins w:id="51" w:author="Mariel Mateo" w:date="2024-06-25T14:50:00Z" w16du:dateUtc="2024-06-25T04:50:00Z">
        <w:r w:rsidRPr="00F80ACA">
          <w:rPr>
            <w:rFonts w:ascii="Times New Roman" w:hAnsi="Times New Roman" w:cs="Times New Roman"/>
            <w:b/>
            <w:bCs/>
            <w:sz w:val="24"/>
            <w:szCs w:val="24"/>
            <w:lang w:val="en-US"/>
          </w:rPr>
          <w:t>Aims:</w:t>
        </w:r>
      </w:ins>
      <w:del w:id="52" w:author="Andrés González Santa Cruz" w:date="2024-06-25T14:57:00Z" w16du:dateUtc="2024-06-25T18:57:00Z">
        <w:r w:rsidR="00090B7C" w:rsidRPr="009F17AD" w:rsidDel="00AF1EB1">
          <w:rPr>
            <w:rFonts w:ascii="Times New Roman" w:hAnsi="Times New Roman" w:cs="Times New Roman"/>
            <w:sz w:val="24"/>
            <w:szCs w:val="24"/>
            <w:lang w:val="en-US"/>
          </w:rPr>
          <w:delText>(</w:delText>
        </w:r>
        <w:r w:rsidR="00090B7C" w:rsidRPr="00090B7C" w:rsidDel="00AF1EB1">
          <w:rPr>
            <w:rFonts w:ascii="Times New Roman" w:hAnsi="Times New Roman" w:cs="Times New Roman"/>
            <w:sz w:val="24"/>
            <w:szCs w:val="24"/>
            <w:lang w:val="en-US"/>
          </w:rPr>
          <w:delText>1)</w:delText>
        </w:r>
      </w:del>
      <w:r w:rsidR="00090B7C" w:rsidRPr="00090B7C">
        <w:rPr>
          <w:rFonts w:ascii="Times New Roman" w:hAnsi="Times New Roman" w:cs="Times New Roman"/>
          <w:sz w:val="24"/>
          <w:szCs w:val="24"/>
          <w:lang w:val="en-US"/>
        </w:rPr>
        <w:t xml:space="preserve"> T</w:t>
      </w:r>
      <w:del w:id="53" w:author="Andrés González Santa Cruz" w:date="2024-06-25T14:57:00Z" w16du:dateUtc="2024-06-25T18:57:00Z">
        <w:r w:rsidR="00090B7C" w:rsidRPr="00090B7C" w:rsidDel="00AF1EB1">
          <w:rPr>
            <w:rFonts w:ascii="Times New Roman" w:hAnsi="Times New Roman" w:cs="Times New Roman"/>
            <w:sz w:val="24"/>
            <w:szCs w:val="24"/>
            <w:lang w:val="en-US"/>
          </w:rPr>
          <w:delText>o describe the incidence of PSU) reports and treatment completion</w:delText>
        </w:r>
        <w:r w:rsidR="001777F3" w:rsidDel="00AF1EB1">
          <w:rPr>
            <w:rFonts w:ascii="Times New Roman" w:hAnsi="Times New Roman" w:cs="Times New Roman"/>
            <w:sz w:val="24"/>
            <w:szCs w:val="24"/>
            <w:lang w:val="en-US"/>
          </w:rPr>
          <w:delText xml:space="preserve"> in the Chilean context</w:delText>
        </w:r>
        <w:r w:rsidR="00090B7C" w:rsidRPr="00090B7C" w:rsidDel="00AF1EB1">
          <w:rPr>
            <w:rFonts w:ascii="Times New Roman" w:hAnsi="Times New Roman" w:cs="Times New Roman"/>
            <w:sz w:val="24"/>
            <w:szCs w:val="24"/>
            <w:lang w:val="en-US"/>
          </w:rPr>
          <w:delText xml:space="preserve">, (2) to compare the association of treatment completion rates between individuals reporting </w:delText>
        </w:r>
        <w:r w:rsidR="00146332" w:rsidDel="00AF1EB1">
          <w:rPr>
            <w:rFonts w:ascii="Times New Roman" w:hAnsi="Times New Roman" w:cs="Times New Roman"/>
            <w:sz w:val="24"/>
            <w:szCs w:val="24"/>
            <w:lang w:val="en-US"/>
          </w:rPr>
          <w:delText>PSU</w:delText>
        </w:r>
        <w:r w:rsidR="00090B7C" w:rsidRPr="00090B7C" w:rsidDel="00AF1EB1">
          <w:rPr>
            <w:rFonts w:ascii="Times New Roman" w:hAnsi="Times New Roman" w:cs="Times New Roman"/>
            <w:sz w:val="24"/>
            <w:szCs w:val="24"/>
            <w:lang w:val="en-US"/>
          </w:rPr>
          <w:delText xml:space="preserve"> and single-substance use</w:delText>
        </w:r>
      </w:del>
      <w:ins w:id="54" w:author="Mariel Mateo" w:date="2024-06-25T14:37:00Z" w16du:dateUtc="2024-06-25T04:37:00Z">
        <w:del w:id="55" w:author="Andrés González Santa Cruz" w:date="2024-06-25T14:57:00Z" w16du:dateUtc="2024-06-25T18:57:00Z">
          <w:r w:rsidR="00146332" w:rsidDel="00AF1EB1">
            <w:rPr>
              <w:rFonts w:ascii="Times New Roman" w:hAnsi="Times New Roman" w:cs="Times New Roman"/>
              <w:sz w:val="24"/>
              <w:szCs w:val="24"/>
              <w:lang w:val="en-US"/>
            </w:rPr>
            <w:delText xml:space="preserve"> at admission</w:delText>
          </w:r>
        </w:del>
      </w:ins>
      <w:del w:id="56" w:author="Andrés González Santa Cruz" w:date="2024-06-25T14:57:00Z" w16du:dateUtc="2024-06-25T18:57:00Z">
        <w:r w:rsidR="00090B7C" w:rsidRPr="00090B7C" w:rsidDel="00AF1EB1">
          <w:rPr>
            <w:rFonts w:ascii="Times New Roman" w:hAnsi="Times New Roman" w:cs="Times New Roman"/>
            <w:sz w:val="24"/>
            <w:szCs w:val="24"/>
            <w:lang w:val="en-US"/>
          </w:rPr>
          <w:delText>, and (3) t</w:delText>
        </w:r>
      </w:del>
      <w:r w:rsidR="00090B7C" w:rsidRPr="00090B7C">
        <w:rPr>
          <w:rFonts w:ascii="Times New Roman" w:hAnsi="Times New Roman" w:cs="Times New Roman"/>
          <w:sz w:val="24"/>
          <w:szCs w:val="24"/>
          <w:lang w:val="en-US"/>
        </w:rPr>
        <w:t xml:space="preserve">o estimate the association between reporting PSU at admission and treatment </w:t>
      </w:r>
      <w:ins w:id="57" w:author="Andrés González Santa Cruz" w:date="2024-06-25T15:14:00Z" w16du:dateUtc="2024-06-25T19:14:00Z">
        <w:r w:rsidR="005C12B8">
          <w:rPr>
            <w:rFonts w:ascii="Times New Roman" w:hAnsi="Times New Roman" w:cs="Times New Roman"/>
            <w:sz w:val="24"/>
            <w:szCs w:val="24"/>
            <w:lang w:val="en-US"/>
          </w:rPr>
          <w:t>non-</w:t>
        </w:r>
      </w:ins>
      <w:r w:rsidR="00090B7C" w:rsidRPr="00090B7C">
        <w:rPr>
          <w:rFonts w:ascii="Times New Roman" w:hAnsi="Times New Roman" w:cs="Times New Roman"/>
          <w:sz w:val="24"/>
          <w:szCs w:val="24"/>
          <w:lang w:val="en-US"/>
        </w:rPr>
        <w:t>completion</w:t>
      </w:r>
      <w:ins w:id="58" w:author="Andrés González Santa Cruz" w:date="2024-06-25T14:57:00Z" w16du:dateUtc="2024-06-25T18:57:00Z">
        <w:r w:rsidR="00AF1EB1">
          <w:rPr>
            <w:rFonts w:ascii="Times New Roman" w:hAnsi="Times New Roman" w:cs="Times New Roman"/>
            <w:sz w:val="24"/>
            <w:szCs w:val="24"/>
            <w:lang w:val="en-US"/>
          </w:rPr>
          <w:t xml:space="preserve"> </w:t>
        </w:r>
      </w:ins>
      <w:ins w:id="59" w:author="Andrés González Santa Cruz" w:date="2024-06-25T15:00:00Z" w16du:dateUtc="2024-06-25T19:00:00Z">
        <w:r w:rsidR="00AF1EB1">
          <w:rPr>
            <w:rFonts w:ascii="Times New Roman" w:hAnsi="Times New Roman" w:cs="Times New Roman"/>
            <w:sz w:val="24"/>
            <w:szCs w:val="24"/>
            <w:lang w:val="en-US"/>
          </w:rPr>
          <w:t>among</w:t>
        </w:r>
      </w:ins>
      <w:ins w:id="60" w:author="Andrés González Santa Cruz" w:date="2024-06-25T14:57:00Z" w16du:dateUtc="2024-06-25T18:57:00Z">
        <w:r w:rsidR="00AF1EB1">
          <w:rPr>
            <w:rFonts w:ascii="Times New Roman" w:hAnsi="Times New Roman" w:cs="Times New Roman"/>
            <w:sz w:val="24"/>
            <w:szCs w:val="24"/>
            <w:lang w:val="en-US"/>
          </w:rPr>
          <w:t xml:space="preserve"> patients with more than one treatment</w:t>
        </w:r>
      </w:ins>
      <w:ins w:id="61" w:author="Andrés González Santa Cruz" w:date="2024-06-25T15:00:00Z" w16du:dateUtc="2024-06-25T19:00:00Z">
        <w:r w:rsidR="00AF1EB1">
          <w:rPr>
            <w:rFonts w:ascii="Times New Roman" w:hAnsi="Times New Roman" w:cs="Times New Roman"/>
            <w:sz w:val="24"/>
            <w:szCs w:val="24"/>
            <w:lang w:val="en-US"/>
          </w:rPr>
          <w:t xml:space="preserve"> episode</w:t>
        </w:r>
      </w:ins>
      <w:del w:id="62" w:author="Andrés González Santa Cruz" w:date="2024-06-25T15:00:00Z" w16du:dateUtc="2024-06-25T19:00:00Z">
        <w:r w:rsidR="00090B7C" w:rsidRPr="00090B7C" w:rsidDel="00AF1EB1">
          <w:rPr>
            <w:rFonts w:ascii="Times New Roman" w:hAnsi="Times New Roman" w:cs="Times New Roman"/>
            <w:sz w:val="24"/>
            <w:szCs w:val="24"/>
            <w:lang w:val="en-US"/>
          </w:rPr>
          <w:delText xml:space="preserve">, accounting for irregular and informative observation </w:delText>
        </w:r>
        <w:commentRangeStart w:id="63"/>
        <w:r w:rsidR="00090B7C" w:rsidRPr="00090B7C" w:rsidDel="00AF1EB1">
          <w:rPr>
            <w:rFonts w:ascii="Times New Roman" w:hAnsi="Times New Roman" w:cs="Times New Roman"/>
            <w:sz w:val="24"/>
            <w:szCs w:val="24"/>
            <w:lang w:val="en-US"/>
          </w:rPr>
          <w:delText>times</w:delText>
        </w:r>
        <w:commentRangeEnd w:id="63"/>
        <w:r w:rsidR="00AF1EB1" w:rsidDel="00AF1EB1">
          <w:rPr>
            <w:rStyle w:val="Refdecomentario"/>
            <w:rFonts w:ascii="Times New Roman" w:eastAsia="Times New Roman" w:hAnsi="Times New Roman" w:cs="Times New Roman"/>
            <w:lang w:val="en-US" w:eastAsia="es-CL"/>
          </w:rPr>
          <w:commentReference w:id="63"/>
        </w:r>
      </w:del>
      <w:r w:rsidR="00090B7C" w:rsidRPr="00090B7C">
        <w:rPr>
          <w:rFonts w:ascii="Times New Roman" w:hAnsi="Times New Roman" w:cs="Times New Roman"/>
          <w:sz w:val="24"/>
          <w:szCs w:val="24"/>
          <w:lang w:val="en-US"/>
        </w:rPr>
        <w:t>.</w:t>
      </w:r>
      <w:commentRangeEnd w:id="4"/>
      <w:r w:rsidR="00090B7C">
        <w:rPr>
          <w:rStyle w:val="Refdecomentario"/>
          <w:rFonts w:ascii="Times New Roman" w:eastAsia="Times New Roman" w:hAnsi="Times New Roman" w:cs="Times New Roman"/>
          <w:lang w:val="en-US" w:eastAsia="es-CL"/>
        </w:rPr>
        <w:commentReference w:id="4"/>
      </w:r>
      <w:commentRangeEnd w:id="5"/>
      <w:r>
        <w:rPr>
          <w:rStyle w:val="Refdecomentario"/>
          <w:rFonts w:ascii="Times New Roman" w:eastAsia="Times New Roman" w:hAnsi="Times New Roman" w:cs="Times New Roman"/>
          <w:lang w:val="en-US" w:eastAsia="es-CL"/>
        </w:rPr>
        <w:commentReference w:id="5"/>
      </w:r>
    </w:p>
    <w:p w14:paraId="3A9737D6" w14:textId="77777777" w:rsidR="00C92025" w:rsidRDefault="00C92025" w:rsidP="00F80ACA">
      <w:pPr>
        <w:spacing w:line="480" w:lineRule="auto"/>
        <w:rPr>
          <w:ins w:id="64" w:author="Andrés González Santa Cruz" w:date="2024-06-27T11:20:00Z" w16du:dateUtc="2024-06-27T15:20:00Z"/>
          <w:rFonts w:ascii="Times New Roman" w:hAnsi="Times New Roman" w:cs="Times New Roman"/>
          <w:sz w:val="24"/>
          <w:szCs w:val="24"/>
          <w:lang w:val="en-US"/>
        </w:rPr>
      </w:pPr>
    </w:p>
    <w:p w14:paraId="6A1EC2F3" w14:textId="25E730AC" w:rsidR="00090B7C" w:rsidRPr="00090B7C" w:rsidRDefault="00090B7C" w:rsidP="00373382">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Methods</w:t>
      </w:r>
      <w:r w:rsidRPr="00090B7C">
        <w:rPr>
          <w:rFonts w:ascii="Times New Roman" w:hAnsi="Times New Roman" w:cs="Times New Roman"/>
          <w:sz w:val="24"/>
          <w:szCs w:val="24"/>
          <w:lang w:val="en-US"/>
        </w:rPr>
        <w:t xml:space="preserve">: Retrospective cohort study based on adult treatment records from the Chilean National </w:t>
      </w:r>
      <w:ins w:id="65" w:author="Mariel Mateo" w:date="2024-06-25T14:53:00Z" w16du:dateUtc="2024-06-25T04:53:00Z">
        <w:r w:rsidR="009F17AD">
          <w:rPr>
            <w:rFonts w:ascii="Times New Roman" w:hAnsi="Times New Roman" w:cs="Times New Roman"/>
            <w:sz w:val="24"/>
            <w:szCs w:val="24"/>
            <w:lang w:val="en-US"/>
          </w:rPr>
          <w:t xml:space="preserve">Substance Use Agency </w:t>
        </w:r>
      </w:ins>
      <w:del w:id="66" w:author="Mariel Mateo" w:date="2024-06-25T14:53:00Z" w16du:dateUtc="2024-06-25T04:53:00Z">
        <w:r w:rsidRPr="00090B7C" w:rsidDel="009F17AD">
          <w:rPr>
            <w:rFonts w:ascii="Times New Roman" w:hAnsi="Times New Roman" w:cs="Times New Roman"/>
            <w:sz w:val="24"/>
            <w:szCs w:val="24"/>
            <w:lang w:val="en-US"/>
          </w:rPr>
          <w:delText xml:space="preserve">Service for the Prevention and Rehabilitation of Drug and Alcohol Use (SENDA) </w:delText>
        </w:r>
      </w:del>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del w:id="67" w:author="Andrés González Santa Cruz" w:date="2024-06-25T15:02:00Z" w16du:dateUtc="2024-06-25T19:02:00Z">
        <w:r w:rsidRPr="00090B7C" w:rsidDel="00AF1EB1">
          <w:rPr>
            <w:rFonts w:ascii="Times New Roman" w:hAnsi="Times New Roman" w:cs="Times New Roman"/>
            <w:sz w:val="24"/>
            <w:szCs w:val="24"/>
            <w:lang w:val="en-US"/>
          </w:rPr>
          <w:delText>Substance use treatment (</w:delText>
        </w:r>
      </w:del>
      <w:r w:rsidRPr="00090B7C">
        <w:rPr>
          <w:rFonts w:ascii="Times New Roman" w:hAnsi="Times New Roman" w:cs="Times New Roman"/>
          <w:sz w:val="24"/>
          <w:szCs w:val="24"/>
          <w:lang w:val="en-US"/>
        </w:rPr>
        <w:t>SUT</w:t>
      </w:r>
      <w:del w:id="68" w:author="Andrés González Santa Cruz" w:date="2024-06-25T15:02:00Z" w16du:dateUtc="2024-06-25T19:02:00Z">
        <w:r w:rsidRPr="00090B7C" w:rsidDel="00AF1EB1">
          <w:rPr>
            <w:rFonts w:ascii="Times New Roman" w:hAnsi="Times New Roman" w:cs="Times New Roman"/>
            <w:sz w:val="24"/>
            <w:szCs w:val="24"/>
            <w:lang w:val="en-US"/>
          </w:rPr>
          <w:delText>)</w:delText>
        </w:r>
      </w:del>
      <w:r w:rsidRPr="00090B7C">
        <w:rPr>
          <w:rFonts w:ascii="Times New Roman" w:hAnsi="Times New Roman" w:cs="Times New Roman"/>
          <w:sz w:val="24"/>
          <w:szCs w:val="24"/>
          <w:lang w:val="en-US"/>
        </w:rPr>
        <w:t xml:space="preserve"> is available at no cost through Chile’s publicly funded healthcare and is provided in ambulatory and residential modalities in public and private centers.</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with multiple treatment episodes were analyzed from the 70,854 individuals who received their first SUT between 2010 and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ins w:id="69" w:author="Andrés González Santa Cruz" w:date="2024-06-26T14:43:00Z" w16du:dateUtc="2024-06-26T18:43:00Z">
        <w:r w:rsidR="00C53F05">
          <w:rPr>
            <w:rFonts w:ascii="Times New Roman" w:hAnsi="Times New Roman" w:cs="Times New Roman"/>
            <w:sz w:val="24"/>
            <w:szCs w:val="24"/>
            <w:lang w:val="en-US"/>
          </w:rPr>
          <w:t>-</w:t>
        </w:r>
      </w:ins>
      <w:r w:rsidRPr="00090B7C">
        <w:rPr>
          <w:rFonts w:ascii="Times New Roman" w:hAnsi="Times New Roman" w:cs="Times New Roman"/>
          <w:sz w:val="24"/>
          <w:szCs w:val="24"/>
          <w:lang w:val="en-US"/>
        </w:rPr>
        <w:t>completed. Primary outcomes focused on treatment non</w:t>
      </w:r>
      <w:ins w:id="70" w:author="Mariel Mateo" w:date="2024-06-25T14:39:00Z" w16du:dateUtc="2024-06-25T04:39: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completion.</w:t>
      </w:r>
      <w:r w:rsidR="00373382" w:rsidRPr="00373382">
        <w:rPr>
          <w:rFonts w:ascii="Arial" w:hAnsi="Arial" w:cs="Arial"/>
          <w:color w:val="222222"/>
          <w:shd w:val="clear" w:color="auto" w:fill="FFFFFF"/>
        </w:rPr>
        <w:t xml:space="preserve"> </w:t>
      </w:r>
      <w:r w:rsidR="00373382" w:rsidRPr="00373382">
        <w:rPr>
          <w:rFonts w:ascii="Times New Roman" w:hAnsi="Times New Roman" w:cs="Times New Roman"/>
          <w:sz w:val="24"/>
          <w:szCs w:val="24"/>
          <w:highlight w:val="yellow"/>
        </w:rPr>
        <w:t xml:space="preserve">We used </w:t>
      </w:r>
      <w:r w:rsidR="00373382" w:rsidRPr="00373382">
        <w:rPr>
          <w:rFonts w:ascii="Times New Roman" w:hAnsi="Times New Roman" w:cs="Times New Roman"/>
          <w:sz w:val="24"/>
          <w:szCs w:val="24"/>
          <w:highlight w:val="yellow"/>
        </w:rPr>
        <w:t xml:space="preserve">Poisson </w:t>
      </w:r>
      <w:r w:rsidR="00373382" w:rsidRPr="00373382">
        <w:rPr>
          <w:rFonts w:ascii="Times New Roman" w:hAnsi="Times New Roman" w:cs="Times New Roman"/>
          <w:sz w:val="24"/>
          <w:szCs w:val="24"/>
          <w:highlight w:val="yellow"/>
        </w:rPr>
        <w:t xml:space="preserve">general estimating equations controlling for </w:t>
      </w:r>
      <w:r w:rsidR="00373382" w:rsidRPr="00373382">
        <w:rPr>
          <w:rFonts w:ascii="Times New Roman" w:hAnsi="Times New Roman" w:cs="Times New Roman"/>
          <w:sz w:val="24"/>
          <w:szCs w:val="24"/>
          <w:highlight w:val="yellow"/>
        </w:rPr>
        <w:t>several covariates of each patient</w:t>
      </w:r>
      <w:r w:rsidR="00373382">
        <w:rPr>
          <w:rFonts w:ascii="Times New Roman" w:hAnsi="Times New Roman" w:cs="Times New Roman"/>
          <w:sz w:val="24"/>
          <w:szCs w:val="24"/>
          <w:highlight w:val="yellow"/>
        </w:rPr>
        <w:t xml:space="preserve"> to measure the relative risk (RR) </w:t>
      </w:r>
      <w:ins w:id="71" w:author="Andrés González Santa Cruz" w:date="2024-06-27T11:31:00Z" w16du:dateUtc="2024-06-27T15:31:00Z">
        <w:r w:rsidR="00324CFC">
          <w:rPr>
            <w:rFonts w:ascii="Times New Roman" w:hAnsi="Times New Roman" w:cs="Times New Roman"/>
            <w:sz w:val="24"/>
            <w:szCs w:val="24"/>
            <w:highlight w:val="yellow"/>
          </w:rPr>
          <w:t xml:space="preserve">and 95% confidence intervals (95% CI) </w:t>
        </w:r>
      </w:ins>
      <w:r w:rsidR="00373382">
        <w:rPr>
          <w:rFonts w:ascii="Times New Roman" w:hAnsi="Times New Roman" w:cs="Times New Roman"/>
          <w:sz w:val="24"/>
          <w:szCs w:val="24"/>
          <w:highlight w:val="yellow"/>
        </w:rPr>
        <w:t>of non-completion by reporting PSU</w:t>
      </w:r>
      <w:r w:rsidR="00373382" w:rsidRPr="00373382">
        <w:rPr>
          <w:rFonts w:ascii="Times New Roman" w:hAnsi="Times New Roman" w:cs="Times New Roman"/>
          <w:sz w:val="24"/>
          <w:szCs w:val="24"/>
          <w:highlight w:val="yellow"/>
        </w:rPr>
        <w:t>.</w:t>
      </w:r>
      <w:ins w:id="72" w:author="Andrés González Santa Cruz" w:date="2024-06-27T11:18:00Z" w16du:dateUtc="2024-06-27T15:18:00Z">
        <w:r w:rsidR="00C92025">
          <w:rPr>
            <w:rFonts w:ascii="Times New Roman" w:hAnsi="Times New Roman" w:cs="Times New Roman"/>
            <w:sz w:val="24"/>
            <w:szCs w:val="24"/>
          </w:rPr>
          <w:t xml:space="preserve"> Sensitivity analyses </w:t>
        </w:r>
      </w:ins>
      <w:ins w:id="73" w:author="Andrés González Santa Cruz" w:date="2024-06-27T11:19:00Z" w16du:dateUtc="2024-06-27T15:19:00Z">
        <w:r w:rsidR="00C92025">
          <w:rPr>
            <w:rFonts w:ascii="Times New Roman" w:hAnsi="Times New Roman" w:cs="Times New Roman"/>
            <w:sz w:val="24"/>
            <w:szCs w:val="24"/>
          </w:rPr>
          <w:t xml:space="preserve">used </w:t>
        </w:r>
        <w:r w:rsidR="00C92025">
          <w:rPr>
            <w:rFonts w:ascii="Times New Roman" w:hAnsi="Times New Roman" w:cs="Times New Roman"/>
            <w:sz w:val="24"/>
            <w:szCs w:val="24"/>
            <w:highlight w:val="yellow"/>
          </w:rPr>
          <w:t>also</w:t>
        </w:r>
        <w:r w:rsidR="00C92025" w:rsidRPr="00373382">
          <w:rPr>
            <w:rFonts w:ascii="Times New Roman" w:hAnsi="Times New Roman" w:cs="Times New Roman"/>
            <w:sz w:val="24"/>
            <w:szCs w:val="24"/>
            <w:highlight w:val="yellow"/>
          </w:rPr>
          <w:t xml:space="preserve"> weight</w:t>
        </w:r>
        <w:r w:rsidR="00C92025">
          <w:rPr>
            <w:rFonts w:ascii="Times New Roman" w:hAnsi="Times New Roman" w:cs="Times New Roman"/>
            <w:sz w:val="24"/>
            <w:szCs w:val="24"/>
            <w:highlight w:val="yellow"/>
          </w:rPr>
          <w:t>ed</w:t>
        </w:r>
        <w:r w:rsidR="00C92025" w:rsidRPr="00373382">
          <w:rPr>
            <w:rFonts w:ascii="Times New Roman" w:hAnsi="Times New Roman" w:cs="Times New Roman"/>
            <w:sz w:val="24"/>
            <w:szCs w:val="24"/>
            <w:highlight w:val="yellow"/>
          </w:rPr>
          <w:t xml:space="preserve"> for the inverse intensity of treatments</w:t>
        </w:r>
        <w:r w:rsidR="00C92025">
          <w:rPr>
            <w:rFonts w:ascii="Times New Roman" w:hAnsi="Times New Roman" w:cs="Times New Roman"/>
            <w:sz w:val="24"/>
            <w:szCs w:val="24"/>
          </w:rPr>
          <w:t>.</w:t>
        </w:r>
      </w:ins>
    </w:p>
    <w:p w14:paraId="3929C0F7" w14:textId="09F64F36" w:rsidR="00090B7C" w:rsidRPr="00090B7C" w:rsidRDefault="00090B7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74"/>
      <w:commentRangeStart w:id="75"/>
      <w:r w:rsidRPr="00090B7C">
        <w:rPr>
          <w:rFonts w:ascii="Times New Roman" w:hAnsi="Times New Roman" w:cs="Times New Roman"/>
          <w:sz w:val="24"/>
          <w:szCs w:val="24"/>
          <w:lang w:val="en-US"/>
        </w:rPr>
        <w:t>The risk of non</w:t>
      </w:r>
      <w:ins w:id="76" w:author="Mariel Mateo" w:date="2024-06-25T14:39:00Z" w16du:dateUtc="2024-06-25T04:39: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completion was significantly higher in intensive ambulatory settings for the general population</w:t>
      </w:r>
      <w:ins w:id="77" w:author="Andrés González Santa Cruz" w:date="2024-06-27T11:30:00Z" w16du:dateUtc="2024-06-27T15:30:00Z">
        <w:r w:rsidR="00324CFC">
          <w:rPr>
            <w:rFonts w:ascii="Times New Roman" w:hAnsi="Times New Roman" w:cs="Times New Roman"/>
            <w:sz w:val="24"/>
            <w:szCs w:val="24"/>
            <w:lang w:val="en-US"/>
          </w:rPr>
          <w:t xml:space="preserve"> (RR 1</w:t>
        </w:r>
      </w:ins>
      <w:ins w:id="78" w:author="Andrés González Santa Cruz" w:date="2024-06-27T11:32:00Z" w16du:dateUtc="2024-06-27T15:32:00Z">
        <w:r w:rsidR="00324CFC">
          <w:rPr>
            <w:rFonts w:ascii="Times New Roman" w:hAnsi="Times New Roman" w:cs="Times New Roman"/>
            <w:sz w:val="24"/>
            <w:szCs w:val="24"/>
            <w:lang w:val="en-US"/>
          </w:rPr>
          <w:t>.</w:t>
        </w:r>
      </w:ins>
      <w:ins w:id="79" w:author="Andrés González Santa Cruz" w:date="2024-06-27T11:30:00Z" w16du:dateUtc="2024-06-27T15:30:00Z">
        <w:r w:rsidR="00324CFC">
          <w:rPr>
            <w:rFonts w:ascii="Times New Roman" w:hAnsi="Times New Roman" w:cs="Times New Roman"/>
            <w:sz w:val="24"/>
            <w:szCs w:val="24"/>
            <w:lang w:val="en-US"/>
          </w:rPr>
          <w:t>04</w:t>
        </w:r>
      </w:ins>
      <w:ins w:id="80" w:author="Andrés González Santa Cruz" w:date="2024-06-27T11:31:00Z" w16du:dateUtc="2024-06-27T15:31:00Z">
        <w:r w:rsidR="00324CFC">
          <w:rPr>
            <w:rFonts w:ascii="Times New Roman" w:hAnsi="Times New Roman" w:cs="Times New Roman"/>
            <w:sz w:val="24"/>
            <w:szCs w:val="24"/>
            <w:lang w:val="en-US"/>
          </w:rPr>
          <w:t xml:space="preserve"> </w:t>
        </w:r>
        <w:r w:rsidR="00324CFC" w:rsidRPr="00324CFC">
          <w:rPr>
            <w:rFonts w:ascii="Times New Roman" w:hAnsi="Times New Roman" w:cs="Times New Roman"/>
            <w:sz w:val="24"/>
            <w:szCs w:val="24"/>
            <w:lang w:val="en-US"/>
          </w:rPr>
          <w:t>95% CI</w:t>
        </w:r>
        <w:r w:rsidR="00324CFC">
          <w:rPr>
            <w:rFonts w:ascii="Times New Roman" w:hAnsi="Times New Roman" w:cs="Times New Roman"/>
            <w:sz w:val="24"/>
            <w:szCs w:val="24"/>
            <w:lang w:val="en-US"/>
          </w:rPr>
          <w:t xml:space="preserve"> 1.01</w:t>
        </w:r>
      </w:ins>
      <w:ins w:id="81" w:author="Andrés González Santa Cruz" w:date="2024-06-27T11:32:00Z" w16du:dateUtc="2024-06-27T15:32:00Z">
        <w:r w:rsidR="00324CFC">
          <w:rPr>
            <w:rFonts w:ascii="Times New Roman" w:hAnsi="Times New Roman" w:cs="Times New Roman"/>
            <w:sz w:val="24"/>
            <w:szCs w:val="24"/>
            <w:lang w:val="en-US"/>
          </w:rPr>
          <w:t>-</w:t>
        </w:r>
      </w:ins>
      <w:ins w:id="82" w:author="Andrés González Santa Cruz" w:date="2024-06-27T11:31:00Z" w16du:dateUtc="2024-06-27T15:31:00Z">
        <w:r w:rsidR="00324CFC">
          <w:rPr>
            <w:rFonts w:ascii="Times New Roman" w:hAnsi="Times New Roman" w:cs="Times New Roman"/>
            <w:sz w:val="24"/>
            <w:szCs w:val="24"/>
            <w:lang w:val="en-US"/>
          </w:rPr>
          <w:t>1.07</w:t>
        </w:r>
      </w:ins>
      <w:ins w:id="83" w:author="Andrés González Santa Cruz" w:date="2024-06-27T11:30:00Z" w16du:dateUtc="2024-06-27T15:30:00Z">
        <w:r w:rsidR="00324CFC">
          <w:rPr>
            <w:rFonts w:ascii="Times New Roman" w:hAnsi="Times New Roman" w:cs="Times New Roman"/>
            <w:sz w:val="24"/>
            <w:szCs w:val="24"/>
            <w:lang w:val="en-US"/>
          </w:rPr>
          <w:t>)</w:t>
        </w:r>
      </w:ins>
      <w:r w:rsidRPr="00090B7C">
        <w:rPr>
          <w:rFonts w:ascii="Times New Roman" w:hAnsi="Times New Roman" w:cs="Times New Roman"/>
          <w:sz w:val="24"/>
          <w:szCs w:val="24"/>
          <w:lang w:val="en-US"/>
        </w:rPr>
        <w:t xml:space="preserve"> and in women-only residential </w:t>
      </w:r>
      <w:r w:rsidRPr="00090B7C">
        <w:rPr>
          <w:rFonts w:ascii="Times New Roman" w:hAnsi="Times New Roman" w:cs="Times New Roman"/>
          <w:sz w:val="24"/>
          <w:szCs w:val="24"/>
          <w:lang w:val="en-US"/>
        </w:rPr>
        <w:lastRenderedPageBreak/>
        <w:t>settings</w:t>
      </w:r>
      <w:r w:rsidR="00373382">
        <w:rPr>
          <w:rFonts w:ascii="Times New Roman" w:hAnsi="Times New Roman" w:cs="Times New Roman"/>
          <w:sz w:val="24"/>
          <w:szCs w:val="24"/>
          <w:lang w:val="en-US"/>
        </w:rPr>
        <w:t xml:space="preserve"> (</w:t>
      </w:r>
      <w:ins w:id="84" w:author="Andrés González Santa Cruz" w:date="2024-06-27T11:32:00Z" w16du:dateUtc="2024-06-27T15:32:00Z">
        <w:r w:rsidR="00324CFC">
          <w:rPr>
            <w:rFonts w:ascii="Times New Roman" w:hAnsi="Times New Roman" w:cs="Times New Roman"/>
            <w:sz w:val="24"/>
            <w:szCs w:val="24"/>
            <w:lang w:val="en-US"/>
          </w:rPr>
          <w:t>RR 1.14 95% CI 1.06-1.23</w:t>
        </w:r>
      </w:ins>
      <w:r w:rsidR="00373382">
        <w:rPr>
          <w:rFonts w:ascii="Times New Roman" w:hAnsi="Times New Roman" w:cs="Times New Roman"/>
          <w:sz w:val="24"/>
          <w:szCs w:val="24"/>
          <w:lang w:val="en-US"/>
        </w:rPr>
        <w:t>)</w:t>
      </w:r>
      <w:del w:id="85" w:author="Andrés González Santa Cruz" w:date="2024-06-27T11:32:00Z" w16du:dateUtc="2024-06-27T15:32:00Z">
        <w:r w:rsidRPr="00090B7C" w:rsidDel="00324CFC">
          <w:rPr>
            <w:rFonts w:ascii="Times New Roman" w:hAnsi="Times New Roman" w:cs="Times New Roman"/>
            <w:sz w:val="24"/>
            <w:szCs w:val="24"/>
            <w:lang w:val="en-US"/>
          </w:rPr>
          <w:delText xml:space="preserve"> 1.04 and </w:delText>
        </w:r>
        <w:commentRangeStart w:id="86"/>
        <w:commentRangeStart w:id="87"/>
        <w:r w:rsidRPr="00090B7C" w:rsidDel="00324CFC">
          <w:rPr>
            <w:rFonts w:ascii="Times New Roman" w:hAnsi="Times New Roman" w:cs="Times New Roman"/>
            <w:sz w:val="24"/>
            <w:szCs w:val="24"/>
            <w:lang w:val="en-US"/>
          </w:rPr>
          <w:delText>1</w:delText>
        </w:r>
        <w:commentRangeEnd w:id="86"/>
        <w:r w:rsidR="007F797E" w:rsidDel="00324CFC">
          <w:rPr>
            <w:rStyle w:val="Refdecomentario"/>
            <w:rFonts w:ascii="Times New Roman" w:eastAsia="Times New Roman" w:hAnsi="Times New Roman" w:cs="Times New Roman"/>
            <w:lang w:val="en-US" w:eastAsia="es-CL"/>
          </w:rPr>
          <w:commentReference w:id="86"/>
        </w:r>
        <w:commentRangeEnd w:id="87"/>
        <w:r w:rsidR="007F797E" w:rsidDel="00324CFC">
          <w:rPr>
            <w:rStyle w:val="Refdecomentario"/>
            <w:rFonts w:ascii="Times New Roman" w:eastAsia="Times New Roman" w:hAnsi="Times New Roman" w:cs="Times New Roman"/>
            <w:lang w:val="en-US" w:eastAsia="es-CL"/>
          </w:rPr>
          <w:commentReference w:id="87"/>
        </w:r>
        <w:r w:rsidRPr="00090B7C" w:rsidDel="00324CFC">
          <w:rPr>
            <w:rFonts w:ascii="Times New Roman" w:hAnsi="Times New Roman" w:cs="Times New Roman"/>
            <w:sz w:val="24"/>
            <w:szCs w:val="24"/>
            <w:lang w:val="en-US"/>
          </w:rPr>
          <w:delText>.13-1.15, respectively</w:delText>
        </w:r>
      </w:del>
      <w:r w:rsidRPr="00090B7C">
        <w:rPr>
          <w:rFonts w:ascii="Times New Roman" w:hAnsi="Times New Roman" w:cs="Times New Roman"/>
          <w:sz w:val="24"/>
          <w:szCs w:val="24"/>
          <w:lang w:val="en-US"/>
        </w:rPr>
        <w:t>. However, the association was not consistent across all treatment settings</w:t>
      </w:r>
      <w:ins w:id="88" w:author="Andrés González Santa Cruz" w:date="2024-06-27T11:33:00Z" w16du:dateUtc="2024-06-27T15:33:00Z">
        <w:r w:rsidR="00ED0D98">
          <w:rPr>
            <w:rFonts w:ascii="Times New Roman" w:hAnsi="Times New Roman" w:cs="Times New Roman"/>
            <w:sz w:val="24"/>
            <w:szCs w:val="24"/>
            <w:lang w:val="en-US"/>
          </w:rPr>
          <w:t xml:space="preserve"> (</w:t>
        </w:r>
      </w:ins>
      <w:ins w:id="89" w:author="Andrés González Santa Cruz" w:date="2024-06-27T11:34:00Z" w16du:dateUtc="2024-06-27T15:34:00Z">
        <w:r w:rsidR="00ED0D98" w:rsidRPr="00ED0D98">
          <w:rPr>
            <w:rFonts w:ascii="Times New Roman" w:hAnsi="Times New Roman" w:cs="Times New Roman"/>
            <w:sz w:val="24"/>
            <w:szCs w:val="24"/>
            <w:lang w:val="en-US"/>
          </w:rPr>
          <w:t>Cochran's Q = 14.49, p-value = 0.0059</w:t>
        </w:r>
      </w:ins>
      <w:ins w:id="90" w:author="Andrés González Santa Cruz" w:date="2024-06-27T11:33:00Z" w16du:dateUtc="2024-06-27T15:33:00Z">
        <w:r w:rsidR="00ED0D98">
          <w:rPr>
            <w:rFonts w:ascii="Times New Roman" w:hAnsi="Times New Roman" w:cs="Times New Roman"/>
            <w:sz w:val="24"/>
            <w:szCs w:val="24"/>
            <w:lang w:val="en-US"/>
          </w:rPr>
          <w:t>)</w:t>
        </w:r>
      </w:ins>
      <w:r w:rsidRPr="00090B7C">
        <w:rPr>
          <w:rFonts w:ascii="Times New Roman" w:hAnsi="Times New Roman" w:cs="Times New Roman"/>
          <w:sz w:val="24"/>
          <w:szCs w:val="24"/>
          <w:lang w:val="en-US"/>
        </w:rPr>
        <w:t>.</w:t>
      </w:r>
      <w:commentRangeEnd w:id="74"/>
      <w:r w:rsidR="00146332">
        <w:rPr>
          <w:rStyle w:val="Refdecomentario"/>
          <w:rFonts w:ascii="Times New Roman" w:eastAsia="Times New Roman" w:hAnsi="Times New Roman" w:cs="Times New Roman"/>
          <w:lang w:val="en-US" w:eastAsia="es-CL"/>
        </w:rPr>
        <w:commentReference w:id="74"/>
      </w:r>
      <w:commentRangeEnd w:id="75"/>
      <w:r w:rsidR="00AF1EB1">
        <w:rPr>
          <w:rStyle w:val="Refdecomentario"/>
          <w:rFonts w:ascii="Times New Roman" w:eastAsia="Times New Roman" w:hAnsi="Times New Roman" w:cs="Times New Roman"/>
          <w:lang w:val="en-US" w:eastAsia="es-CL"/>
        </w:rPr>
        <w:commentReference w:id="75"/>
      </w:r>
      <w:ins w:id="91" w:author="Andrés González Santa Cruz" w:date="2024-06-27T11:55:00Z" w16du:dateUtc="2024-06-27T15:55:00Z">
        <w:r w:rsidR="005C5ACB">
          <w:rPr>
            <w:rFonts w:ascii="Times New Roman" w:hAnsi="Times New Roman" w:cs="Times New Roman"/>
            <w:sz w:val="24"/>
            <w:szCs w:val="24"/>
            <w:lang w:val="en-US"/>
          </w:rPr>
          <w:t xml:space="preserve"> Sensitivity analyses </w:t>
        </w:r>
      </w:ins>
      <w:ins w:id="92" w:author="Andrés González Santa Cruz" w:date="2024-06-27T13:58:00Z" w16du:dateUtc="2024-06-27T17:58:00Z">
        <w:r w:rsidR="002D289A">
          <w:rPr>
            <w:rFonts w:ascii="Times New Roman" w:hAnsi="Times New Roman" w:cs="Times New Roman"/>
            <w:sz w:val="24"/>
            <w:szCs w:val="24"/>
            <w:lang w:val="en-US"/>
          </w:rPr>
          <w:t>were consistent with main resu</w:t>
        </w:r>
      </w:ins>
      <w:ins w:id="93" w:author="Andrés González Santa Cruz" w:date="2024-06-27T13:59:00Z" w16du:dateUtc="2024-06-27T17:59:00Z">
        <w:r w:rsidR="002D289A">
          <w:rPr>
            <w:rFonts w:ascii="Times New Roman" w:hAnsi="Times New Roman" w:cs="Times New Roman"/>
            <w:sz w:val="24"/>
            <w:szCs w:val="24"/>
            <w:lang w:val="en-US"/>
          </w:rPr>
          <w:t>lts in direction and magnitude.</w:t>
        </w:r>
      </w:ins>
    </w:p>
    <w:p w14:paraId="11DC91A9" w14:textId="123D8A0E" w:rsidR="00090B7C" w:rsidRPr="00090B7C" w:rsidRDefault="00090B7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t>Conclusions</w:t>
      </w:r>
      <w:r w:rsidRPr="00090B7C">
        <w:rPr>
          <w:rFonts w:ascii="Times New Roman" w:hAnsi="Times New Roman" w:cs="Times New Roman"/>
          <w:sz w:val="24"/>
          <w:szCs w:val="24"/>
          <w:lang w:val="en-US"/>
        </w:rPr>
        <w:t>: Reporting PSU at admission was modestly associated with a higher risk of treatment non</w:t>
      </w:r>
      <w:ins w:id="94" w:author="Mariel Mateo" w:date="2024-06-25T14:41:00Z" w16du:dateUtc="2024-06-25T04:41: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 xml:space="preserve">completion. The analysis, adjusted for various covariates and accounting for irregular observation times, highlights the association between PSU reporting and treatment outcomes in specific settings. This underscores the necessity for </w:t>
      </w:r>
      <w:del w:id="95" w:author="Mariel Mateo" w:date="2024-06-25T14:58:00Z" w16du:dateUtc="2024-06-25T04:58:00Z">
        <w:r w:rsidRPr="00090B7C" w:rsidDel="003848C0">
          <w:rPr>
            <w:rFonts w:ascii="Times New Roman" w:hAnsi="Times New Roman" w:cs="Times New Roman"/>
            <w:sz w:val="24"/>
            <w:szCs w:val="24"/>
            <w:lang w:val="en-US"/>
          </w:rPr>
          <w:delText xml:space="preserve">strategies </w:delText>
        </w:r>
      </w:del>
      <w:ins w:id="96" w:author="Mariel Mateo" w:date="2024-06-25T14:58:00Z" w16du:dateUtc="2024-06-25T04:58:00Z">
        <w:r w:rsidR="003848C0">
          <w:rPr>
            <w:rFonts w:ascii="Times New Roman" w:hAnsi="Times New Roman" w:cs="Times New Roman"/>
            <w:sz w:val="24"/>
            <w:szCs w:val="24"/>
            <w:lang w:val="en-US"/>
          </w:rPr>
          <w:t>personalized interventions</w:t>
        </w:r>
        <w:r w:rsidR="003848C0" w:rsidRPr="00090B7C">
          <w:rPr>
            <w:rFonts w:ascii="Times New Roman" w:hAnsi="Times New Roman" w:cs="Times New Roman"/>
            <w:sz w:val="24"/>
            <w:szCs w:val="24"/>
            <w:lang w:val="en-US"/>
          </w:rPr>
          <w:t xml:space="preserve"> </w:t>
        </w:r>
      </w:ins>
      <w:r w:rsidRPr="00090B7C">
        <w:rPr>
          <w:rFonts w:ascii="Times New Roman" w:hAnsi="Times New Roman" w:cs="Times New Roman"/>
          <w:sz w:val="24"/>
          <w:szCs w:val="24"/>
          <w:lang w:val="en-US"/>
        </w:rPr>
        <w:t xml:space="preserve">tailored to </w:t>
      </w:r>
      <w:del w:id="97" w:author="Mariel Mateo" w:date="2024-06-25T14:55:00Z" w16du:dateUtc="2024-06-25T04:55:00Z">
        <w:r w:rsidRPr="00090B7C" w:rsidDel="003848C0">
          <w:rPr>
            <w:rFonts w:ascii="Times New Roman" w:hAnsi="Times New Roman" w:cs="Times New Roman"/>
            <w:sz w:val="24"/>
            <w:szCs w:val="24"/>
            <w:lang w:val="en-US"/>
          </w:rPr>
          <w:delText xml:space="preserve">different </w:delText>
        </w:r>
      </w:del>
      <w:r w:rsidRPr="00090B7C">
        <w:rPr>
          <w:rFonts w:ascii="Times New Roman" w:hAnsi="Times New Roman" w:cs="Times New Roman"/>
          <w:sz w:val="24"/>
          <w:szCs w:val="24"/>
          <w:lang w:val="en-US"/>
        </w:rPr>
        <w:t xml:space="preserve">patients </w:t>
      </w:r>
      <w:del w:id="98" w:author="Mariel Mateo" w:date="2024-06-25T14:55:00Z" w16du:dateUtc="2024-06-25T04:55:00Z">
        <w:r w:rsidRPr="00090B7C" w:rsidDel="003848C0">
          <w:rPr>
            <w:rFonts w:ascii="Times New Roman" w:hAnsi="Times New Roman" w:cs="Times New Roman"/>
            <w:sz w:val="24"/>
            <w:szCs w:val="24"/>
            <w:lang w:val="en-US"/>
          </w:rPr>
          <w:delText>in treatment settings</w:delText>
        </w:r>
      </w:del>
      <w:ins w:id="99" w:author="Mariel Mateo" w:date="2024-06-25T14:56:00Z" w16du:dateUtc="2024-06-25T04:56:00Z">
        <w:r w:rsidR="003848C0">
          <w:rPr>
            <w:rFonts w:ascii="Times New Roman" w:hAnsi="Times New Roman" w:cs="Times New Roman"/>
            <w:sz w:val="24"/>
            <w:szCs w:val="24"/>
            <w:lang w:val="en-US"/>
          </w:rPr>
          <w:t xml:space="preserve"> </w:t>
        </w:r>
      </w:ins>
      <w:ins w:id="100" w:author="Mariel Mateo" w:date="2024-06-25T14:55:00Z" w16du:dateUtc="2024-06-25T04:55:00Z">
        <w:r w:rsidR="003848C0">
          <w:rPr>
            <w:rFonts w:ascii="Times New Roman" w:hAnsi="Times New Roman" w:cs="Times New Roman"/>
            <w:sz w:val="24"/>
            <w:szCs w:val="24"/>
            <w:lang w:val="en-US"/>
          </w:rPr>
          <w:t>reporting PSU</w:t>
        </w:r>
      </w:ins>
      <w:ins w:id="101" w:author="Mariel Mateo" w:date="2024-06-25T14:56:00Z" w16du:dateUtc="2024-06-25T04:56:00Z">
        <w:r w:rsidR="003848C0">
          <w:rPr>
            <w:rFonts w:ascii="Times New Roman" w:hAnsi="Times New Roman" w:cs="Times New Roman"/>
            <w:sz w:val="24"/>
            <w:szCs w:val="24"/>
            <w:lang w:val="en-US"/>
          </w:rPr>
          <w:t xml:space="preserve"> in </w:t>
        </w:r>
      </w:ins>
      <w:ins w:id="102" w:author="Mariel Mateo" w:date="2024-06-25T14:57:00Z" w16du:dateUtc="2024-06-25T04:57:00Z">
        <w:r w:rsidR="003848C0">
          <w:rPr>
            <w:rFonts w:ascii="Times New Roman" w:hAnsi="Times New Roman" w:cs="Times New Roman"/>
            <w:sz w:val="24"/>
            <w:szCs w:val="24"/>
            <w:lang w:val="en-US"/>
          </w:rPr>
          <w:t>different treatment settings</w:t>
        </w:r>
      </w:ins>
      <w:del w:id="103" w:author="Mariel Mateo" w:date="2024-06-25T14:58:00Z" w16du:dateUtc="2024-06-25T04:58:00Z">
        <w:r w:rsidRPr="00090B7C" w:rsidDel="003848C0">
          <w:rPr>
            <w:rFonts w:ascii="Times New Roman" w:hAnsi="Times New Roman" w:cs="Times New Roman"/>
            <w:sz w:val="24"/>
            <w:szCs w:val="24"/>
            <w:lang w:val="en-US"/>
          </w:rPr>
          <w:delText>, paving the way for more personalized interventions</w:delText>
        </w:r>
      </w:del>
      <w:r w:rsidRPr="00090B7C">
        <w:rPr>
          <w:rFonts w:ascii="Times New Roman" w:hAnsi="Times New Roman" w:cs="Times New Roman"/>
          <w:sz w:val="24"/>
          <w:szCs w:val="24"/>
          <w:lang w:val="en-US"/>
        </w:rPr>
        <w:t>.</w:t>
      </w:r>
    </w:p>
    <w:p w14:paraId="23D96741" w14:textId="4EDB9EB0" w:rsidR="00C92025" w:rsidRDefault="00090B7C" w:rsidP="00F80ACA">
      <w:pPr>
        <w:spacing w:line="480" w:lineRule="auto"/>
        <w:rPr>
          <w:ins w:id="104" w:author="Andrés González Santa Cruz" w:date="2024-06-27T12:10:00Z" w16du:dateUtc="2024-06-27T16:10:00Z"/>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sidR="003848C0">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ins w:id="105" w:author="Mariel Mateo" w:date="2024-06-25T14:42:00Z" w16du:dateUtc="2024-06-25T04:42: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 xml:space="preserve">completion; </w:t>
      </w:r>
      <w:r w:rsidR="003848C0">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0E906D65" w14:textId="029D18A6" w:rsidR="00FE4FE6" w:rsidRDefault="00DA7BB6" w:rsidP="00F80ACA">
      <w:pPr>
        <w:spacing w:line="480" w:lineRule="auto"/>
        <w:rPr>
          <w:ins w:id="106" w:author="Andrés González Santa Cruz" w:date="2024-06-27T14:00:00Z" w16du:dateUtc="2024-06-27T18:00:00Z"/>
          <w:rFonts w:ascii="Times New Roman" w:hAnsi="Times New Roman" w:cs="Times New Roman"/>
          <w:sz w:val="24"/>
          <w:szCs w:val="24"/>
          <w:lang w:val="en-US"/>
        </w:rPr>
      </w:pPr>
      <w:ins w:id="107" w:author="Andrés González Santa Cruz" w:date="2024-06-27T13:59:00Z" w16du:dateUtc="2024-06-27T17:59:00Z">
        <w:r>
          <w:rPr>
            <w:rFonts w:ascii="Times New Roman" w:hAnsi="Times New Roman" w:cs="Times New Roman"/>
            <w:sz w:val="24"/>
            <w:szCs w:val="24"/>
            <w:lang w:val="en-US"/>
          </w:rPr>
          <w:t>Abstrac</w:t>
        </w:r>
      </w:ins>
      <w:ins w:id="108" w:author="Andrés González Santa Cruz" w:date="2024-06-27T14:00:00Z" w16du:dateUtc="2024-06-27T18:00:00Z">
        <w:r>
          <w:rPr>
            <w:rFonts w:ascii="Times New Roman" w:hAnsi="Times New Roman" w:cs="Times New Roman"/>
            <w:sz w:val="24"/>
            <w:szCs w:val="24"/>
            <w:lang w:val="en-US"/>
          </w:rPr>
          <w:t>t w</w:t>
        </w:r>
      </w:ins>
      <w:ins w:id="109" w:author="Andrés González Santa Cruz" w:date="2024-06-27T12:10:00Z" w16du:dateUtc="2024-06-27T16:10:00Z">
        <w:r w:rsidR="00FE4FE6">
          <w:rPr>
            <w:rFonts w:ascii="Times New Roman" w:hAnsi="Times New Roman" w:cs="Times New Roman"/>
            <w:sz w:val="24"/>
            <w:szCs w:val="24"/>
            <w:lang w:val="en-US"/>
          </w:rPr>
          <w:t>ords: 34</w:t>
        </w:r>
      </w:ins>
      <w:ins w:id="110" w:author="Andrés González Santa Cruz" w:date="2024-06-27T13:59:00Z" w16du:dateUtc="2024-06-27T17:59:00Z">
        <w:r w:rsidR="00616FB3">
          <w:rPr>
            <w:rFonts w:ascii="Times New Roman" w:hAnsi="Times New Roman" w:cs="Times New Roman"/>
            <w:sz w:val="24"/>
            <w:szCs w:val="24"/>
            <w:lang w:val="en-US"/>
          </w:rPr>
          <w:t>9</w:t>
        </w:r>
      </w:ins>
      <w:ins w:id="111" w:author="Andrés González Santa Cruz" w:date="2024-06-27T12:10:00Z" w16du:dateUtc="2024-06-27T16:10:00Z">
        <w:r w:rsidR="00FE4FE6">
          <w:rPr>
            <w:rFonts w:ascii="Times New Roman" w:hAnsi="Times New Roman" w:cs="Times New Roman"/>
            <w:sz w:val="24"/>
            <w:szCs w:val="24"/>
            <w:lang w:val="en-US"/>
          </w:rPr>
          <w:t>/350.</w:t>
        </w:r>
      </w:ins>
    </w:p>
    <w:p w14:paraId="04C9BCA6" w14:textId="26ACE041" w:rsidR="00DA7BB6" w:rsidRDefault="00DA7BB6" w:rsidP="00F80ACA">
      <w:pPr>
        <w:spacing w:line="480" w:lineRule="auto"/>
        <w:rPr>
          <w:rFonts w:ascii="Times New Roman" w:hAnsi="Times New Roman" w:cs="Times New Roman"/>
          <w:sz w:val="24"/>
          <w:szCs w:val="24"/>
          <w:lang w:val="en-US"/>
        </w:rPr>
      </w:pPr>
      <w:ins w:id="112" w:author="Andrés González Santa Cruz" w:date="2024-06-27T14:00:00Z" w16du:dateUtc="2024-06-27T18:00:00Z">
        <w:r>
          <w:rPr>
            <w:rFonts w:ascii="Times New Roman" w:hAnsi="Times New Roman" w:cs="Times New Roman"/>
            <w:sz w:val="24"/>
            <w:szCs w:val="24"/>
            <w:lang w:val="en-US"/>
          </w:rPr>
          <w:t>Manuscript words: 2857</w:t>
        </w:r>
      </w:ins>
    </w:p>
    <w:p w14:paraId="21547486" w14:textId="77777777" w:rsidR="00090B7C" w:rsidRPr="00090B7C" w:rsidRDefault="00090B7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3FF83ECF" w14:textId="00167476" w:rsidR="00090B7C" w:rsidRPr="00090B7C" w:rsidRDefault="00090B7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318E55C1" w14:textId="089ED316" w:rsidR="00090B7C" w:rsidRPr="00090B7C" w:rsidRDefault="00090B7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03BACC74" w14:textId="7DF6D27C" w:rsidR="00090B7C" w:rsidRDefault="00F80ACA" w:rsidP="00F80ACA">
      <w:pPr>
        <w:spacing w:line="259" w:lineRule="auto"/>
        <w:jc w:val="left"/>
        <w:rPr>
          <w:lang w:val="en-US"/>
        </w:rPr>
        <w:pPrChange w:id="113" w:author="Andrés González Santa Cruz" w:date="2024-06-25T15:31:00Z" w16du:dateUtc="2024-06-25T19:31:00Z">
          <w:pPr/>
        </w:pPrChange>
      </w:pPr>
      <w:ins w:id="114" w:author="Andrés González Santa Cruz" w:date="2024-06-25T15:31:00Z" w16du:dateUtc="2024-06-25T19:31:00Z">
        <w:r>
          <w:rPr>
            <w:lang w:val="en-US"/>
          </w:rPr>
          <w:br w:type="page"/>
        </w:r>
      </w:ins>
    </w:p>
    <w:p w14:paraId="069C8EEE" w14:textId="425A7822" w:rsidR="00090B7C" w:rsidRPr="000F254D" w:rsidRDefault="00090B7C" w:rsidP="000F254D">
      <w:pPr>
        <w:pStyle w:val="Prrafodelista"/>
        <w:numPr>
          <w:ilvl w:val="0"/>
          <w:numId w:val="5"/>
        </w:numPr>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lastRenderedPageBreak/>
        <w:t>INTRODUCTION</w:t>
      </w:r>
    </w:p>
    <w:p w14:paraId="285245DD" w14:textId="126F3CA3" w:rsidR="00090B7C" w:rsidRPr="000F254D" w:rsidRDefault="00090B7C" w:rsidP="00B479D3">
      <w:pPr>
        <w:spacing w:line="480" w:lineRule="auto"/>
        <w:ind w:right="-2" w:firstLine="567"/>
        <w:rPr>
          <w:rFonts w:ascii="Times New Roman" w:hAnsi="Times New Roman" w:cs="Times New Roman"/>
          <w:sz w:val="24"/>
          <w:szCs w:val="24"/>
          <w:lang w:val="en-US"/>
        </w:rPr>
        <w:pPrChange w:id="115"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People with substance use disorder (SUD) tend to use more than one substance unintentionally and unnoticedly (e.g., due to unregulated and contaminated supplies) or intentionally </w:t>
      </w:r>
      <w:r w:rsidR="00BC7832">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BC7832">
        <w:rPr>
          <w:rFonts w:ascii="Times New Roman" w:hAnsi="Times New Roman" w:cs="Times New Roman"/>
          <w:sz w:val="24"/>
          <w:szCs w:val="24"/>
          <w:lang w:val="en-US"/>
        </w:rPr>
        <w:fldChar w:fldCharType="separate"/>
      </w:r>
      <w:r w:rsidR="00BC7832" w:rsidRPr="00BC7832">
        <w:rPr>
          <w:rFonts w:ascii="Times New Roman" w:hAnsi="Times New Roman" w:cs="Times New Roman"/>
          <w:sz w:val="24"/>
        </w:rPr>
        <w:t>(Bunting et al., 2023; Quek et al., 2013)</w:t>
      </w:r>
      <w:r w:rsidR="00BC7832">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related to supply (e.g., due to shortages of the main substance)</w:t>
      </w:r>
      <w:ins w:id="116" w:author="Andrés González Santa Cruz" w:date="2024-06-25T14:42:00Z" w16du:dateUtc="2024-06-25T18:42:00Z">
        <w:r w:rsidR="007F797E">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2024)","noteIndex":0},"citationItems":[{"id":630,"uris":["http://zotero.org/users/12673371/items/33RS78J4"],"itemData":{"id":630,"type":"article-journal","abstract":"BACKGROUND: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it is related to a higher mortality rate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 to substance use treatment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00BC7832"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117"/>
      <w:r w:rsidRPr="000F254D">
        <w:rPr>
          <w:rFonts w:ascii="Times New Roman" w:hAnsi="Times New Roman" w:cs="Times New Roman"/>
          <w:sz w:val="24"/>
          <w:szCs w:val="24"/>
          <w:lang w:val="en-US"/>
        </w:rPr>
        <w:t>violence</w:t>
      </w:r>
      <w:commentRangeEnd w:id="117"/>
      <w:r w:rsidR="007F797E">
        <w:rPr>
          <w:rStyle w:val="Refdecomentario"/>
          <w:rFonts w:ascii="Times New Roman" w:eastAsia="Times New Roman" w:hAnsi="Times New Roman" w:cs="Times New Roman"/>
          <w:lang w:val="en-US" w:eastAsia="es-CL"/>
        </w:rPr>
        <w:commentReference w:id="117"/>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 J. 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Over the last three decades, evidence has shown that the rate of people with PSU has significantly increased, at least in high-income countries from North America, Europe, and Australia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33248CE" w14:textId="224876D7" w:rsidR="004B17FE" w:rsidRDefault="00090B7C" w:rsidP="00B479D3">
      <w:pPr>
        <w:spacing w:line="480" w:lineRule="auto"/>
        <w:ind w:right="-2" w:firstLine="567"/>
        <w:rPr>
          <w:rFonts w:ascii="Times New Roman" w:hAnsi="Times New Roman" w:cs="Times New Roman"/>
          <w:sz w:val="24"/>
          <w:szCs w:val="24"/>
          <w:lang w:val="en-US"/>
        </w:rPr>
        <w:pPrChange w:id="118"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Despite the association between completing SUD treatment and long-term benefits, such as lower risk of readmission to treatment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2017)","noteIndex":0},"citationItems":[{"id":88,"uris":["http://zotero.org/users/12673371/items/EQFP4BP8"],"itemData":{"id":88,"type":"article-journal","container-title":"Journal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119"/>
      <w:r w:rsidRPr="000F254D">
        <w:rPr>
          <w:rFonts w:ascii="Times New Roman" w:hAnsi="Times New Roman" w:cs="Times New Roman"/>
          <w:sz w:val="24"/>
          <w:szCs w:val="24"/>
          <w:lang w:val="en-US"/>
        </w:rPr>
        <w:t>life</w:t>
      </w:r>
      <w:commentRangeEnd w:id="119"/>
      <w:r w:rsidR="00A13FCC">
        <w:rPr>
          <w:rStyle w:val="Refdecomentario"/>
          <w:rFonts w:ascii="Times New Roman" w:eastAsia="Times New Roman" w:hAnsi="Times New Roman" w:cs="Times New Roman"/>
          <w:lang w:val="en-US" w:eastAsia="es-CL"/>
        </w:rPr>
        <w:commentReference w:id="119"/>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2020)","noteIndex":0},"citationItems":[{"id":574,"uris":["http://zotero.org/users/12673371/items/B3CXCBAC"],"itemData":{"id":574,"type":"article-journal","abstract":"More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(N. G. 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because most studies have focused on individual substances in isolation and have considered a multiple substance use history as an exclusion criterion for </w:t>
      </w:r>
      <w:r w:rsidRPr="000F254D">
        <w:rPr>
          <w:rFonts w:ascii="Times New Roman" w:hAnsi="Times New Roman" w:cs="Times New Roman"/>
          <w:sz w:val="24"/>
          <w:szCs w:val="24"/>
          <w:lang w:val="en-US"/>
        </w:rPr>
        <w:lastRenderedPageBreak/>
        <w:t xml:space="preserve">clinical studies on treatment effectiveness, which raises the problem of its translatability to real health contexts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the treatment outcomes, some studies report a lower likelihood of treatment completion among people with PSU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while others f</w:t>
      </w:r>
      <w:ins w:id="120" w:author="Andrés González Santa Cruz" w:date="2024-06-25T14:45:00Z" w16du:dateUtc="2024-06-25T18:45:00Z">
        <w:r w:rsidR="00C273FE">
          <w:rPr>
            <w:rFonts w:ascii="Times New Roman" w:hAnsi="Times New Roman" w:cs="Times New Roman"/>
            <w:sz w:val="24"/>
            <w:szCs w:val="24"/>
            <w:lang w:val="en-US"/>
          </w:rPr>
          <w:t>i</w:t>
        </w:r>
      </w:ins>
      <w:del w:id="121" w:author="Andrés González Santa Cruz" w:date="2024-06-25T14:45:00Z" w16du:dateUtc="2024-06-25T18:45:00Z">
        <w:r w:rsidRPr="000F254D" w:rsidDel="00C273FE">
          <w:rPr>
            <w:rFonts w:ascii="Times New Roman" w:hAnsi="Times New Roman" w:cs="Times New Roman"/>
            <w:sz w:val="24"/>
            <w:szCs w:val="24"/>
            <w:lang w:val="en-US"/>
          </w:rPr>
          <w:delText>ou</w:delText>
        </w:r>
      </w:del>
      <w:r w:rsidRPr="000F254D">
        <w:rPr>
          <w:rFonts w:ascii="Times New Roman" w:hAnsi="Times New Roman" w:cs="Times New Roman"/>
          <w:sz w:val="24"/>
          <w:szCs w:val="24"/>
          <w:lang w:val="en-US"/>
        </w:rPr>
        <w:t xml:space="preserve">nd no association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w:instrText>
      </w:r>
      <w:r w:rsidR="00BC7832">
        <w:rPr>
          <w:rFonts w:ascii="Tahoma" w:hAnsi="Tahoma" w:cs="Tahoma"/>
          <w:sz w:val="24"/>
          <w:szCs w:val="24"/>
          <w:lang w:val="en-US"/>
        </w:rPr>
        <w:instrText>�</w:instrText>
      </w:r>
      <w:r w:rsidR="00BC7832">
        <w:rPr>
          <w:rFonts w:ascii="Times New Roman" w:hAnsi="Times New Roman" w:cs="Times New Roman"/>
          <w:sz w:val="24"/>
          <w:szCs w:val="24"/>
          <w:lang w:val="en-US"/>
        </w:rPr>
        <w:instrText xml:space="preserve">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In any case,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del w:id="122" w:author="Andrés González Santa Cruz" w:date="2024-06-25T14:45:00Z" w16du:dateUtc="2024-06-25T18:45:00Z">
        <w:r w:rsidRPr="000F254D" w:rsidDel="00C273FE">
          <w:rPr>
            <w:rFonts w:ascii="Times New Roman" w:hAnsi="Times New Roman" w:cs="Times New Roman"/>
            <w:sz w:val="24"/>
            <w:szCs w:val="24"/>
            <w:lang w:val="en-US"/>
          </w:rPr>
          <w:delText>in a context of</w:delText>
        </w:r>
      </w:del>
      <w:ins w:id="123" w:author="Andrés González Santa Cruz" w:date="2024-06-25T14:45:00Z" w16du:dateUtc="2024-06-25T18:45:00Z">
        <w:r w:rsidR="00C273FE">
          <w:rPr>
            <w:rFonts w:ascii="Times New Roman" w:hAnsi="Times New Roman" w:cs="Times New Roman"/>
            <w:sz w:val="24"/>
            <w:szCs w:val="24"/>
            <w:lang w:val="en-US"/>
          </w:rPr>
          <w:t>focused on</w:t>
        </w:r>
      </w:ins>
      <w:r w:rsidRPr="000F254D">
        <w:rPr>
          <w:rFonts w:ascii="Times New Roman" w:hAnsi="Times New Roman" w:cs="Times New Roman"/>
          <w:sz w:val="24"/>
          <w:szCs w:val="24"/>
          <w:lang w:val="en-US"/>
        </w:rPr>
        <w:t xml:space="preserve"> patients who experience multiple and recursive treatments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ins w:id="124" w:author="Andrés González Santa Cruz" w:date="2024-06-25T14:46:00Z" w16du:dateUtc="2024-06-25T18:46:00Z">
        <w:r w:rsidR="00C273FE" w:rsidRPr="000F254D">
          <w:rPr>
            <w:rFonts w:ascii="Times New Roman" w:hAnsi="Times New Roman" w:cs="Times New Roman"/>
            <w:sz w:val="24"/>
            <w:szCs w:val="24"/>
            <w:lang w:val="en-US"/>
          </w:rPr>
          <w:t xml:space="preserve"> </w:t>
        </w:r>
        <w:r w:rsidR="00C273FE">
          <w:rPr>
            <w:rFonts w:ascii="Times New Roman" w:hAnsi="Times New Roman" w:cs="Times New Roman"/>
            <w:sz w:val="24"/>
            <w:szCs w:val="24"/>
            <w:lang w:val="en-US"/>
          </w:rPr>
          <w:t>People with persistent SUD show different characteristics than patients with no longer a disorder after a single or without any treatment</w:t>
        </w:r>
        <w:commentRangeStart w:id="125"/>
        <w:r w:rsidR="00C273FE">
          <w:rPr>
            <w:rFonts w:ascii="Times New Roman" w:hAnsi="Times New Roman" w:cs="Times New Roman"/>
            <w:sz w:val="24"/>
            <w:szCs w:val="24"/>
            <w:lang w:val="en-US"/>
          </w:rPr>
          <w:t>.</w:t>
        </w:r>
        <w:commentRangeEnd w:id="125"/>
        <w:r w:rsidR="00C273FE">
          <w:rPr>
            <w:rStyle w:val="Refdecomentario"/>
            <w:rFonts w:ascii="Times New Roman" w:eastAsia="Times New Roman" w:hAnsi="Times New Roman" w:cs="Times New Roman"/>
            <w:lang w:val="en-US" w:eastAsia="es-CL"/>
          </w:rPr>
          <w:commentReference w:id="125"/>
        </w:r>
      </w:ins>
      <w:del w:id="126" w:author="Andrés González Santa Cruz" w:date="2024-06-25T14:46:00Z" w16du:dateUtc="2024-06-25T18:46:00Z">
        <w:r w:rsidRPr="000F254D" w:rsidDel="00C273FE">
          <w:rPr>
            <w:rFonts w:ascii="Times New Roman" w:hAnsi="Times New Roman" w:cs="Times New Roman"/>
            <w:sz w:val="24"/>
            <w:szCs w:val="24"/>
            <w:lang w:val="en-US"/>
          </w:rPr>
          <w:delText xml:space="preserve"> </w:delText>
        </w:r>
      </w:del>
    </w:p>
    <w:p w14:paraId="28B180C3" w14:textId="49557890" w:rsidR="00090B7C" w:rsidRPr="000F254D" w:rsidRDefault="00090B7C" w:rsidP="00B479D3">
      <w:pPr>
        <w:spacing w:line="480" w:lineRule="auto"/>
        <w:ind w:right="-2" w:firstLine="567"/>
        <w:rPr>
          <w:rFonts w:ascii="Times New Roman" w:hAnsi="Times New Roman" w:cs="Times New Roman"/>
          <w:sz w:val="24"/>
          <w:szCs w:val="24"/>
          <w:lang w:val="en-US"/>
        </w:rPr>
        <w:pPrChange w:id="127"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Given that SUD is understood as a chronic condition</w:t>
      </w:r>
      <w:r w:rsidR="00BC7832">
        <w:rPr>
          <w:rFonts w:ascii="Times New Roman" w:hAnsi="Times New Roman" w:cs="Times New Roman"/>
          <w:sz w:val="24"/>
          <w:szCs w:val="24"/>
          <w:lang w:val="en-US"/>
        </w:rPr>
        <w:t xml:space="preserve"> </w:t>
      </w:r>
      <w:r w:rsidR="00BC7832">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sidR="00BC7832">
        <w:rPr>
          <w:rFonts w:ascii="Times New Roman" w:hAnsi="Times New Roman" w:cs="Times New Roman"/>
          <w:sz w:val="24"/>
          <w:szCs w:val="24"/>
          <w:lang w:val="en-US"/>
        </w:rPr>
        <w:fldChar w:fldCharType="separate"/>
      </w:r>
      <w:r w:rsidR="00BC7832" w:rsidRPr="00BC7832">
        <w:rPr>
          <w:rFonts w:ascii="Times New Roman" w:hAnsi="Times New Roman" w:cs="Times New Roman"/>
          <w:sz w:val="24"/>
        </w:rPr>
        <w:t>(Fleury et al., 2016)</w:t>
      </w:r>
      <w:r w:rsidR="00BC7832">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first SUD treatment alone requires accounting that some patients may be readmitted to treatment through the follow-up period. Thus, checking for group biases and adjusting for confounders is needed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2020)","noteIndex":0},"citationItems":[{"id":586,"uris":["http://zotero.org/users/12673371/items/X2R4DLIW"],"itemData":{"id":586,"type":"article-journal","abstract":"BACKGROUND: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Additionally, these treatments are irregularly spaced, nevertheless, not at random, as the time between treatments might be related to biopsychosocial and treatment-related factors. Thus, patients with </w:t>
      </w:r>
      <w:ins w:id="128" w:author="Mariel Mateo" w:date="2024-06-25T15:10:00Z" w16du:dateUtc="2024-06-25T05:10:00Z">
        <w:r w:rsidR="00AA785E">
          <w:rPr>
            <w:rFonts w:ascii="Times New Roman" w:hAnsi="Times New Roman" w:cs="Times New Roman"/>
            <w:sz w:val="24"/>
            <w:szCs w:val="24"/>
            <w:lang w:val="en-US"/>
          </w:rPr>
          <w:t xml:space="preserve">worse </w:t>
        </w:r>
      </w:ins>
      <w:del w:id="129" w:author="Mariel Mateo" w:date="2024-06-25T15:10:00Z" w16du:dateUtc="2024-06-25T05:10:00Z">
        <w:r w:rsidRPr="000F254D" w:rsidDel="00AA785E">
          <w:rPr>
            <w:rFonts w:ascii="Times New Roman" w:hAnsi="Times New Roman" w:cs="Times New Roman"/>
            <w:sz w:val="24"/>
            <w:szCs w:val="24"/>
            <w:lang w:val="en-US"/>
          </w:rPr>
          <w:delText xml:space="preserve">worst </w:delText>
        </w:r>
      </w:del>
      <w:r w:rsidRPr="000F254D">
        <w:rPr>
          <w:rFonts w:ascii="Times New Roman" w:hAnsi="Times New Roman" w:cs="Times New Roman"/>
          <w:sz w:val="24"/>
          <w:szCs w:val="24"/>
          <w:lang w:val="en-US"/>
        </w:rPr>
        <w:t xml:space="preserve">outcomes in </w:t>
      </w:r>
      <w:del w:id="130" w:author="Andrés González Santa Cruz" w:date="2024-06-25T14:47:00Z" w16du:dateUtc="2024-06-25T18:47:00Z">
        <w:r w:rsidRPr="000F254D" w:rsidDel="00C273FE">
          <w:rPr>
            <w:rFonts w:ascii="Times New Roman" w:hAnsi="Times New Roman" w:cs="Times New Roman"/>
            <w:sz w:val="24"/>
            <w:szCs w:val="24"/>
            <w:lang w:val="en-US"/>
          </w:rPr>
          <w:delText xml:space="preserve">a </w:delText>
        </w:r>
      </w:del>
      <w:r w:rsidRPr="000F254D">
        <w:rPr>
          <w:rFonts w:ascii="Times New Roman" w:hAnsi="Times New Roman" w:cs="Times New Roman"/>
          <w:sz w:val="24"/>
          <w:szCs w:val="24"/>
          <w:lang w:val="en-US"/>
        </w:rPr>
        <w:t>previous treatment</w:t>
      </w:r>
      <w:ins w:id="131" w:author="Andrés González Santa Cruz" w:date="2024-06-25T14:47:00Z" w16du:dateUtc="2024-06-25T18:47:00Z">
        <w:r w:rsidR="00C273FE">
          <w:rPr>
            <w:rFonts w:ascii="Times New Roman" w:hAnsi="Times New Roman" w:cs="Times New Roman"/>
            <w:sz w:val="24"/>
            <w:szCs w:val="24"/>
            <w:lang w:val="en-US"/>
          </w:rPr>
          <w:t>s</w:t>
        </w:r>
      </w:ins>
      <w:r w:rsidRPr="000F254D">
        <w:rPr>
          <w:rFonts w:ascii="Times New Roman" w:hAnsi="Times New Roman" w:cs="Times New Roman"/>
          <w:sz w:val="24"/>
          <w:szCs w:val="24"/>
          <w:lang w:val="en-US"/>
        </w:rPr>
        <w:t xml:space="preserve"> might have </w:t>
      </w:r>
      <w:ins w:id="132" w:author="Mariel Mateo" w:date="2024-06-25T15:10:00Z" w16du:dateUtc="2024-06-25T05:10:00Z">
        <w:r w:rsidR="00AA785E">
          <w:rPr>
            <w:rFonts w:ascii="Times New Roman" w:hAnsi="Times New Roman" w:cs="Times New Roman"/>
            <w:sz w:val="24"/>
            <w:szCs w:val="24"/>
            <w:lang w:val="en-US"/>
          </w:rPr>
          <w:t xml:space="preserve">a </w:t>
        </w:r>
      </w:ins>
      <w:r w:rsidRPr="000F254D">
        <w:rPr>
          <w:rFonts w:ascii="Times New Roman" w:hAnsi="Times New Roman" w:cs="Times New Roman"/>
          <w:sz w:val="24"/>
          <w:szCs w:val="24"/>
          <w:lang w:val="en-US"/>
        </w:rPr>
        <w:t xml:space="preserve">more or less intense frequency of treatments in the future, </w:t>
      </w:r>
      <w:ins w:id="133" w:author="Mariel Mateo" w:date="2024-06-25T15:10:00Z" w16du:dateUtc="2024-06-25T05:10:00Z">
        <w:r w:rsidR="00AA785E">
          <w:rPr>
            <w:rFonts w:ascii="Times New Roman" w:hAnsi="Times New Roman" w:cs="Times New Roman"/>
            <w:sz w:val="24"/>
            <w:szCs w:val="24"/>
            <w:lang w:val="en-US"/>
          </w:rPr>
          <w:t xml:space="preserve">which </w:t>
        </w:r>
      </w:ins>
      <w:del w:id="134" w:author="Mariel Mateo" w:date="2024-06-25T15:10:00Z" w16du:dateUtc="2024-06-25T05:10:00Z">
        <w:r w:rsidRPr="000F254D" w:rsidDel="00AA785E">
          <w:rPr>
            <w:rFonts w:ascii="Times New Roman" w:hAnsi="Times New Roman" w:cs="Times New Roman"/>
            <w:sz w:val="24"/>
            <w:szCs w:val="24"/>
            <w:lang w:val="en-US"/>
          </w:rPr>
          <w:delText>that</w:delText>
        </w:r>
      </w:del>
      <w:r w:rsidRPr="000F254D">
        <w:rPr>
          <w:rFonts w:ascii="Times New Roman" w:hAnsi="Times New Roman" w:cs="Times New Roman"/>
          <w:sz w:val="24"/>
          <w:szCs w:val="24"/>
          <w:lang w:val="en-US"/>
        </w:rPr>
        <w:t xml:space="preserve"> may also explain treatment outcomes such as completion or dropout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0164498F" w14:textId="712F964C" w:rsidR="004B17FE" w:rsidRDefault="00090B7C" w:rsidP="00B479D3">
      <w:pPr>
        <w:spacing w:line="480" w:lineRule="auto"/>
        <w:ind w:right="-2" w:firstLine="567"/>
        <w:rPr>
          <w:rFonts w:ascii="Times New Roman" w:hAnsi="Times New Roman" w:cs="Times New Roman"/>
          <w:sz w:val="24"/>
          <w:szCs w:val="24"/>
          <w:lang w:val="es-CL"/>
        </w:rPr>
        <w:pPrChange w:id="135"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Additionally, the relationship between people reporting PSU and treatment completion can be affected by various factors, such as heterogeneous PSU patterns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(Bhondoekhan et al., 2023; Price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treatment goals, patient characteristics, resource availability, and </w:t>
      </w:r>
      <w:r w:rsidRPr="000F254D">
        <w:rPr>
          <w:rFonts w:ascii="Times New Roman" w:hAnsi="Times New Roman" w:cs="Times New Roman"/>
          <w:sz w:val="24"/>
          <w:szCs w:val="24"/>
          <w:lang w:val="en-US"/>
        </w:rPr>
        <w:lastRenderedPageBreak/>
        <w:t xml:space="preserve">SUD severity profiles. In turn, these characteristics are highly dependent on treatment settings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2007)","noteIndex":0},"citationItems":[{"id":601,"uris":["http://zotero.org/users/12673371/items/HRXC3UAX"],"itemData":{"id":601,"type":"article-journal","container-title":"Revista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603,"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A."}],"issued":{"date-parts":[["2021",3,1]]}}},{"id":606,"uris":["http://zotero.org/users/12673371/items/MFU2C28D"],"itemData":{"id":606,"type":"article-journal","abstract":"AIMS: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(Fiestas &amp; Ponce, 2012; Reif et al., 2021; Tiet et al., 2007)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del w:id="136" w:author="Andrés González Santa Cruz" w:date="2024-06-25T14:48:00Z" w16du:dateUtc="2024-06-25T18:48:00Z">
        <w:r w:rsidRPr="004B17FE" w:rsidDel="00C273FE">
          <w:rPr>
            <w:rFonts w:ascii="Times New Roman" w:hAnsi="Times New Roman" w:cs="Times New Roman"/>
            <w:sz w:val="24"/>
            <w:szCs w:val="24"/>
            <w:lang w:val="en-US"/>
          </w:rPr>
          <w:delText xml:space="preserve">In Chile, </w:delText>
        </w:r>
      </w:del>
      <w:r w:rsidRPr="004B17FE">
        <w:rPr>
          <w:rFonts w:ascii="Times New Roman" w:hAnsi="Times New Roman" w:cs="Times New Roman"/>
          <w:sz w:val="24"/>
          <w:szCs w:val="24"/>
          <w:lang w:val="en-US"/>
        </w:rPr>
        <w:t>Olivari and colleagues found that women-specific</w:t>
      </w:r>
      <w:ins w:id="137" w:author="Andrés González Santa Cruz" w:date="2024-06-25T15:40:00Z" w16du:dateUtc="2024-06-25T19:40:00Z">
        <w:r w:rsidR="007E3CC9">
          <w:rPr>
            <w:rFonts w:ascii="Times New Roman" w:hAnsi="Times New Roman" w:cs="Times New Roman"/>
            <w:sz w:val="24"/>
            <w:szCs w:val="24"/>
            <w:lang w:val="en-US"/>
          </w:rPr>
          <w:t xml:space="preserve"> (WO)</w:t>
        </w:r>
      </w:ins>
      <w:r w:rsidRPr="004B17FE">
        <w:rPr>
          <w:rFonts w:ascii="Times New Roman" w:hAnsi="Times New Roman" w:cs="Times New Roman"/>
          <w:sz w:val="24"/>
          <w:szCs w:val="24"/>
          <w:lang w:val="en-US"/>
        </w:rPr>
        <w:t xml:space="preserve"> treatment settings had different readmission and treatment completion </w:t>
      </w:r>
      <w:del w:id="138" w:author="Andrés González Santa Cruz" w:date="2024-06-27T13:50:00Z" w16du:dateUtc="2024-06-27T17:50:00Z">
        <w:r w:rsidRPr="004B17FE" w:rsidDel="009A2F55">
          <w:rPr>
            <w:rFonts w:ascii="Times New Roman" w:hAnsi="Times New Roman" w:cs="Times New Roman"/>
            <w:sz w:val="24"/>
            <w:szCs w:val="24"/>
            <w:lang w:val="en-US"/>
          </w:rPr>
          <w:delText xml:space="preserve">than </w:delText>
        </w:r>
      </w:del>
      <w:ins w:id="139" w:author="Andrés González Santa Cruz" w:date="2024-06-27T13:50:00Z" w16du:dateUtc="2024-06-27T17:50:00Z">
        <w:r w:rsidR="009A2F55" w:rsidRPr="004B17FE">
          <w:rPr>
            <w:rFonts w:ascii="Times New Roman" w:hAnsi="Times New Roman" w:cs="Times New Roman"/>
            <w:sz w:val="24"/>
            <w:szCs w:val="24"/>
            <w:lang w:val="en-US"/>
          </w:rPr>
          <w:t xml:space="preserve">than </w:t>
        </w:r>
        <w:r w:rsidR="009A2F55">
          <w:rPr>
            <w:rFonts w:ascii="Times New Roman" w:hAnsi="Times New Roman" w:cs="Times New Roman"/>
            <w:sz w:val="24"/>
            <w:szCs w:val="24"/>
            <w:lang w:val="en-US"/>
          </w:rPr>
          <w:t>patients</w:t>
        </w:r>
      </w:ins>
      <w:ins w:id="140" w:author="Andrés González Santa Cruz" w:date="2024-06-25T15:40:00Z" w16du:dateUtc="2024-06-25T19:40:00Z">
        <w:r w:rsidR="007E3CC9">
          <w:rPr>
            <w:rFonts w:ascii="Times New Roman" w:hAnsi="Times New Roman" w:cs="Times New Roman"/>
            <w:sz w:val="24"/>
            <w:szCs w:val="24"/>
            <w:lang w:val="en-US"/>
          </w:rPr>
          <w:t xml:space="preserve"> in </w:t>
        </w:r>
      </w:ins>
      <w:del w:id="141" w:author="Andrés González Santa Cruz" w:date="2024-06-25T15:41:00Z" w16du:dateUtc="2024-06-25T19:41:00Z">
        <w:r w:rsidRPr="004B17FE" w:rsidDel="007E3CC9">
          <w:rPr>
            <w:rFonts w:ascii="Times New Roman" w:hAnsi="Times New Roman" w:cs="Times New Roman"/>
            <w:sz w:val="24"/>
            <w:szCs w:val="24"/>
            <w:lang w:val="en-US"/>
          </w:rPr>
          <w:delText xml:space="preserve">the </w:delText>
        </w:r>
      </w:del>
      <w:r w:rsidRPr="004B17FE">
        <w:rPr>
          <w:rFonts w:ascii="Times New Roman" w:hAnsi="Times New Roman" w:cs="Times New Roman"/>
          <w:sz w:val="24"/>
          <w:szCs w:val="24"/>
          <w:lang w:val="en-US"/>
        </w:rPr>
        <w:t>general population</w:t>
      </w:r>
      <w:ins w:id="142" w:author="Andrés González Santa Cruz" w:date="2024-06-25T14:48:00Z" w16du:dateUtc="2024-06-25T18:48:00Z">
        <w:r w:rsidR="00C273FE">
          <w:rPr>
            <w:rFonts w:ascii="Times New Roman" w:hAnsi="Times New Roman" w:cs="Times New Roman"/>
            <w:sz w:val="24"/>
            <w:szCs w:val="24"/>
            <w:lang w:val="en-US"/>
          </w:rPr>
          <w:t xml:space="preserve"> </w:t>
        </w:r>
      </w:ins>
      <w:ins w:id="143" w:author="Andrés González Santa Cruz" w:date="2024-06-25T15:41:00Z" w16du:dateUtc="2024-06-25T19:41:00Z">
        <w:r w:rsidR="007E3CC9">
          <w:rPr>
            <w:rFonts w:ascii="Times New Roman" w:hAnsi="Times New Roman" w:cs="Times New Roman"/>
            <w:sz w:val="24"/>
            <w:szCs w:val="24"/>
            <w:lang w:val="en-US"/>
          </w:rPr>
          <w:t xml:space="preserve">programs </w:t>
        </w:r>
      </w:ins>
      <w:ins w:id="144" w:author="Andrés González Santa Cruz" w:date="2024-06-25T14:48:00Z" w16du:dateUtc="2024-06-25T18:48:00Z">
        <w:r w:rsidR="00C273FE">
          <w:rPr>
            <w:rFonts w:ascii="Times New Roman" w:hAnsi="Times New Roman" w:cs="Times New Roman"/>
            <w:sz w:val="24"/>
            <w:szCs w:val="24"/>
            <w:lang w:val="en-US"/>
          </w:rPr>
          <w:t>in Chile</w:t>
        </w:r>
      </w:ins>
      <w:r w:rsidRPr="004B17FE">
        <w:rPr>
          <w:rFonts w:ascii="Times New Roman" w:hAnsi="Times New Roman" w:cs="Times New Roman"/>
          <w:sz w:val="24"/>
          <w:szCs w:val="24"/>
          <w:lang w:val="en-US"/>
        </w:rPr>
        <w:t>. In a similar vein, Ruiz-Tagle et al. found that completion was less likely among ambulatory settings</w:t>
      </w:r>
      <w:r w:rsidR="004B17FE" w:rsidRPr="004B17FE">
        <w:rPr>
          <w:rFonts w:ascii="Times New Roman" w:hAnsi="Times New Roman" w:cs="Times New Roman"/>
          <w:sz w:val="24"/>
          <w:szCs w:val="24"/>
          <w:lang w:val="en-US"/>
        </w:rPr>
        <w:t xml:space="preserve"> </w:t>
      </w:r>
      <w:r w:rsidR="004B17FE" w:rsidRPr="004B17FE">
        <w:rPr>
          <w:rFonts w:ascii="Times New Roman" w:hAnsi="Times New Roman" w:cs="Times New Roman"/>
          <w:sz w:val="24"/>
          <w:szCs w:val="24"/>
          <w:lang w:val="en-US"/>
        </w:rPr>
        <w:fldChar w:fldCharType="begin"/>
      </w:r>
      <w:r w:rsidR="004B17FE" w:rsidRPr="004B17FE">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2023)","noteIndex":0},"citationItems":[{"id":106,"uris":["http://zotero.org/users/12673371/items/2XI4JARS"],"itemData":{"id":106,"type":"article-journal","abstract":"Introduction\nTraditional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w:instrText>
      </w:r>
      <w:r w:rsidR="004B17FE" w:rsidRPr="004B17FE">
        <w:rPr>
          <w:rFonts w:ascii="Times New Roman" w:hAnsi="Times New Roman" w:cs="Times New Roman"/>
          <w:sz w:val="24"/>
          <w:szCs w:val="24"/>
          <w:lang w:val="es-CL"/>
        </w:rPr>
        <w:instrText xml:space="preserve">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4B17FE" w:rsidRPr="004B17FE">
        <w:rPr>
          <w:rFonts w:ascii="Times New Roman" w:hAnsi="Times New Roman" w:cs="Times New Roman"/>
          <w:sz w:val="24"/>
          <w:szCs w:val="24"/>
          <w:lang w:val="en-US"/>
        </w:rPr>
        <w:fldChar w:fldCharType="separate"/>
      </w:r>
      <w:r w:rsidR="004B17FE" w:rsidRPr="004B17FE">
        <w:rPr>
          <w:rFonts w:ascii="Times New Roman" w:hAnsi="Times New Roman" w:cs="Times New Roman"/>
          <w:sz w:val="24"/>
          <w:lang w:val="es-CL"/>
        </w:rPr>
        <w:t>(Olivari, González-Santa Cruz, et al., 2022; Ruiz-Tagle Maturana et al., 2023)</w:t>
      </w:r>
      <w:r w:rsidR="004B17FE" w:rsidRPr="004B17FE">
        <w:rPr>
          <w:rFonts w:ascii="Times New Roman" w:hAnsi="Times New Roman" w:cs="Times New Roman"/>
          <w:sz w:val="24"/>
          <w:szCs w:val="24"/>
          <w:lang w:val="en-US"/>
        </w:rPr>
        <w:fldChar w:fldCharType="end"/>
      </w:r>
      <w:del w:id="145" w:author="Mariel Mateo" w:date="2024-06-25T15:11:00Z" w16du:dateUtc="2024-06-25T05:11:00Z">
        <w:r w:rsidRPr="004B17FE" w:rsidDel="00AA785E">
          <w:rPr>
            <w:rFonts w:ascii="Times New Roman" w:hAnsi="Times New Roman" w:cs="Times New Roman"/>
            <w:sz w:val="24"/>
            <w:szCs w:val="24"/>
            <w:lang w:val="es-CL"/>
          </w:rPr>
          <w:delText xml:space="preserve"> </w:delText>
        </w:r>
      </w:del>
      <w:r w:rsidRPr="004B17FE">
        <w:rPr>
          <w:rFonts w:ascii="Times New Roman" w:hAnsi="Times New Roman" w:cs="Times New Roman"/>
          <w:sz w:val="24"/>
          <w:szCs w:val="24"/>
          <w:lang w:val="es-CL"/>
        </w:rPr>
        <w:t>.</w:t>
      </w:r>
      <w:del w:id="146" w:author="Andrés González Santa Cruz" w:date="2024-06-25T15:09:00Z" w16du:dateUtc="2024-06-25T19:09:00Z">
        <w:r w:rsidRPr="004B17FE" w:rsidDel="005C12B8">
          <w:rPr>
            <w:rFonts w:ascii="Times New Roman" w:hAnsi="Times New Roman" w:cs="Times New Roman"/>
            <w:sz w:val="24"/>
            <w:szCs w:val="24"/>
            <w:lang w:val="es-CL"/>
          </w:rPr>
          <w:delText xml:space="preserve"> </w:delText>
        </w:r>
      </w:del>
    </w:p>
    <w:p w14:paraId="3CA58DE2" w14:textId="2E069ADB" w:rsidR="00090B7C" w:rsidRPr="000F254D" w:rsidRDefault="00090B7C" w:rsidP="00B479D3">
      <w:pPr>
        <w:spacing w:line="480" w:lineRule="auto"/>
        <w:ind w:right="-2" w:firstLine="567"/>
        <w:rPr>
          <w:rFonts w:ascii="Times New Roman" w:hAnsi="Times New Roman" w:cs="Times New Roman"/>
          <w:sz w:val="24"/>
          <w:szCs w:val="24"/>
          <w:lang w:val="en-US"/>
        </w:rPr>
        <w:pPrChange w:id="147" w:author="Andrés González Santa Cruz" w:date="2024-06-25T20:51:00Z" w16du:dateUtc="2024-06-26T00:51: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Most research on PSU comes from the Global North, where the treatment settings are usually specialized on particular substances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2021)","noteIndex":0},"citationItems":[{"id":610,"uris":["http://zotero.org/users/12673371/items/73EAYDRK"],"itemData":{"id":610,"type":"chapter","abstract":"This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M."}],"accessed":{"date-parts":[["2024",3,13]]},"issued":{"date-parts":[["2021"]]}}},{"id":612,"uris":["http://zotero.org/users/12673371/items/EJCXGBI3"],"itemData":{"id":612,"type":"article-journal","abstract":"Purpose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of other contexts, such as Latin America, </w:t>
      </w:r>
      <w:ins w:id="148" w:author="Andrés González Santa Cruz" w:date="2024-06-25T14:49:00Z" w16du:dateUtc="2024-06-25T18:49:00Z">
        <w:r w:rsidR="00C273FE">
          <w:rPr>
            <w:rFonts w:ascii="Times New Roman" w:hAnsi="Times New Roman" w:cs="Times New Roman"/>
            <w:sz w:val="24"/>
            <w:szCs w:val="24"/>
            <w:lang w:val="en-US"/>
          </w:rPr>
          <w:t xml:space="preserve">where </w:t>
        </w:r>
        <w:r w:rsidR="00C273FE" w:rsidRPr="000F254D">
          <w:rPr>
            <w:rFonts w:ascii="Times New Roman" w:hAnsi="Times New Roman" w:cs="Times New Roman"/>
            <w:sz w:val="24"/>
            <w:szCs w:val="24"/>
            <w:lang w:val="en-US"/>
          </w:rPr>
          <w:t>treatment is mostly delivered in non-specialized settings</w:t>
        </w:r>
        <w:r w:rsidR="00C273FE">
          <w:rPr>
            <w:rFonts w:ascii="Times New Roman" w:hAnsi="Times New Roman" w:cs="Times New Roman"/>
            <w:sz w:val="24"/>
            <w:szCs w:val="24"/>
            <w:lang w:val="en-US"/>
          </w:rPr>
          <w:t xml:space="preserve"> in part </w:t>
        </w:r>
      </w:ins>
      <w:r w:rsidRPr="000F254D">
        <w:rPr>
          <w:rFonts w:ascii="Times New Roman" w:hAnsi="Times New Roman" w:cs="Times New Roman"/>
          <w:sz w:val="24"/>
          <w:szCs w:val="24"/>
          <w:lang w:val="en-US"/>
        </w:rPr>
        <w:t>due to scarce resources and a shortage of mental health workforce</w:t>
      </w:r>
      <w:del w:id="149" w:author="Andrés González Santa Cruz" w:date="2024-06-25T14:49:00Z" w16du:dateUtc="2024-06-25T18:49:00Z">
        <w:r w:rsidRPr="000F254D" w:rsidDel="00C273FE">
          <w:rPr>
            <w:rFonts w:ascii="Times New Roman" w:hAnsi="Times New Roman" w:cs="Times New Roman"/>
            <w:sz w:val="24"/>
            <w:szCs w:val="24"/>
            <w:lang w:val="en-US"/>
          </w:rPr>
          <w:delText>, in which treatment is mostly delivered in non-specialized settings</w:delText>
        </w:r>
      </w:del>
      <w:r w:rsidRPr="000F254D">
        <w:rPr>
          <w:rFonts w:ascii="Times New Roman" w:hAnsi="Times New Roman" w:cs="Times New Roman"/>
          <w:sz w:val="24"/>
          <w:szCs w:val="24"/>
          <w:lang w:val="en-US"/>
        </w:rPr>
        <w:t xml:space="preserve">. </w:t>
      </w:r>
      <w:del w:id="150" w:author="Andrés González Santa Cruz" w:date="2024-06-25T14:50:00Z" w16du:dateUtc="2024-06-25T18:50:00Z">
        <w:r w:rsidRPr="000F254D" w:rsidDel="00C273FE">
          <w:rPr>
            <w:rFonts w:ascii="Times New Roman" w:hAnsi="Times New Roman" w:cs="Times New Roman"/>
            <w:sz w:val="24"/>
            <w:szCs w:val="24"/>
            <w:lang w:val="en-US"/>
          </w:rPr>
          <w:delText>However, s</w:delText>
        </w:r>
      </w:del>
      <w:ins w:id="151" w:author="Andrés González Santa Cruz" w:date="2024-06-25T14:50:00Z" w16du:dateUtc="2024-06-25T18:50:00Z">
        <w:r w:rsidR="00C273FE">
          <w:rPr>
            <w:rFonts w:ascii="Times New Roman" w:hAnsi="Times New Roman" w:cs="Times New Roman"/>
            <w:sz w:val="24"/>
            <w:szCs w:val="24"/>
            <w:lang w:val="en-US"/>
          </w:rPr>
          <w:t>S</w:t>
        </w:r>
      </w:ins>
      <w:r w:rsidRPr="000F254D">
        <w:rPr>
          <w:rFonts w:ascii="Times New Roman" w:hAnsi="Times New Roman" w:cs="Times New Roman"/>
          <w:sz w:val="24"/>
          <w:szCs w:val="24"/>
          <w:lang w:val="en-US"/>
        </w:rPr>
        <w:t xml:space="preserve">tudying the role of PSU on treatment outcomes in Latin America is challenging due to limited local data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2022)","noteIndex":0},"citationItems":[{"id":615,"uris":["http://zotero.org/users/12673371/items/FZ7E9E7R"],"itemData":{"id":615,"type":"article-journal","abstract":"In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opioids and injecting drug use, which are epidemiologic features that are not prevalent in the Latin American context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{"citationID":"9aKl4kao","properties":{"formattedCitation":"(Castaldelli-Maia et al., 2023)","plainCitation":"(Castaldelli-Maia et al., 2023)","noteIndex":0},"citationItems":[{"id":44,"uris":["http://zotero.org/users/12673371/items/JFGXA528"],"itemData":{"id":44,"type":"article-journal","container-title":"The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(Castaldelli-Maia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3640F729" w14:textId="0C25B52E" w:rsidR="00090B7C" w:rsidRPr="000F254D" w:rsidRDefault="00090B7C" w:rsidP="00B479D3">
      <w:pPr>
        <w:spacing w:line="480" w:lineRule="auto"/>
        <w:ind w:right="-2" w:firstLine="567"/>
        <w:rPr>
          <w:rFonts w:ascii="Times New Roman" w:hAnsi="Times New Roman" w:cs="Times New Roman"/>
          <w:sz w:val="24"/>
          <w:szCs w:val="24"/>
          <w:lang w:val="es-CL"/>
        </w:rPr>
        <w:pPrChange w:id="152" w:author="Andrés González Santa Cruz" w:date="2024-06-25T20:51:00Z" w16du:dateUtc="2024-06-26T00:51: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Moreover, as many studies in the Global North have often overlooked high-risk populations, there are reasons to believe that is also the case in Latin America, where the prevalence of individuals with PSU is notably high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2013)","noteIndex":0},"citationItems":[{"id":356,"uris":["http://zotero.org/users/12673371/items/JM63BVRC"],"itemData":{"id":356,"type":"article-journal","abstract":"The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on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2018)","noteIndex":0},"citationItems":[{"id":352,"uris":["http://zotero.org/users/12673371/items/YU3ZTASP"],"itemData":{"id":352,"type":"article-journal","abstract":"Background\nPolysubstance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between 47% and 66% of users had simultaneous substance use </w:t>
      </w:r>
      <w:r w:rsidRPr="000F254D">
        <w:rPr>
          <w:rFonts w:ascii="Times New Roman" w:hAnsi="Times New Roman" w:cs="Times New Roman"/>
          <w:sz w:val="24"/>
          <w:szCs w:val="24"/>
          <w:lang w:val="en-US"/>
        </w:rPr>
        <w:fldChar w:fldCharType="begin"/>
      </w:r>
      <w:r w:rsidR="004B17FE">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004B17FE" w:rsidRPr="004B17FE">
        <w:rPr>
          <w:rFonts w:ascii="Times New Roman" w:hAnsi="Times New Roman" w:cs="Times New Roman"/>
          <w:sz w:val="24"/>
        </w:rPr>
        <w:t>(Olivari, Gaete,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w:t>
      </w:r>
      <w:r w:rsidRPr="000F254D">
        <w:rPr>
          <w:rFonts w:ascii="Times New Roman" w:hAnsi="Times New Roman" w:cs="Times New Roman"/>
          <w:sz w:val="24"/>
          <w:szCs w:val="24"/>
          <w:lang w:val="en-US"/>
        </w:rPr>
        <w:lastRenderedPageBreak/>
        <w:t xml:space="preserve">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ins w:id="153" w:author="Mariel Mateo" w:date="2024-06-25T15:13:00Z" w16du:dateUtc="2024-06-25T05:13:00Z">
        <w:r w:rsidR="00AA785E">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w:t>
      </w:r>
      <w:del w:id="154" w:author="Mariel Mateo" w:date="2024-06-25T15:13:00Z" w16du:dateUtc="2024-06-25T05:13:00Z">
        <w:r w:rsidRPr="000F254D" w:rsidDel="00AA785E">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18-34) from Chile, Uruguay, and Argentina. In addition, PSU is related to school dropout, unemployment, </w:t>
      </w:r>
      <w:ins w:id="155" w:author="Mariel Mateo" w:date="2024-06-25T15:13:00Z" w16du:dateUtc="2024-06-25T05:13:00Z">
        <w:r w:rsidR="00AA785E">
          <w:rPr>
            <w:rFonts w:ascii="Times New Roman" w:hAnsi="Times New Roman" w:cs="Times New Roman"/>
            <w:sz w:val="24"/>
            <w:szCs w:val="24"/>
            <w:lang w:val="en-US"/>
          </w:rPr>
          <w:t xml:space="preserve">and </w:t>
        </w:r>
      </w:ins>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sidR="004B17FE">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281,"uris":["http://zotero.org/users/12673371/items/7VJ76F8N"],"itemData":{"id":281,"type":"article-journal","container-title":"Revista médica de Chile","DOI":"10.4067/S0034-98872007000100007","ISSN":"0034-9887","issue":"1","note":"publisher: Sociedad Médica de Santiago","page":"45-53","source":"SciELO","title":"Consumo de s</w:instrText>
      </w:r>
      <w:r w:rsidR="004B17FE" w:rsidRPr="004B17FE">
        <w:rPr>
          <w:rFonts w:ascii="Times New Roman" w:hAnsi="Times New Roman" w:cs="Times New Roman"/>
          <w:sz w:val="24"/>
          <w:szCs w:val="24"/>
          <w:lang w:val="es-CL"/>
        </w:rPr>
        <w:instrText xml:space="preserve">ustancias y conductas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004B17FE" w:rsidRPr="004B17FE">
        <w:rPr>
          <w:rFonts w:ascii="Times New Roman" w:hAnsi="Times New Roman" w:cs="Times New Roman"/>
          <w:sz w:val="24"/>
          <w:lang w:val="es-CL"/>
        </w:rPr>
        <w:t>(Olivari, Gaete, et al., 2022; Santis B et al., 2007; 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s-CL"/>
        </w:rPr>
        <w:t>.</w:t>
      </w:r>
    </w:p>
    <w:p w14:paraId="7556B47C" w14:textId="409A453E" w:rsidR="00090B7C" w:rsidRDefault="002E32F9" w:rsidP="000F254D">
      <w:pPr>
        <w:spacing w:after="0" w:line="480" w:lineRule="auto"/>
        <w:ind w:firstLine="567"/>
        <w:rPr>
          <w:rFonts w:ascii="Times New Roman" w:hAnsi="Times New Roman" w:cs="Times New Roman"/>
          <w:sz w:val="24"/>
          <w:szCs w:val="24"/>
          <w:lang w:val="en-US" w:eastAsia="es-CL"/>
        </w:rPr>
      </w:pPr>
      <w:ins w:id="156" w:author="Mariel Mateo" w:date="2024-06-25T15:18:00Z" w16du:dateUtc="2024-06-25T05:18:00Z">
        <w:r w:rsidRPr="002E32F9">
          <w:rPr>
            <w:rFonts w:ascii="Times New Roman" w:hAnsi="Times New Roman" w:cs="Times New Roman"/>
            <w:sz w:val="24"/>
            <w:szCs w:val="24"/>
            <w:lang w:val="en-US"/>
          </w:rPr>
          <w:t xml:space="preserve">Chile is an interesting case, allowing for an examination of a context outside the Global North. It </w:t>
        </w:r>
      </w:ins>
      <w:del w:id="157" w:author="Mariel Mateo" w:date="2024-06-25T15:18:00Z" w16du:dateUtc="2024-06-25T05:18:00Z">
        <w:r w:rsidR="00090B7C" w:rsidRPr="000F254D" w:rsidDel="002E32F9">
          <w:rPr>
            <w:rFonts w:ascii="Times New Roman" w:hAnsi="Times New Roman" w:cs="Times New Roman"/>
            <w:sz w:val="24"/>
            <w:szCs w:val="24"/>
            <w:lang w:val="en-US"/>
          </w:rPr>
          <w:delText>Chile</w:delText>
        </w:r>
      </w:del>
      <w:r w:rsidR="00090B7C" w:rsidRPr="000F254D">
        <w:rPr>
          <w:rFonts w:ascii="Times New Roman" w:hAnsi="Times New Roman" w:cs="Times New Roman"/>
          <w:sz w:val="24"/>
          <w:szCs w:val="24"/>
          <w:lang w:val="en-US"/>
        </w:rPr>
        <w:t xml:space="preserve"> has a robust public treatment system that produces a large and high-quality dataset that includes all treatment episodes of people with public health insurance (~80% of the population) since its creation in 2010 </w:t>
      </w:r>
      <w:r w:rsidR="00090B7C"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090B7C" w:rsidRPr="000F254D">
        <w:rPr>
          <w:rFonts w:ascii="Times New Roman" w:hAnsi="Times New Roman" w:cs="Times New Roman"/>
          <w:sz w:val="24"/>
          <w:szCs w:val="24"/>
          <w:lang w:val="en-US"/>
        </w:rPr>
        <w:fldChar w:fldCharType="separate"/>
      </w:r>
      <w:r w:rsidR="00090B7C" w:rsidRPr="000F254D">
        <w:rPr>
          <w:rFonts w:ascii="Times New Roman" w:hAnsi="Times New Roman" w:cs="Times New Roman"/>
          <w:sz w:val="24"/>
          <w:szCs w:val="24"/>
        </w:rPr>
        <w:t>(Mateo Pinones et al., 2022)</w:t>
      </w:r>
      <w:r w:rsidR="00090B7C" w:rsidRPr="000F254D">
        <w:rPr>
          <w:rFonts w:ascii="Times New Roman" w:hAnsi="Times New Roman" w:cs="Times New Roman"/>
          <w:sz w:val="24"/>
          <w:szCs w:val="24"/>
          <w:lang w:val="en-US"/>
        </w:rPr>
        <w:fldChar w:fldCharType="end"/>
      </w:r>
      <w:r w:rsidR="00090B7C" w:rsidRPr="000F254D">
        <w:rPr>
          <w:rFonts w:ascii="Times New Roman" w:hAnsi="Times New Roman" w:cs="Times New Roman"/>
          <w:sz w:val="24"/>
          <w:szCs w:val="24"/>
          <w:lang w:val="en-US"/>
        </w:rPr>
        <w:t xml:space="preserve">. </w:t>
      </w:r>
      <w:r w:rsidR="004B17FE">
        <w:rPr>
          <w:rFonts w:ascii="Times New Roman" w:hAnsi="Times New Roman" w:cs="Times New Roman"/>
          <w:sz w:val="24"/>
          <w:szCs w:val="24"/>
          <w:lang w:val="en-US"/>
        </w:rPr>
        <w:t>F</w:t>
      </w:r>
      <w:r w:rsidR="00090B7C" w:rsidRPr="000F254D">
        <w:rPr>
          <w:rFonts w:ascii="Times New Roman" w:hAnsi="Times New Roman" w:cs="Times New Roman"/>
          <w:sz w:val="24"/>
          <w:szCs w:val="24"/>
          <w:lang w:val="en-US"/>
        </w:rPr>
        <w:t xml:space="preserve">indings from the Chilean Budgetary Office study </w:t>
      </w:r>
      <w:r w:rsidR="004B17FE" w:rsidRPr="000F254D">
        <w:rPr>
          <w:rFonts w:ascii="Times New Roman" w:hAnsi="Times New Roman" w:cs="Times New Roman"/>
          <w:sz w:val="24"/>
          <w:szCs w:val="24"/>
          <w:lang w:val="en-US"/>
        </w:rPr>
        <w:t>support</w:t>
      </w:r>
      <w:r w:rsidR="00090B7C" w:rsidRPr="000F254D">
        <w:rPr>
          <w:rFonts w:ascii="Times New Roman" w:hAnsi="Times New Roman" w:cs="Times New Roman"/>
          <w:sz w:val="24"/>
          <w:szCs w:val="24"/>
          <w:lang w:val="en-US"/>
        </w:rPr>
        <w:t xml:space="preserve"> the need for further research to determine whether treatments address characteristics such as PSU behaviors effectively in a context where 2 out of 3 reported PSU </w:t>
      </w:r>
      <w:r w:rsidR="00090B7C"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{"citationID":"FWesxcyq","properties":{"formattedCitation":"(DIPRES, 2017)","plainCitation":"(DIPRES, 2017)","noteIndex":0},"citationItems":[{"id":344,"uris":["http://zotero.org/users/12673371/items/R4SDDAHZ"],"itemData":{"id":344,"type":"document","title":"Informe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090B7C" w:rsidRPr="000F254D">
        <w:rPr>
          <w:rFonts w:ascii="Times New Roman" w:hAnsi="Times New Roman" w:cs="Times New Roman"/>
          <w:sz w:val="24"/>
          <w:szCs w:val="24"/>
          <w:lang w:val="en-US"/>
        </w:rPr>
        <w:fldChar w:fldCharType="separate"/>
      </w:r>
      <w:r w:rsidR="00090B7C" w:rsidRPr="000F254D">
        <w:rPr>
          <w:rFonts w:ascii="Times New Roman" w:hAnsi="Times New Roman" w:cs="Times New Roman"/>
          <w:sz w:val="24"/>
          <w:szCs w:val="24"/>
        </w:rPr>
        <w:t>(DIPRES, 2017)</w:t>
      </w:r>
      <w:r w:rsidR="00090B7C" w:rsidRPr="000F254D">
        <w:rPr>
          <w:rFonts w:ascii="Times New Roman" w:hAnsi="Times New Roman" w:cs="Times New Roman"/>
          <w:sz w:val="24"/>
          <w:szCs w:val="24"/>
          <w:lang w:val="en-US"/>
        </w:rPr>
        <w:fldChar w:fldCharType="end"/>
      </w:r>
      <w:r w:rsidR="00090B7C"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del w:id="158" w:author="Mariel Mateo" w:date="2024-06-25T15:20:00Z" w16du:dateUtc="2024-06-25T05:20:00Z">
        <w:r w:rsidR="00090B7C" w:rsidRPr="000F254D" w:rsidDel="002E32F9">
          <w:rPr>
            <w:rFonts w:ascii="Times New Roman" w:hAnsi="Times New Roman" w:cs="Times New Roman"/>
            <w:sz w:val="24"/>
            <w:szCs w:val="24"/>
            <w:lang w:val="en-US"/>
          </w:rPr>
          <w:delText>for people with PSU</w:delText>
        </w:r>
      </w:del>
      <w:ins w:id="159" w:author="Mariel Mateo" w:date="2024-06-25T15:20:00Z" w16du:dateUtc="2024-06-25T05:20:00Z">
        <w:r>
          <w:rPr>
            <w:rFonts w:ascii="Times New Roman" w:hAnsi="Times New Roman" w:cs="Times New Roman"/>
            <w:sz w:val="24"/>
            <w:szCs w:val="24"/>
            <w:lang w:val="en-US"/>
          </w:rPr>
          <w:t xml:space="preserve"> adapted to patients' needs</w:t>
        </w:r>
      </w:ins>
      <w:r w:rsidR="00090B7C" w:rsidRPr="000F254D">
        <w:rPr>
          <w:rFonts w:ascii="Times New Roman" w:hAnsi="Times New Roman" w:cs="Times New Roman"/>
          <w:sz w:val="24"/>
          <w:szCs w:val="24"/>
          <w:lang w:val="en-US"/>
        </w:rPr>
        <w:t xml:space="preserve">. Moreover, </w:t>
      </w:r>
      <w:commentRangeStart w:id="160"/>
      <w:commentRangeStart w:id="161"/>
      <w:r w:rsidR="00090B7C" w:rsidRPr="000F254D">
        <w:rPr>
          <w:rFonts w:ascii="Times New Roman" w:hAnsi="Times New Roman" w:cs="Times New Roman"/>
          <w:sz w:val="24"/>
          <w:szCs w:val="24"/>
          <w:lang w:val="en-US"/>
        </w:rPr>
        <w:t xml:space="preserve">expanding the knowledge about </w:t>
      </w:r>
      <w:del w:id="162" w:author="Mariel Mateo" w:date="2024-06-25T15:27:00Z" w16du:dateUtc="2024-06-25T05:27:00Z">
        <w:r w:rsidR="00090B7C" w:rsidRPr="000F254D" w:rsidDel="005B0775">
          <w:rPr>
            <w:rFonts w:ascii="Times New Roman" w:hAnsi="Times New Roman" w:cs="Times New Roman"/>
            <w:sz w:val="24"/>
            <w:szCs w:val="24"/>
            <w:lang w:val="en-US"/>
          </w:rPr>
          <w:delText xml:space="preserve">patterns of social </w:delText>
        </w:r>
      </w:del>
      <w:ins w:id="163" w:author="Mariel Mateo" w:date="2024-06-25T15:27:00Z" w16du:dateUtc="2024-06-25T05:27:00Z">
        <w:del w:id="164" w:author="Andrés González Santa Cruz" w:date="2024-06-25T14:52:00Z" w16du:dateUtc="2024-06-25T18:52:00Z">
          <w:r w:rsidR="005B0775" w:rsidDel="00C273FE">
            <w:rPr>
              <w:rFonts w:ascii="Times New Roman" w:hAnsi="Times New Roman" w:cs="Times New Roman"/>
              <w:sz w:val="24"/>
              <w:szCs w:val="24"/>
              <w:lang w:val="en-US"/>
            </w:rPr>
            <w:delText>patients</w:delText>
          </w:r>
        </w:del>
      </w:ins>
      <w:ins w:id="165" w:author="Andrés González Santa Cruz" w:date="2024-06-25T14:52:00Z" w16du:dateUtc="2024-06-25T18:52:00Z">
        <w:r w:rsidR="00C273FE">
          <w:rPr>
            <w:rFonts w:ascii="Times New Roman" w:hAnsi="Times New Roman" w:cs="Times New Roman"/>
            <w:sz w:val="24"/>
            <w:szCs w:val="24"/>
            <w:lang w:val="en-US"/>
          </w:rPr>
          <w:t>patients’</w:t>
        </w:r>
      </w:ins>
      <w:ins w:id="166" w:author="Mariel Mateo" w:date="2024-06-25T15:27:00Z" w16du:dateUtc="2024-06-25T05:27:00Z">
        <w:r w:rsidR="005B0775">
          <w:rPr>
            <w:rFonts w:ascii="Times New Roman" w:hAnsi="Times New Roman" w:cs="Times New Roman"/>
            <w:sz w:val="24"/>
            <w:szCs w:val="24"/>
            <w:lang w:val="en-US"/>
          </w:rPr>
          <w:t xml:space="preserve"> needs and </w:t>
        </w:r>
      </w:ins>
      <w:r w:rsidR="00090B7C" w:rsidRPr="000F254D">
        <w:rPr>
          <w:rFonts w:ascii="Times New Roman" w:hAnsi="Times New Roman" w:cs="Times New Roman"/>
          <w:sz w:val="24"/>
          <w:szCs w:val="24"/>
          <w:lang w:val="en-US"/>
        </w:rPr>
        <w:t xml:space="preserve">inequalities </w:t>
      </w:r>
      <w:del w:id="167" w:author="Mariel Mateo" w:date="2024-06-25T15:27:00Z" w16du:dateUtc="2024-06-25T05:27:00Z">
        <w:r w:rsidR="00090B7C" w:rsidRPr="000F254D" w:rsidDel="005B0775">
          <w:rPr>
            <w:rFonts w:ascii="Times New Roman" w:hAnsi="Times New Roman" w:cs="Times New Roman"/>
            <w:sz w:val="24"/>
            <w:szCs w:val="24"/>
            <w:lang w:val="en-US"/>
          </w:rPr>
          <w:delText xml:space="preserve">and vulnerabilities </w:delText>
        </w:r>
      </w:del>
      <w:r w:rsidR="00090B7C" w:rsidRPr="000F254D">
        <w:rPr>
          <w:rFonts w:ascii="Times New Roman" w:hAnsi="Times New Roman" w:cs="Times New Roman"/>
          <w:sz w:val="24"/>
          <w:szCs w:val="24"/>
          <w:lang w:val="en-US"/>
        </w:rPr>
        <w:t>in access to health services</w:t>
      </w:r>
      <w:commentRangeEnd w:id="160"/>
      <w:r>
        <w:rPr>
          <w:rStyle w:val="Refdecomentario"/>
          <w:rFonts w:ascii="Times New Roman" w:eastAsia="Times New Roman" w:hAnsi="Times New Roman" w:cs="Times New Roman"/>
          <w:lang w:val="en-US" w:eastAsia="es-CL"/>
        </w:rPr>
        <w:commentReference w:id="160"/>
      </w:r>
      <w:commentRangeEnd w:id="161"/>
      <w:r w:rsidR="005B0775">
        <w:rPr>
          <w:rStyle w:val="Refdecomentario"/>
          <w:rFonts w:ascii="Times New Roman" w:eastAsia="Times New Roman" w:hAnsi="Times New Roman" w:cs="Times New Roman"/>
          <w:lang w:val="en-US" w:eastAsia="es-CL"/>
        </w:rPr>
        <w:commentReference w:id="161"/>
      </w:r>
      <w:ins w:id="168" w:author="Mariel Mateo" w:date="2024-06-25T15:26:00Z" w16du:dateUtc="2024-06-25T05:26:00Z">
        <w:r w:rsidR="005B0775">
          <w:rPr>
            <w:rFonts w:ascii="Times New Roman" w:hAnsi="Times New Roman" w:cs="Times New Roman"/>
            <w:sz w:val="24"/>
            <w:szCs w:val="24"/>
            <w:lang w:val="en-US"/>
          </w:rPr>
          <w:t xml:space="preserve"> in the Global South</w:t>
        </w:r>
      </w:ins>
      <w:ins w:id="169" w:author="Mariel Mateo" w:date="2024-06-25T15:28:00Z" w16du:dateUtc="2024-06-25T05:28:00Z">
        <w:r w:rsidR="005B0775">
          <w:rPr>
            <w:rFonts w:ascii="Times New Roman" w:hAnsi="Times New Roman" w:cs="Times New Roman"/>
            <w:sz w:val="24"/>
            <w:szCs w:val="24"/>
            <w:lang w:val="en-US"/>
          </w:rPr>
          <w:t xml:space="preserve"> context</w:t>
        </w:r>
      </w:ins>
      <w:r w:rsidR="00090B7C" w:rsidRPr="000F254D">
        <w:rPr>
          <w:rFonts w:ascii="Times New Roman" w:hAnsi="Times New Roman" w:cs="Times New Roman"/>
          <w:sz w:val="24"/>
          <w:szCs w:val="24"/>
          <w:lang w:val="en-US"/>
        </w:rPr>
        <w:t xml:space="preserve"> can serve as </w:t>
      </w:r>
      <w:ins w:id="170" w:author="Andrés González Santa Cruz" w:date="2024-06-25T15:10:00Z" w16du:dateUtc="2024-06-25T19:10:00Z">
        <w:r w:rsidR="005C12B8">
          <w:rPr>
            <w:rFonts w:ascii="Times New Roman" w:hAnsi="Times New Roman" w:cs="Times New Roman"/>
            <w:sz w:val="24"/>
            <w:szCs w:val="24"/>
            <w:lang w:val="en-US"/>
          </w:rPr>
          <w:t xml:space="preserve">an </w:t>
        </w:r>
      </w:ins>
      <w:r w:rsidR="00090B7C" w:rsidRPr="000F254D">
        <w:rPr>
          <w:rFonts w:ascii="Times New Roman" w:hAnsi="Times New Roman" w:cs="Times New Roman"/>
          <w:sz w:val="24"/>
          <w:szCs w:val="24"/>
          <w:lang w:val="en-US"/>
        </w:rPr>
        <w:t xml:space="preserve">input </w:t>
      </w:r>
      <w:del w:id="171" w:author="Mariel Mateo" w:date="2024-06-25T15:25:00Z" w16du:dateUtc="2024-06-25T05:25:00Z">
        <w:r w:rsidR="00090B7C" w:rsidRPr="000F254D" w:rsidDel="005B0775">
          <w:rPr>
            <w:rFonts w:ascii="Times New Roman" w:hAnsi="Times New Roman" w:cs="Times New Roman"/>
            <w:sz w:val="24"/>
            <w:szCs w:val="24"/>
            <w:lang w:val="en-US"/>
          </w:rPr>
          <w:delText xml:space="preserve">to raise awareness among society and decision-makers and as a guide </w:delText>
        </w:r>
      </w:del>
      <w:r w:rsidR="00090B7C" w:rsidRPr="000F254D">
        <w:rPr>
          <w:rFonts w:ascii="Times New Roman" w:hAnsi="Times New Roman" w:cs="Times New Roman"/>
          <w:sz w:val="24"/>
          <w:szCs w:val="24"/>
          <w:lang w:val="en-US"/>
        </w:rPr>
        <w:t xml:space="preserve">for developing </w:t>
      </w:r>
      <w:ins w:id="172" w:author="Mariel Mateo" w:date="2024-06-25T15:26:00Z" w16du:dateUtc="2024-06-25T05:26:00Z">
        <w:r w:rsidR="005B0775">
          <w:rPr>
            <w:rFonts w:ascii="Times New Roman" w:hAnsi="Times New Roman" w:cs="Times New Roman"/>
            <w:sz w:val="24"/>
            <w:szCs w:val="24"/>
            <w:lang w:val="en-US"/>
          </w:rPr>
          <w:t xml:space="preserve">local </w:t>
        </w:r>
      </w:ins>
      <w:r w:rsidR="00090B7C" w:rsidRPr="000F254D">
        <w:rPr>
          <w:rFonts w:ascii="Times New Roman" w:hAnsi="Times New Roman" w:cs="Times New Roman"/>
          <w:sz w:val="24"/>
          <w:szCs w:val="24"/>
          <w:lang w:val="en-US"/>
        </w:rPr>
        <w:t xml:space="preserve">policies and actions to reduce health inequities. Thus, </w:t>
      </w:r>
      <w:commentRangeStart w:id="173"/>
      <w:r w:rsidR="00090B7C" w:rsidRPr="000F254D">
        <w:rPr>
          <w:rFonts w:ascii="Times New Roman" w:hAnsi="Times New Roman" w:cs="Times New Roman"/>
          <w:sz w:val="24"/>
          <w:szCs w:val="24"/>
          <w:lang w:val="en-US"/>
        </w:rPr>
        <w:t xml:space="preserve">this study aims to address this gap by estimating the </w:t>
      </w:r>
      <w:del w:id="174" w:author="Andrés González Santa Cruz" w:date="2024-06-25T15:11:00Z" w16du:dateUtc="2024-06-25T19:11:00Z">
        <w:r w:rsidR="00090B7C" w:rsidRPr="000F254D" w:rsidDel="005C12B8">
          <w:rPr>
            <w:rFonts w:ascii="Times New Roman" w:hAnsi="Times New Roman" w:cs="Times New Roman"/>
            <w:sz w:val="24"/>
            <w:szCs w:val="24"/>
            <w:lang w:val="en-US"/>
          </w:rPr>
          <w:delText xml:space="preserve">effect </w:delText>
        </w:r>
      </w:del>
      <w:ins w:id="175" w:author="Andrés González Santa Cruz" w:date="2024-06-25T15:11:00Z" w16du:dateUtc="2024-06-25T19:11:00Z">
        <w:r w:rsidR="005C12B8">
          <w:rPr>
            <w:rFonts w:ascii="Times New Roman" w:hAnsi="Times New Roman" w:cs="Times New Roman"/>
            <w:sz w:val="24"/>
            <w:szCs w:val="24"/>
            <w:lang w:val="en-US"/>
          </w:rPr>
          <w:t xml:space="preserve">association </w:t>
        </w:r>
      </w:ins>
      <w:r w:rsidR="00090B7C" w:rsidRPr="000F254D">
        <w:rPr>
          <w:rFonts w:ascii="Times New Roman" w:hAnsi="Times New Roman" w:cs="Times New Roman"/>
          <w:sz w:val="24"/>
          <w:szCs w:val="24"/>
          <w:lang w:val="en-US"/>
        </w:rPr>
        <w:t xml:space="preserve">of having reported PSU </w:t>
      </w:r>
      <w:del w:id="176" w:author="Andrés González Santa Cruz" w:date="2024-06-25T15:11:00Z" w16du:dateUtc="2024-06-25T19:11:00Z">
        <w:r w:rsidR="00090B7C" w:rsidRPr="000F254D" w:rsidDel="005C12B8">
          <w:rPr>
            <w:rFonts w:ascii="Times New Roman" w:hAnsi="Times New Roman" w:cs="Times New Roman"/>
            <w:sz w:val="24"/>
            <w:szCs w:val="24"/>
            <w:lang w:val="en-US"/>
          </w:rPr>
          <w:delText xml:space="preserve">on </w:delText>
        </w:r>
      </w:del>
      <w:ins w:id="177" w:author="Andrés González Santa Cruz" w:date="2024-06-25T15:11:00Z" w16du:dateUtc="2024-06-25T19:11:00Z">
        <w:r w:rsidR="005C12B8">
          <w:rPr>
            <w:rFonts w:ascii="Times New Roman" w:hAnsi="Times New Roman" w:cs="Times New Roman"/>
            <w:sz w:val="24"/>
            <w:szCs w:val="24"/>
            <w:lang w:val="en-US"/>
          </w:rPr>
          <w:t>and</w:t>
        </w:r>
        <w:r w:rsidR="005C12B8" w:rsidRPr="000F254D">
          <w:rPr>
            <w:rFonts w:ascii="Times New Roman" w:hAnsi="Times New Roman" w:cs="Times New Roman"/>
            <w:sz w:val="24"/>
            <w:szCs w:val="24"/>
            <w:lang w:val="en-US"/>
          </w:rPr>
          <w:t xml:space="preserve"> </w:t>
        </w:r>
      </w:ins>
      <w:r w:rsidR="00090B7C" w:rsidRPr="000F254D">
        <w:rPr>
          <w:rFonts w:ascii="Times New Roman" w:hAnsi="Times New Roman" w:cs="Times New Roman"/>
          <w:sz w:val="24"/>
          <w:szCs w:val="24"/>
          <w:lang w:val="en-US"/>
        </w:rPr>
        <w:t xml:space="preserve">treatment completion among adult patients admitted to </w:t>
      </w:r>
      <w:ins w:id="178" w:author="Andrés González Santa Cruz" w:date="2024-06-25T15:11:00Z" w16du:dateUtc="2024-06-25T19:11:00Z">
        <w:r w:rsidR="005C12B8">
          <w:rPr>
            <w:rFonts w:ascii="Times New Roman" w:hAnsi="Times New Roman" w:cs="Times New Roman"/>
            <w:sz w:val="24"/>
            <w:szCs w:val="24"/>
            <w:lang w:val="en-US"/>
          </w:rPr>
          <w:t xml:space="preserve">multiple </w:t>
        </w:r>
      </w:ins>
      <w:r w:rsidR="00090B7C" w:rsidRPr="000F254D">
        <w:rPr>
          <w:rFonts w:ascii="Times New Roman" w:hAnsi="Times New Roman" w:cs="Times New Roman"/>
          <w:sz w:val="24"/>
          <w:szCs w:val="24"/>
          <w:lang w:val="en-US"/>
        </w:rPr>
        <w:t>SUD treatment programs in Chile from 2010-2019</w:t>
      </w:r>
      <w:commentRangeEnd w:id="173"/>
      <w:r>
        <w:rPr>
          <w:rStyle w:val="Refdecomentario"/>
          <w:rFonts w:ascii="Times New Roman" w:eastAsia="Times New Roman" w:hAnsi="Times New Roman" w:cs="Times New Roman"/>
          <w:lang w:val="en-US" w:eastAsia="es-CL"/>
        </w:rPr>
        <w:commentReference w:id="173"/>
      </w:r>
      <w:r w:rsidR="00090B7C" w:rsidRPr="000F254D">
        <w:rPr>
          <w:rFonts w:ascii="Times New Roman" w:hAnsi="Times New Roman" w:cs="Times New Roman"/>
          <w:sz w:val="24"/>
          <w:szCs w:val="24"/>
          <w:lang w:val="en-US"/>
        </w:rPr>
        <w:t>.</w:t>
      </w:r>
      <w:r w:rsidR="00090B7C" w:rsidRPr="000F254D">
        <w:rPr>
          <w:rFonts w:ascii="Times New Roman" w:hAnsi="Times New Roman" w:cs="Times New Roman"/>
          <w:sz w:val="24"/>
          <w:szCs w:val="24"/>
          <w:lang w:val="en-US" w:eastAsia="es-CL"/>
        </w:rPr>
        <w:t xml:space="preserve"> </w:t>
      </w:r>
    </w:p>
    <w:p w14:paraId="6DB4CC7B" w14:textId="77777777" w:rsidR="004B17FE" w:rsidRPr="000F254D" w:rsidRDefault="004B17FE" w:rsidP="000F254D">
      <w:pPr>
        <w:spacing w:after="0" w:line="480" w:lineRule="auto"/>
        <w:ind w:firstLine="567"/>
        <w:rPr>
          <w:rFonts w:ascii="Times New Roman" w:hAnsi="Times New Roman" w:cs="Times New Roman"/>
          <w:sz w:val="24"/>
          <w:szCs w:val="24"/>
          <w:lang w:val="en-US" w:eastAsia="es-CL"/>
        </w:rPr>
      </w:pPr>
    </w:p>
    <w:p w14:paraId="7E5A7165" w14:textId="767117D0" w:rsidR="000F254D" w:rsidRPr="000F254D" w:rsidRDefault="000F254D" w:rsidP="000F254D">
      <w:pPr>
        <w:pStyle w:val="Prrafodelista"/>
        <w:numPr>
          <w:ilvl w:val="0"/>
          <w:numId w:val="5"/>
        </w:numPr>
        <w:spacing w:line="480" w:lineRule="auto"/>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MATERIAL AND METHODS</w:t>
      </w:r>
    </w:p>
    <w:p w14:paraId="66B984B4" w14:textId="77777777" w:rsidR="00303DBD" w:rsidRDefault="000F254D" w:rsidP="00303DBD">
      <w:pPr>
        <w:pStyle w:val="Prrafodelista"/>
        <w:numPr>
          <w:ilvl w:val="1"/>
          <w:numId w:val="5"/>
        </w:numPr>
        <w:tabs>
          <w:tab w:val="left" w:pos="567"/>
        </w:tabs>
        <w:spacing w:line="480" w:lineRule="auto"/>
        <w:ind w:right="-2"/>
        <w:rPr>
          <w:rFonts w:ascii="Times New Roman" w:hAnsi="Times New Roman" w:cs="Times New Roman"/>
          <w:b/>
          <w:bCs/>
          <w:sz w:val="24"/>
          <w:szCs w:val="24"/>
        </w:rPr>
      </w:pPr>
      <w:r w:rsidRPr="000F254D">
        <w:rPr>
          <w:rFonts w:ascii="Times New Roman" w:hAnsi="Times New Roman" w:cs="Times New Roman"/>
          <w:b/>
          <w:bCs/>
          <w:sz w:val="24"/>
          <w:szCs w:val="24"/>
        </w:rPr>
        <w:t>Design</w:t>
      </w:r>
    </w:p>
    <w:p w14:paraId="7BC00A45" w14:textId="0160BE1D" w:rsidR="000F254D" w:rsidRPr="000F254D" w:rsidRDefault="000F254D" w:rsidP="00B479D3">
      <w:pPr>
        <w:widowControl w:val="0"/>
        <w:spacing w:line="480" w:lineRule="auto"/>
        <w:ind w:right="-2" w:firstLine="567"/>
        <w:rPr>
          <w:rFonts w:ascii="Times New Roman" w:hAnsi="Times New Roman" w:cs="Times New Roman"/>
          <w:sz w:val="24"/>
          <w:szCs w:val="24"/>
        </w:rPr>
      </w:pPr>
      <w:r w:rsidRPr="000F254D">
        <w:rPr>
          <w:rFonts w:ascii="Times New Roman" w:hAnsi="Times New Roman" w:cs="Times New Roman"/>
          <w:sz w:val="24"/>
          <w:szCs w:val="24"/>
        </w:rPr>
        <w:t>Th</w:t>
      </w:r>
      <w:ins w:id="179" w:author="Mariel Mateo" w:date="2024-06-25T15:33:00Z" w16du:dateUtc="2024-06-25T05:33:00Z">
        <w:r w:rsidR="005B0775">
          <w:rPr>
            <w:rFonts w:ascii="Times New Roman" w:hAnsi="Times New Roman" w:cs="Times New Roman"/>
            <w:sz w:val="24"/>
            <w:szCs w:val="24"/>
          </w:rPr>
          <w:t>is</w:t>
        </w:r>
      </w:ins>
      <w:del w:id="180" w:author="Mariel Mateo" w:date="2024-06-25T15:33:00Z" w16du:dateUtc="2024-06-25T05:33:00Z">
        <w:r w:rsidRPr="000F254D" w:rsidDel="005B0775">
          <w:rPr>
            <w:rFonts w:ascii="Times New Roman" w:hAnsi="Times New Roman" w:cs="Times New Roman"/>
            <w:sz w:val="24"/>
            <w:szCs w:val="24"/>
          </w:rPr>
          <w:delText>e</w:delText>
        </w:r>
      </w:del>
      <w:r w:rsidRPr="000F254D">
        <w:rPr>
          <w:rFonts w:ascii="Times New Roman" w:hAnsi="Times New Roman" w:cs="Times New Roman"/>
          <w:sz w:val="24"/>
          <w:szCs w:val="24"/>
        </w:rPr>
        <w:t xml:space="preserve"> study was approved by the Griffith University Human Research Ethics Committee (GUHREC GU Ref No: 2022/919).</w:t>
      </w:r>
    </w:p>
    <w:p w14:paraId="680C345E" w14:textId="6C87A199" w:rsidR="00A56D29" w:rsidRDefault="00A56D29" w:rsidP="000F254D">
      <w:pPr>
        <w:pStyle w:val="Prrafodelista"/>
        <w:numPr>
          <w:ilvl w:val="1"/>
          <w:numId w:val="5"/>
        </w:numPr>
        <w:tabs>
          <w:tab w:val="left" w:pos="567"/>
        </w:tabs>
        <w:spacing w:after="0" w:line="480" w:lineRule="auto"/>
        <w:ind w:right="-2"/>
        <w:rPr>
          <w:rFonts w:ascii="Times New Roman" w:hAnsi="Times New Roman" w:cs="Times New Roman"/>
          <w:b/>
          <w:bCs/>
          <w:sz w:val="24"/>
          <w:szCs w:val="24"/>
        </w:rPr>
      </w:pPr>
      <w:r>
        <w:rPr>
          <w:rFonts w:ascii="Times New Roman" w:hAnsi="Times New Roman" w:cs="Times New Roman"/>
          <w:b/>
          <w:bCs/>
          <w:sz w:val="24"/>
          <w:szCs w:val="24"/>
        </w:rPr>
        <w:lastRenderedPageBreak/>
        <w:t>Setting and participants</w:t>
      </w:r>
    </w:p>
    <w:p w14:paraId="4207D3B6" w14:textId="77777777" w:rsidR="00A56D29" w:rsidRDefault="00A56D29" w:rsidP="00B479D3">
      <w:pPr>
        <w:spacing w:line="480" w:lineRule="auto"/>
        <w:ind w:firstLine="567"/>
        <w:rPr>
          <w:rFonts w:ascii="Times New Roman" w:hAnsi="Times New Roman" w:cs="Times New Roman"/>
          <w:sz w:val="24"/>
          <w:szCs w:val="24"/>
          <w:lang w:val="en-US"/>
        </w:rPr>
      </w:pPr>
      <w:r w:rsidRPr="00090B7C">
        <w:rPr>
          <w:rFonts w:ascii="Times New Roman" w:hAnsi="Times New Roman" w:cs="Times New Roman"/>
          <w:sz w:val="24"/>
          <w:szCs w:val="24"/>
          <w:lang w:val="en-US"/>
        </w:rPr>
        <w:t>Substance use treatment (SUT) is available at no cost through Chile’s publicly funded healthcare and is provided in ambulatory and residential modalities in public and private centers.</w:t>
      </w:r>
      <w:r>
        <w:rPr>
          <w:rFonts w:ascii="Times New Roman" w:hAnsi="Times New Roman" w:cs="Times New Roman"/>
          <w:sz w:val="24"/>
          <w:szCs w:val="24"/>
          <w:lang w:val="en-US"/>
        </w:rPr>
        <w:t xml:space="preserve"> </w:t>
      </w:r>
    </w:p>
    <w:p w14:paraId="709947D6" w14:textId="56B6FA55" w:rsidR="00A56D29" w:rsidRPr="007E3CC9" w:rsidRDefault="00A56D29" w:rsidP="00B479D3">
      <w:pPr>
        <w:spacing w:line="480" w:lineRule="auto"/>
        <w:ind w:right="-2" w:firstLine="567"/>
        <w:rPr>
          <w:rFonts w:ascii="Times New Roman" w:hAnsi="Times New Roman" w:cs="Times New Roman"/>
          <w:b/>
          <w:bCs/>
          <w:sz w:val="24"/>
          <w:szCs w:val="24"/>
        </w:rPr>
      </w:pPr>
      <w:r w:rsidRPr="007E3CC9">
        <w:rPr>
          <w:rFonts w:ascii="Times New Roman" w:hAnsi="Times New Roman" w:cs="Times New Roman"/>
          <w:sz w:val="24"/>
          <w:szCs w:val="24"/>
        </w:rPr>
        <w:t>We considered adult patients (+18 years old) with ongoing treatments from 2010 until 2019. Censoring occurred after the date of data retrieval (November 13, 2019), after an outcome event occurred, or when a patient left the cohort with no other outcomes. We excluded from the sample patients with only one treatment episode.</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setting at baseline treatment: basic ambulatory (n= 4,360), </w:t>
      </w:r>
      <w:commentRangeStart w:id="181"/>
      <w:commentRangeStart w:id="182"/>
      <w:del w:id="183" w:author="Andrés González Santa Cruz" w:date="2024-06-25T15:43:00Z" w16du:dateUtc="2024-06-25T19:43:00Z">
        <w:r w:rsidRPr="007E3CC9" w:rsidDel="007E3CC9">
          <w:rPr>
            <w:rFonts w:ascii="Times New Roman" w:hAnsi="Times New Roman" w:cs="Times New Roman"/>
            <w:sz w:val="24"/>
            <w:szCs w:val="24"/>
            <w:lang w:val="en-US"/>
          </w:rPr>
          <w:delText xml:space="preserve">GP </w:delText>
        </w:r>
      </w:del>
      <w:commentRangeEnd w:id="181"/>
      <w:r>
        <w:rPr>
          <w:rStyle w:val="Refdecomentario"/>
          <w:rFonts w:ascii="Times New Roman" w:eastAsia="Times New Roman" w:hAnsi="Times New Roman" w:cs="Times New Roman"/>
          <w:lang w:val="en-US" w:eastAsia="es-CL"/>
        </w:rPr>
        <w:commentReference w:id="181"/>
      </w:r>
      <w:commentRangeEnd w:id="182"/>
      <w:r w:rsidR="007E3CC9">
        <w:rPr>
          <w:rStyle w:val="Refdecomentario"/>
          <w:rFonts w:ascii="Times New Roman" w:eastAsia="Times New Roman" w:hAnsi="Times New Roman" w:cs="Times New Roman"/>
          <w:lang w:val="en-US" w:eastAsia="es-CL"/>
        </w:rPr>
        <w:commentReference w:id="182"/>
      </w:r>
      <w:r w:rsidRPr="007E3CC9">
        <w:rPr>
          <w:rFonts w:ascii="Times New Roman" w:hAnsi="Times New Roman" w:cs="Times New Roman"/>
          <w:sz w:val="24"/>
          <w:szCs w:val="24"/>
          <w:lang w:val="en-US"/>
        </w:rPr>
        <w:t xml:space="preserve">intensive ambulatory </w:t>
      </w:r>
      <w:ins w:id="184" w:author="Andrés González Santa Cruz" w:date="2024-06-25T15:43:00Z" w16du:dateUtc="2024-06-25T19:43:00Z">
        <w:r w:rsidR="007E3CC9">
          <w:rPr>
            <w:rFonts w:ascii="Times New Roman" w:hAnsi="Times New Roman" w:cs="Times New Roman"/>
            <w:sz w:val="24"/>
            <w:szCs w:val="24"/>
            <w:lang w:val="en-US"/>
          </w:rPr>
          <w:t xml:space="preserve">for the general population (GP) </w:t>
        </w:r>
      </w:ins>
      <w:r w:rsidRPr="007E3CC9">
        <w:rPr>
          <w:rFonts w:ascii="Times New Roman" w:hAnsi="Times New Roman" w:cs="Times New Roman"/>
          <w:sz w:val="24"/>
          <w:szCs w:val="24"/>
          <w:lang w:val="en-US"/>
        </w:rPr>
        <w:t xml:space="preserve">(n= 4,998), GP residential (n= 2,178), </w:t>
      </w:r>
      <w:ins w:id="185" w:author="Andrés González Santa Cruz" w:date="2024-06-25T15:43:00Z" w16du:dateUtc="2024-06-25T19:43:00Z">
        <w:r w:rsidR="007E3CC9">
          <w:rPr>
            <w:rFonts w:ascii="Times New Roman" w:hAnsi="Times New Roman" w:cs="Times New Roman"/>
            <w:sz w:val="24"/>
            <w:szCs w:val="24"/>
            <w:lang w:val="en-US"/>
          </w:rPr>
          <w:t>women-specific/only (</w:t>
        </w:r>
      </w:ins>
      <w:r w:rsidRPr="007E3CC9">
        <w:rPr>
          <w:rFonts w:ascii="Times New Roman" w:hAnsi="Times New Roman" w:cs="Times New Roman"/>
          <w:sz w:val="24"/>
          <w:szCs w:val="24"/>
          <w:lang w:val="en-US"/>
        </w:rPr>
        <w:t>WO</w:t>
      </w:r>
      <w:ins w:id="186" w:author="Andrés González Santa Cruz" w:date="2024-06-25T15:43:00Z" w16du:dateUtc="2024-06-25T19:43:00Z">
        <w:r w:rsidR="007E3CC9">
          <w:rPr>
            <w:rFonts w:ascii="Times New Roman" w:hAnsi="Times New Roman" w:cs="Times New Roman"/>
            <w:sz w:val="24"/>
            <w:szCs w:val="24"/>
            <w:lang w:val="en-US"/>
          </w:rPr>
          <w:t>)</w:t>
        </w:r>
      </w:ins>
      <w:r w:rsidRPr="007E3CC9">
        <w:rPr>
          <w:rFonts w:ascii="Times New Roman" w:hAnsi="Times New Roman" w:cs="Times New Roman"/>
          <w:sz w:val="24"/>
          <w:szCs w:val="24"/>
          <w:lang w:val="en-US"/>
        </w:rPr>
        <w:t xml:space="preserve"> intensive ambulatory (n= 745), and WO residential (n= 1,036). </w:t>
      </w:r>
      <w:r w:rsidRPr="003A4AF8" w:rsidDel="00A56D29">
        <w:rPr>
          <w:rFonts w:ascii="Times New Roman" w:hAnsi="Times New Roman" w:cs="Times New Roman"/>
          <w:sz w:val="24"/>
          <w:szCs w:val="24"/>
          <w:lang w:val="en-GB"/>
        </w:rPr>
        <w:t xml:space="preserve">After excluding records of ongoing treatments and referred outside the treatment network, 72,404 patients with 90,075 treatments were selected. </w:t>
      </w:r>
      <w:r w:rsidRPr="003A4AF8" w:rsidDel="00A56D29">
        <w:rPr>
          <w:rFonts w:ascii="Times New Roman" w:hAnsi="Times New Roman" w:cs="Times New Roman"/>
          <w:sz w:val="24"/>
          <w:szCs w:val="24"/>
        </w:rPr>
        <w:t xml:space="preserve">In the total sample, 82% had one treatment episode, while 1% had more than 3 treatment episodes.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with more than one treatment, identifying 13,317 patients and 30,988 observations.</w:t>
      </w:r>
    </w:p>
    <w:p w14:paraId="11570243" w14:textId="458DB2AB" w:rsidR="000F254D" w:rsidRPr="000F254D" w:rsidRDefault="000F254D" w:rsidP="000F254D">
      <w:pPr>
        <w:pStyle w:val="Prrafodelista"/>
        <w:numPr>
          <w:ilvl w:val="1"/>
          <w:numId w:val="5"/>
        </w:numPr>
        <w:tabs>
          <w:tab w:val="left" w:pos="567"/>
        </w:tabs>
        <w:spacing w:after="0" w:line="480" w:lineRule="auto"/>
        <w:ind w:right="-2"/>
        <w:rPr>
          <w:rFonts w:ascii="Times New Roman" w:hAnsi="Times New Roman" w:cs="Times New Roman"/>
          <w:b/>
          <w:bCs/>
          <w:sz w:val="24"/>
          <w:szCs w:val="24"/>
        </w:rPr>
      </w:pPr>
      <w:r w:rsidRPr="000F254D">
        <w:rPr>
          <w:rFonts w:ascii="Times New Roman" w:hAnsi="Times New Roman" w:cs="Times New Roman"/>
          <w:b/>
          <w:bCs/>
          <w:sz w:val="24"/>
          <w:szCs w:val="24"/>
        </w:rPr>
        <w:t>Variables</w:t>
      </w:r>
    </w:p>
    <w:p w14:paraId="452630AB" w14:textId="4E7E1850" w:rsidR="005B0775" w:rsidRDefault="000F254D"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del w:id="187" w:author="Andrés González Santa Cruz" w:date="2024-06-25T16:35:00Z" w16du:dateUtc="2024-06-25T20:35:00Z">
        <w:r w:rsidRPr="000F254D" w:rsidDel="000257E1">
          <w:rPr>
            <w:rFonts w:ascii="Times New Roman" w:hAnsi="Times New Roman" w:cs="Times New Roman"/>
            <w:sz w:val="24"/>
            <w:szCs w:val="24"/>
            <w:lang w:val="en-US"/>
          </w:rPr>
          <w:delText xml:space="preserve">will </w:delText>
        </w:r>
      </w:del>
      <w:ins w:id="188" w:author="Andrés González Santa Cruz" w:date="2024-06-25T16:35:00Z" w16du:dateUtc="2024-06-25T20:35:00Z">
        <w:r w:rsidR="000257E1">
          <w:rPr>
            <w:rFonts w:ascii="Times New Roman" w:hAnsi="Times New Roman" w:cs="Times New Roman"/>
            <w:sz w:val="24"/>
            <w:szCs w:val="24"/>
            <w:lang w:val="en-US"/>
          </w:rPr>
          <w:t>was</w:t>
        </w:r>
        <w:r w:rsidR="000257E1" w:rsidRPr="000F254D">
          <w:rPr>
            <w:rFonts w:ascii="Times New Roman" w:hAnsi="Times New Roman" w:cs="Times New Roman"/>
            <w:sz w:val="24"/>
            <w:szCs w:val="24"/>
            <w:lang w:val="en-US"/>
          </w:rPr>
          <w:t xml:space="preserve"> </w:t>
        </w:r>
      </w:ins>
      <w:del w:id="189" w:author="Andrés González Santa Cruz" w:date="2024-06-25T16:35:00Z" w16du:dateUtc="2024-06-25T20:35:00Z">
        <w:r w:rsidRPr="000F254D" w:rsidDel="000257E1">
          <w:rPr>
            <w:rFonts w:ascii="Times New Roman" w:hAnsi="Times New Roman" w:cs="Times New Roman"/>
            <w:sz w:val="24"/>
            <w:szCs w:val="24"/>
            <w:lang w:val="en-US"/>
          </w:rPr>
          <w:delText xml:space="preserve">be </w:delText>
        </w:r>
      </w:del>
      <w:r w:rsidRPr="000F254D">
        <w:rPr>
          <w:rFonts w:ascii="Times New Roman" w:hAnsi="Times New Roman" w:cs="Times New Roman"/>
          <w:sz w:val="24"/>
          <w:szCs w:val="24"/>
          <w:lang w:val="en-US"/>
        </w:rPr>
        <w:t>PSU at admission</w:t>
      </w:r>
      <w:ins w:id="190" w:author="Andrés González Santa Cruz" w:date="2024-06-25T16:36:00Z" w16du:dateUtc="2024-06-25T20:36:00Z">
        <w:r w:rsidR="000257E1">
          <w:rPr>
            <w:rFonts w:ascii="Times New Roman" w:hAnsi="Times New Roman" w:cs="Times New Roman"/>
            <w:sz w:val="24"/>
            <w:szCs w:val="24"/>
            <w:lang w:val="en-US"/>
          </w:rPr>
          <w:t xml:space="preserve">, </w:t>
        </w:r>
        <w:r w:rsidR="000257E1" w:rsidRPr="009A2F55">
          <w:rPr>
            <w:rFonts w:ascii="Times New Roman" w:hAnsi="Times New Roman" w:cs="Times New Roman"/>
            <w:sz w:val="24"/>
            <w:szCs w:val="24"/>
            <w:highlight w:val="yellow"/>
            <w:lang w:val="en-US"/>
            <w:rPrChange w:id="191" w:author="Andrés González Santa Cruz" w:date="2024-06-27T13:56:00Z" w16du:dateUtc="2024-06-27T17:56:00Z">
              <w:rPr>
                <w:rFonts w:ascii="Times New Roman" w:hAnsi="Times New Roman" w:cs="Times New Roman"/>
                <w:sz w:val="24"/>
                <w:szCs w:val="24"/>
                <w:lang w:val="en-US"/>
              </w:rPr>
            </w:rPrChange>
          </w:rPr>
          <w:t>a</w:t>
        </w:r>
      </w:ins>
      <w:ins w:id="192" w:author="Andrés González Santa Cruz" w:date="2024-06-27T13:56:00Z" w16du:dateUtc="2024-06-27T17:56:00Z">
        <w:r w:rsidR="009A2F55" w:rsidRPr="009A2F55">
          <w:rPr>
            <w:rFonts w:ascii="Times New Roman" w:hAnsi="Times New Roman" w:cs="Times New Roman"/>
            <w:sz w:val="24"/>
            <w:szCs w:val="24"/>
            <w:highlight w:val="yellow"/>
            <w:lang w:val="en-US"/>
            <w:rPrChange w:id="193" w:author="Andrés González Santa Cruz" w:date="2024-06-27T13:56:00Z" w16du:dateUtc="2024-06-27T17:56:00Z">
              <w:rPr>
                <w:rFonts w:ascii="Times New Roman" w:hAnsi="Times New Roman" w:cs="Times New Roman"/>
                <w:sz w:val="24"/>
                <w:szCs w:val="24"/>
                <w:lang w:val="en-US"/>
              </w:rPr>
            </w:rPrChange>
          </w:rPr>
          <w:t xml:space="preserve"> </w:t>
        </w:r>
      </w:ins>
      <w:del w:id="194" w:author="Andrés González Santa Cruz" w:date="2024-06-25T16:35:00Z" w16du:dateUtc="2024-06-25T20:35:00Z">
        <w:r w:rsidRPr="009A2F55" w:rsidDel="000257E1">
          <w:rPr>
            <w:rFonts w:ascii="Times New Roman" w:hAnsi="Times New Roman" w:cs="Times New Roman"/>
            <w:sz w:val="24"/>
            <w:szCs w:val="24"/>
            <w:highlight w:val="yellow"/>
            <w:lang w:val="en-US"/>
            <w:rPrChange w:id="195" w:author="Andrés González Santa Cruz" w:date="2024-06-27T13:56:00Z" w16du:dateUtc="2024-06-27T17:56:00Z">
              <w:rPr>
                <w:rFonts w:ascii="Times New Roman" w:hAnsi="Times New Roman" w:cs="Times New Roman"/>
                <w:sz w:val="24"/>
                <w:szCs w:val="24"/>
                <w:lang w:val="en-US"/>
              </w:rPr>
            </w:rPrChange>
          </w:rPr>
          <w:delText xml:space="preserve"> (</w:delText>
        </w:r>
      </w:del>
      <w:r w:rsidRPr="009A2F55">
        <w:rPr>
          <w:rFonts w:ascii="Times New Roman" w:hAnsi="Times New Roman" w:cs="Times New Roman"/>
          <w:sz w:val="24"/>
          <w:szCs w:val="24"/>
          <w:highlight w:val="yellow"/>
          <w:lang w:val="en-US"/>
          <w:rPrChange w:id="196" w:author="Andrés González Santa Cruz" w:date="2024-06-27T13:56:00Z" w16du:dateUtc="2024-06-27T17:56:00Z">
            <w:rPr>
              <w:rFonts w:ascii="Times New Roman" w:hAnsi="Times New Roman" w:cs="Times New Roman"/>
              <w:sz w:val="24"/>
              <w:szCs w:val="24"/>
              <w:lang w:val="en-US"/>
            </w:rPr>
          </w:rPrChange>
        </w:rPr>
        <w:t>self-report</w:t>
      </w:r>
      <w:ins w:id="197" w:author="Andrés González Santa Cruz" w:date="2024-06-27T13:56:00Z" w16du:dateUtc="2024-06-27T17:56:00Z">
        <w:r w:rsidR="009A2F55" w:rsidRPr="009A2F55">
          <w:rPr>
            <w:rFonts w:ascii="Times New Roman" w:hAnsi="Times New Roman" w:cs="Times New Roman"/>
            <w:sz w:val="24"/>
            <w:szCs w:val="24"/>
            <w:highlight w:val="yellow"/>
            <w:lang w:val="en-US"/>
            <w:rPrChange w:id="198" w:author="Andrés González Santa Cruz" w:date="2024-06-27T13:56:00Z" w16du:dateUtc="2024-06-27T17:56:00Z">
              <w:rPr>
                <w:rFonts w:ascii="Times New Roman" w:hAnsi="Times New Roman" w:cs="Times New Roman"/>
                <w:sz w:val="24"/>
                <w:szCs w:val="24"/>
                <w:lang w:val="en-US"/>
              </w:rPr>
            </w:rPrChange>
          </w:rPr>
          <w:t>ed answer</w:t>
        </w:r>
      </w:ins>
      <w:r w:rsidRPr="000F254D">
        <w:rPr>
          <w:rFonts w:ascii="Times New Roman" w:hAnsi="Times New Roman" w:cs="Times New Roman"/>
          <w:sz w:val="24"/>
          <w:szCs w:val="24"/>
          <w:lang w:val="en-US"/>
        </w:rPr>
        <w:t xml:space="preserve"> of using more than one main substance among alcohol and illicit drugs at admission to SUD treatment, whether sequential or concurrent</w:t>
      </w:r>
      <w:del w:id="199" w:author="Andrés González Santa Cruz" w:date="2024-06-25T16:36:00Z" w16du:dateUtc="2024-06-25T20:36:00Z">
        <w:r w:rsidRPr="000F254D" w:rsidDel="000257E1">
          <w:rPr>
            <w:rFonts w:ascii="Times New Roman" w:hAnsi="Times New Roman" w:cs="Times New Roman"/>
            <w:sz w:val="24"/>
            <w:szCs w:val="24"/>
            <w:lang w:val="en-US"/>
          </w:rPr>
          <w:delText>)</w:delText>
        </w:r>
      </w:del>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p>
    <w:p w14:paraId="2871D784" w14:textId="324D09FA" w:rsidR="000F254D" w:rsidRPr="000F254D" w:rsidRDefault="000F254D"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ins w:id="200" w:author="Andrés González Santa Cruz" w:date="2024-06-25T16:37:00Z" w16du:dateUtc="2024-06-25T20:37:00Z">
        <w:r w:rsidR="000257E1">
          <w:rPr>
            <w:rFonts w:ascii="Times New Roman" w:hAnsi="Times New Roman" w:cs="Times New Roman"/>
            <w:sz w:val="24"/>
            <w:szCs w:val="24"/>
            <w:lang w:val="en-US"/>
          </w:rPr>
          <w:t>non-</w:t>
        </w:r>
      </w:ins>
      <w:r w:rsidRPr="000F254D">
        <w:rPr>
          <w:rFonts w:ascii="Times New Roman" w:hAnsi="Times New Roman" w:cs="Times New Roman"/>
          <w:sz w:val="24"/>
          <w:szCs w:val="24"/>
          <w:lang w:val="en-US"/>
        </w:rPr>
        <w:t xml:space="preserve">completion status (1=dropout or spelled by misconduct; 0= completed treatments). Additionally, the models adjusted for </w:t>
      </w:r>
      <w:r w:rsidRPr="000F254D">
        <w:rPr>
          <w:rFonts w:ascii="Times New Roman" w:hAnsi="Times New Roman" w:cs="Times New Roman"/>
          <w:sz w:val="24"/>
          <w:szCs w:val="24"/>
          <w:lang w:val="en-US"/>
        </w:rPr>
        <w:lastRenderedPageBreak/>
        <w:t xml:space="preserve">various baseline </w:t>
      </w:r>
      <w:del w:id="201" w:author="Andrés González Santa Cruz" w:date="2024-06-25T20:45:00Z" w16du:dateUtc="2024-06-26T00:45:00Z">
        <w:r w:rsidRPr="000F254D" w:rsidDel="00B479D3">
          <w:rPr>
            <w:rFonts w:ascii="Times New Roman" w:hAnsi="Times New Roman" w:cs="Times New Roman"/>
            <w:sz w:val="24"/>
            <w:szCs w:val="24"/>
            <w:lang w:val="en-US"/>
          </w:rPr>
          <w:delText xml:space="preserve">and time-varying </w:delText>
        </w:r>
      </w:del>
      <w:r w:rsidRPr="000F254D">
        <w:rPr>
          <w:rFonts w:ascii="Times New Roman" w:hAnsi="Times New Roman" w:cs="Times New Roman"/>
          <w:sz w:val="24"/>
          <w:szCs w:val="24"/>
          <w:lang w:val="en-US"/>
        </w:rPr>
        <w:t>confounding variables related to substance use, demographics, and social factors</w:t>
      </w:r>
      <w:del w:id="202" w:author="Andrés González Santa Cruz" w:date="2024-06-25T20:45:00Z" w16du:dateUtc="2024-06-26T00:45:00Z">
        <w:r w:rsidR="005B0775" w:rsidDel="00B479D3">
          <w:rPr>
            <w:rFonts w:ascii="Times New Roman" w:hAnsi="Times New Roman" w:cs="Times New Roman"/>
            <w:sz w:val="24"/>
            <w:szCs w:val="24"/>
            <w:lang w:val="en-US"/>
          </w:rPr>
          <w:delText>,</w:delText>
        </w:r>
        <w:r w:rsidRPr="000F254D" w:rsidDel="00B479D3">
          <w:rPr>
            <w:rFonts w:ascii="Times New Roman" w:hAnsi="Times New Roman" w:cs="Times New Roman"/>
            <w:sz w:val="24"/>
            <w:szCs w:val="24"/>
            <w:lang w:val="en-US"/>
          </w:rPr>
          <w:delText xml:space="preserve"> mainly to correct irregular observation times that may be related to the outcomes</w:delText>
        </w:r>
      </w:del>
      <w:r w:rsidRPr="000F254D">
        <w:rPr>
          <w:rFonts w:ascii="Times New Roman" w:hAnsi="Times New Roman" w:cs="Times New Roman"/>
          <w:sz w:val="24"/>
          <w:szCs w:val="24"/>
          <w:lang w:val="en-US"/>
        </w:rPr>
        <w:t>.</w:t>
      </w:r>
    </w:p>
    <w:p w14:paraId="32659A07" w14:textId="3C6B0FF9" w:rsidR="000F254D" w:rsidRPr="000F254D" w:rsidDel="00B479D3" w:rsidRDefault="000F254D" w:rsidP="007E3CC9">
      <w:pPr>
        <w:spacing w:line="480" w:lineRule="auto"/>
        <w:rPr>
          <w:del w:id="203" w:author="Andrés González Santa Cruz" w:date="2024-06-25T20:45:00Z" w16du:dateUtc="2024-06-26T00:45:00Z"/>
          <w:rFonts w:ascii="Times New Roman" w:hAnsi="Times New Roman" w:cs="Times New Roman"/>
          <w:sz w:val="24"/>
          <w:szCs w:val="24"/>
          <w:lang w:val="en-US"/>
        </w:rPr>
      </w:pPr>
      <w:del w:id="204" w:author="Andrés González Santa Cruz" w:date="2024-06-25T20:45:00Z" w16du:dateUtc="2024-06-26T00:45:00Z">
        <w:r w:rsidRPr="000F254D" w:rsidDel="00B479D3">
          <w:rPr>
            <w:rFonts w:ascii="Times New Roman" w:hAnsi="Times New Roman" w:cs="Times New Roman"/>
            <w:sz w:val="24"/>
            <w:szCs w:val="24"/>
            <w:lang w:val="en-US"/>
          </w:rPr>
          <w:delText xml:space="preserve">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(initial diagnosis; alcohol, cocaine hydrochloride, cocaine base paste, marijuana), </w:delText>
        </w:r>
        <w:r w:rsidR="005B0775" w:rsidDel="00B479D3">
          <w:rPr>
            <w:rFonts w:ascii="Times New Roman" w:hAnsi="Times New Roman" w:cs="Times New Roman"/>
            <w:sz w:val="24"/>
            <w:szCs w:val="24"/>
            <w:lang w:val="en-US"/>
          </w:rPr>
          <w:delText>p</w:delText>
        </w:r>
        <w:r w:rsidRPr="000F254D" w:rsidDel="00B479D3">
          <w:rPr>
            <w:rFonts w:ascii="Times New Roman" w:hAnsi="Times New Roman" w:cs="Times New Roman"/>
            <w:sz w:val="24"/>
            <w:szCs w:val="24"/>
            <w:lang w:val="en-US"/>
          </w:rPr>
          <w:delText>sychiatric comorbidity under the International Classification of Diseases</w:delText>
        </w:r>
        <w:r w:rsidR="005B0775" w:rsidDel="00B479D3">
          <w:rPr>
            <w:rFonts w:ascii="Times New Roman" w:hAnsi="Times New Roman" w:cs="Times New Roman"/>
            <w:sz w:val="24"/>
            <w:szCs w:val="24"/>
            <w:lang w:val="en-US"/>
          </w:rPr>
          <w:delText>-</w:delText>
        </w:r>
        <w:r w:rsidRPr="000F254D" w:rsidDel="00B479D3">
          <w:rPr>
            <w:rFonts w:ascii="Times New Roman" w:hAnsi="Times New Roman" w:cs="Times New Roman"/>
            <w:sz w:val="24"/>
            <w:szCs w:val="24"/>
            <w:lang w:val="en-US"/>
          </w:rPr>
          <w:delText xml:space="preserve"> 10th Revision (ICD-10) (</w:delText>
        </w:r>
        <w:r w:rsidR="00B722A3" w:rsidDel="00B479D3">
          <w:rPr>
            <w:rFonts w:ascii="Times New Roman" w:hAnsi="Times New Roman" w:cs="Times New Roman"/>
            <w:sz w:val="24"/>
            <w:szCs w:val="24"/>
            <w:lang w:val="en-US"/>
          </w:rPr>
          <w:delText xml:space="preserve">confirmed comorbidity and </w:delText>
        </w:r>
        <w:commentRangeStart w:id="205"/>
        <w:commentRangeStart w:id="206"/>
        <w:r w:rsidRPr="000F254D" w:rsidDel="00B479D3">
          <w:rPr>
            <w:rFonts w:ascii="Times New Roman" w:hAnsi="Times New Roman" w:cs="Times New Roman"/>
            <w:sz w:val="24"/>
            <w:szCs w:val="24"/>
            <w:lang w:val="en-US"/>
          </w:rPr>
          <w:delText>diagnosis unknown or under study</w:delText>
        </w:r>
        <w:commentRangeEnd w:id="205"/>
        <w:r w:rsidR="00B722A3" w:rsidDel="00B479D3">
          <w:rPr>
            <w:rStyle w:val="Refdecomentario"/>
            <w:rFonts w:ascii="Times New Roman" w:eastAsia="Times New Roman" w:hAnsi="Times New Roman" w:cs="Times New Roman"/>
            <w:lang w:val="en-US" w:eastAsia="es-CL"/>
          </w:rPr>
          <w:commentReference w:id="205"/>
        </w:r>
        <w:commentRangeEnd w:id="206"/>
        <w:r w:rsidR="007E3CC9" w:rsidDel="00B479D3">
          <w:rPr>
            <w:rStyle w:val="Refdecomentario"/>
            <w:rFonts w:ascii="Times New Roman" w:eastAsia="Times New Roman" w:hAnsi="Times New Roman" w:cs="Times New Roman"/>
            <w:lang w:val="en-US" w:eastAsia="es-CL"/>
          </w:rPr>
          <w:commentReference w:id="206"/>
        </w:r>
        <w:r w:rsidRPr="000F254D" w:rsidDel="00B479D3">
          <w:rPr>
            <w:rFonts w:ascii="Times New Roman" w:hAnsi="Times New Roman" w:cs="Times New Roman"/>
            <w:sz w:val="24"/>
            <w:szCs w:val="24"/>
            <w:lang w:val="en-US"/>
          </w:rPr>
          <w:delText>), daily frequenc</w:delText>
        </w:r>
        <w:r w:rsidR="00B722A3" w:rsidDel="00B479D3">
          <w:rPr>
            <w:rFonts w:ascii="Times New Roman" w:hAnsi="Times New Roman" w:cs="Times New Roman"/>
            <w:sz w:val="24"/>
            <w:szCs w:val="24"/>
            <w:lang w:val="en-US"/>
          </w:rPr>
          <w:delText>y</w:delText>
        </w:r>
        <w:r w:rsidRPr="000F254D" w:rsidDel="00B479D3">
          <w:rPr>
            <w:rFonts w:ascii="Times New Roman" w:hAnsi="Times New Roman" w:cs="Times New Roman"/>
            <w:sz w:val="24"/>
            <w:szCs w:val="24"/>
            <w:lang w:val="en-US"/>
          </w:rPr>
          <w:delText xml:space="preserve"> of primary substance use at admission, occupational status (inactive or unemployed), and primary substance at admission to treatment (alcohol, cocaine hydrochloride, cocaine base paste, and marijuana).</w:delText>
        </w:r>
      </w:del>
    </w:p>
    <w:p w14:paraId="7ED2C56C" w14:textId="4F9B4BF4" w:rsidR="000F254D" w:rsidRPr="000F254D" w:rsidRDefault="00B479D3" w:rsidP="000F254D">
      <w:pPr>
        <w:spacing w:line="480" w:lineRule="auto"/>
        <w:ind w:firstLine="567"/>
        <w:rPr>
          <w:rFonts w:ascii="Times New Roman" w:hAnsi="Times New Roman" w:cs="Times New Roman"/>
          <w:sz w:val="24"/>
          <w:szCs w:val="24"/>
          <w:lang w:val="en-US"/>
        </w:rPr>
      </w:pPr>
      <w:ins w:id="207" w:author="Andrés González Santa Cruz" w:date="2024-06-25T20:46:00Z" w16du:dateUtc="2024-06-26T00:46:00Z">
        <w:r>
          <w:rPr>
            <w:rFonts w:ascii="Times New Roman" w:hAnsi="Times New Roman" w:cs="Times New Roman"/>
            <w:sz w:val="24"/>
            <w:szCs w:val="24"/>
            <w:lang w:val="en-US"/>
          </w:rPr>
          <w:t xml:space="preserve">The following </w:t>
        </w:r>
      </w:ins>
      <w:del w:id="208" w:author="Andrés González Santa Cruz" w:date="2024-06-25T20:46:00Z" w16du:dateUtc="2024-06-26T00:46:00Z">
        <w:r w:rsidR="000F254D" w:rsidRPr="000F254D" w:rsidDel="00B479D3">
          <w:rPr>
            <w:rFonts w:ascii="Times New Roman" w:hAnsi="Times New Roman" w:cs="Times New Roman"/>
            <w:sz w:val="24"/>
            <w:szCs w:val="24"/>
            <w:lang w:val="en-US"/>
          </w:rPr>
          <w:delText>C</w:delText>
        </w:r>
      </w:del>
      <w:ins w:id="209" w:author="Andrés González Santa Cruz" w:date="2024-06-25T20:46:00Z" w16du:dateUtc="2024-06-26T00:46:00Z">
        <w:r>
          <w:rPr>
            <w:rFonts w:ascii="Times New Roman" w:hAnsi="Times New Roman" w:cs="Times New Roman"/>
            <w:sz w:val="24"/>
            <w:szCs w:val="24"/>
            <w:lang w:val="en-US"/>
          </w:rPr>
          <w:t>c</w:t>
        </w:r>
      </w:ins>
      <w:r w:rsidR="000F254D" w:rsidRPr="000F254D">
        <w:rPr>
          <w:rFonts w:ascii="Times New Roman" w:hAnsi="Times New Roman" w:cs="Times New Roman"/>
          <w:sz w:val="24"/>
          <w:szCs w:val="24"/>
          <w:lang w:val="en-US"/>
        </w:rPr>
        <w:t xml:space="preserve">ovariates for the </w:t>
      </w:r>
      <w:del w:id="210" w:author="Andrés González Santa Cruz" w:date="2024-06-25T20:46:00Z" w16du:dateUtc="2024-06-26T00:46:00Z">
        <w:r w:rsidR="000F254D" w:rsidRPr="000F254D" w:rsidDel="00B479D3">
          <w:rPr>
            <w:rFonts w:ascii="Times New Roman" w:hAnsi="Times New Roman" w:cs="Times New Roman"/>
            <w:sz w:val="24"/>
            <w:szCs w:val="24"/>
            <w:lang w:val="en-US"/>
          </w:rPr>
          <w:delText xml:space="preserve">outcome </w:delText>
        </w:r>
      </w:del>
      <w:r w:rsidR="000F254D" w:rsidRPr="000F254D">
        <w:rPr>
          <w:rFonts w:ascii="Times New Roman" w:hAnsi="Times New Roman" w:cs="Times New Roman"/>
          <w:sz w:val="24"/>
          <w:szCs w:val="24"/>
          <w:lang w:val="en-US"/>
        </w:rPr>
        <w:t>model of the association between reported substance use and treatment outcome</w:t>
      </w:r>
      <w:ins w:id="211" w:author="Andrés González Santa Cruz" w:date="2024-06-25T20:46:00Z" w16du:dateUtc="2024-06-26T00:46:00Z">
        <w:r>
          <w:rPr>
            <w:rFonts w:ascii="Times New Roman" w:hAnsi="Times New Roman" w:cs="Times New Roman"/>
            <w:sz w:val="24"/>
            <w:szCs w:val="24"/>
            <w:lang w:val="en-US"/>
          </w:rPr>
          <w:t xml:space="preserve"> were included</w:t>
        </w:r>
      </w:ins>
      <w:r w:rsidR="000F254D" w:rsidRPr="000F254D">
        <w:rPr>
          <w:rFonts w:ascii="Times New Roman" w:hAnsi="Times New Roman" w:cs="Times New Roman"/>
          <w:sz w:val="24"/>
          <w:szCs w:val="24"/>
          <w:lang w:val="en-US"/>
        </w:rPr>
        <w:t>: biopsychosocial compromise (severe status) at admission to treatment, age at admission to treatment, birth year, primary substance of the initial diagnosis (</w:t>
      </w:r>
      <w:del w:id="212" w:author="Andrés González Santa Cruz" w:date="2024-06-27T13:57:00Z" w16du:dateUtc="2024-06-27T17:57:00Z">
        <w:r w:rsidR="000F254D" w:rsidRPr="000F254D" w:rsidDel="003B6E1F">
          <w:rPr>
            <w:rFonts w:ascii="Times New Roman" w:hAnsi="Times New Roman" w:cs="Times New Roman"/>
            <w:sz w:val="24"/>
            <w:szCs w:val="24"/>
            <w:lang w:val="en-US"/>
          </w:rPr>
          <w:delText xml:space="preserve">alcohol, </w:delText>
        </w:r>
      </w:del>
      <w:r w:rsidR="000F254D" w:rsidRPr="000F254D">
        <w:rPr>
          <w:rFonts w:ascii="Times New Roman" w:hAnsi="Times New Roman" w:cs="Times New Roman"/>
          <w:sz w:val="24"/>
          <w:szCs w:val="24"/>
          <w:lang w:val="en-US"/>
        </w:rPr>
        <w:t>cocaine hydrochloride, cocaine base paste, marijuana</w:t>
      </w:r>
      <w:ins w:id="213" w:author="Andrés González Santa Cruz" w:date="2024-06-25T16:10:00Z" w16du:dateUtc="2024-06-25T20:10:00Z">
        <w:r w:rsidR="000631C2">
          <w:rPr>
            <w:rFonts w:ascii="Times New Roman" w:hAnsi="Times New Roman" w:cs="Times New Roman"/>
            <w:sz w:val="24"/>
            <w:szCs w:val="24"/>
            <w:lang w:val="en-US"/>
          </w:rPr>
          <w:t xml:space="preserve"> and other substances</w:t>
        </w:r>
      </w:ins>
      <w:r w:rsidR="000F254D" w:rsidRPr="000F254D">
        <w:rPr>
          <w:rFonts w:ascii="Times New Roman" w:hAnsi="Times New Roman" w:cs="Times New Roman"/>
          <w:sz w:val="24"/>
          <w:szCs w:val="24"/>
          <w:lang w:val="en-US"/>
        </w:rPr>
        <w:t>), psychiatric comorbidity (</w:t>
      </w:r>
      <w:r w:rsidR="00B722A3" w:rsidRPr="000F254D">
        <w:rPr>
          <w:rFonts w:ascii="Times New Roman" w:hAnsi="Times New Roman" w:cs="Times New Roman"/>
          <w:sz w:val="24"/>
          <w:szCs w:val="24"/>
          <w:lang w:val="en-US"/>
        </w:rPr>
        <w:t>confirmed comorbidity</w:t>
      </w:r>
      <w:r w:rsidR="00B722A3">
        <w:rPr>
          <w:rFonts w:ascii="Times New Roman" w:hAnsi="Times New Roman" w:cs="Times New Roman"/>
          <w:sz w:val="24"/>
          <w:szCs w:val="24"/>
          <w:lang w:val="en-US"/>
        </w:rPr>
        <w:t xml:space="preserve"> and</w:t>
      </w:r>
      <w:r w:rsidR="00B722A3" w:rsidRPr="000F254D">
        <w:rPr>
          <w:rFonts w:ascii="Times New Roman" w:hAnsi="Times New Roman" w:cs="Times New Roman"/>
          <w:sz w:val="24"/>
          <w:szCs w:val="24"/>
          <w:lang w:val="en-US"/>
        </w:rPr>
        <w:t xml:space="preserve"> </w:t>
      </w:r>
      <w:commentRangeStart w:id="214"/>
      <w:r w:rsidR="000F254D" w:rsidRPr="000F254D">
        <w:rPr>
          <w:rFonts w:ascii="Times New Roman" w:hAnsi="Times New Roman" w:cs="Times New Roman"/>
          <w:sz w:val="24"/>
          <w:szCs w:val="24"/>
          <w:lang w:val="en-US"/>
        </w:rPr>
        <w:t>diagnosis unknown or under study</w:t>
      </w:r>
      <w:commentRangeEnd w:id="214"/>
      <w:r w:rsidR="00B722A3">
        <w:rPr>
          <w:rStyle w:val="Refdecomentario"/>
          <w:rFonts w:ascii="Times New Roman" w:eastAsia="Times New Roman" w:hAnsi="Times New Roman" w:cs="Times New Roman"/>
          <w:lang w:val="en-US" w:eastAsia="es-CL"/>
        </w:rPr>
        <w:commentReference w:id="214"/>
      </w:r>
      <w:r w:rsidR="000F254D" w:rsidRPr="000F254D">
        <w:rPr>
          <w:rFonts w:ascii="Times New Roman" w:hAnsi="Times New Roman" w:cs="Times New Roman"/>
          <w:sz w:val="24"/>
          <w:szCs w:val="24"/>
          <w:lang w:val="en-US"/>
        </w:rPr>
        <w:t xml:space="preserve">), daily frequence of primary substance use at admission, occupational status (inactive and unemployed), primary substance at admission to treatment (cocaine hydrochloride, cocaine base paste, marijuana, </w:t>
      </w:r>
      <w:del w:id="215" w:author="Andrés González Santa Cruz" w:date="2024-06-27T13:57:00Z" w16du:dateUtc="2024-06-27T17:57:00Z">
        <w:r w:rsidR="000F254D" w:rsidRPr="000F254D" w:rsidDel="003B6E1F">
          <w:rPr>
            <w:rFonts w:ascii="Times New Roman" w:hAnsi="Times New Roman" w:cs="Times New Roman"/>
            <w:sz w:val="24"/>
            <w:szCs w:val="24"/>
            <w:lang w:val="en-US"/>
          </w:rPr>
          <w:delText>alcohol</w:delText>
        </w:r>
      </w:del>
      <w:ins w:id="216" w:author="Andrés González Santa Cruz" w:date="2024-06-25T16:10:00Z" w16du:dateUtc="2024-06-25T20:10:00Z">
        <w:r w:rsidR="000631C2">
          <w:rPr>
            <w:rFonts w:ascii="Times New Roman" w:hAnsi="Times New Roman" w:cs="Times New Roman"/>
            <w:sz w:val="24"/>
            <w:szCs w:val="24"/>
            <w:lang w:val="en-US"/>
          </w:rPr>
          <w:t>and other substances</w:t>
        </w:r>
      </w:ins>
      <w:r w:rsidR="000F254D" w:rsidRPr="000F254D">
        <w:rPr>
          <w:rFonts w:ascii="Times New Roman" w:hAnsi="Times New Roman" w:cs="Times New Roman"/>
          <w:sz w:val="24"/>
          <w:szCs w:val="24"/>
          <w:lang w:val="en-US"/>
        </w:rPr>
        <w:t>). For further information, please review Supplemental Section 1.</w:t>
      </w:r>
    </w:p>
    <w:p w14:paraId="65992981" w14:textId="44EEBA0A" w:rsidR="000F254D" w:rsidRPr="000F254D" w:rsidRDefault="000F254D" w:rsidP="000F254D">
      <w:pPr>
        <w:pStyle w:val="Prrafodelista"/>
        <w:numPr>
          <w:ilvl w:val="1"/>
          <w:numId w:val="5"/>
        </w:numPr>
        <w:tabs>
          <w:tab w:val="left" w:pos="567"/>
        </w:tabs>
        <w:spacing w:after="0" w:line="480" w:lineRule="auto"/>
        <w:ind w:right="565"/>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Missing data</w:t>
      </w:r>
    </w:p>
    <w:p w14:paraId="3FDA3220" w14:textId="5713C25D" w:rsidR="000F254D" w:rsidRPr="000F254D" w:rsidRDefault="000F254D"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random-forest-based imputation using the </w:t>
      </w:r>
      <w:r w:rsidRPr="000F254D">
        <w:rPr>
          <w:rFonts w:ascii="Times New Roman" w:eastAsia="Times New Roman" w:hAnsi="Times New Roman" w:cs="Times New Roman"/>
          <w:i/>
          <w:iCs/>
          <w:sz w:val="24"/>
          <w:szCs w:val="24"/>
          <w:lang w:val="en-US" w:eastAsia="en-AU"/>
        </w:rPr>
        <w:t>missRanger</w:t>
      </w:r>
      <w:r w:rsidRPr="000F254D">
        <w:rPr>
          <w:rFonts w:ascii="Times New Roman" w:eastAsia="Times New Roman" w:hAnsi="Times New Roman" w:cs="Times New Roman"/>
          <w:sz w:val="24"/>
          <w:szCs w:val="24"/>
          <w:lang w:val="en-US" w:eastAsia="en-AU"/>
        </w:rPr>
        <w:t xml:space="preserve"> package. We use</w:t>
      </w:r>
      <w:r w:rsidR="00D67DF7">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 using 5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steps. This imputation procedure may circumvent specification of interactions or nonparametric relationships and can handle collinearity between imputation variables </w:t>
      </w:r>
      <w:r w:rsidRPr="000F254D">
        <w:rPr>
          <w:rFonts w:ascii="Times New Roman" w:eastAsia="Times New Roman" w:hAnsi="Times New Roman" w:cs="Times New Roman"/>
          <w:sz w:val="24"/>
          <w:szCs w:val="24"/>
          <w:lang w:val="en-US" w:eastAsia="en-AU"/>
        </w:rPr>
        <w:fldChar w:fldCharType="begin"/>
      </w:r>
      <w:r w:rsidR="00BC7832">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30C1BD8F" w14:textId="2D3994F9" w:rsidR="000F254D" w:rsidRPr="000F254D" w:rsidRDefault="000F254D" w:rsidP="000F254D">
      <w:pPr>
        <w:pStyle w:val="Prrafodelista"/>
        <w:numPr>
          <w:ilvl w:val="1"/>
          <w:numId w:val="5"/>
        </w:numPr>
        <w:tabs>
          <w:tab w:val="left" w:pos="567"/>
        </w:tabs>
        <w:spacing w:after="0" w:line="480" w:lineRule="auto"/>
        <w:ind w:right="565"/>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Model adjustment</w:t>
      </w:r>
    </w:p>
    <w:p w14:paraId="120B06B1" w14:textId="0D19D3F8" w:rsidR="00B479D3" w:rsidRDefault="00B479D3" w:rsidP="000F254D">
      <w:pPr>
        <w:spacing w:line="480" w:lineRule="auto"/>
        <w:ind w:right="-2" w:firstLine="567"/>
        <w:rPr>
          <w:rFonts w:ascii="Times New Roman" w:hAnsi="Times New Roman" w:cs="Times New Roman"/>
          <w:sz w:val="24"/>
          <w:szCs w:val="24"/>
        </w:rPr>
      </w:pPr>
      <w:ins w:id="217" w:author="Andrés González Santa Cruz" w:date="2024-06-25T20:57:00Z" w16du:dateUtc="2024-06-26T00:57:00Z">
        <w:r>
          <w:rPr>
            <w:rFonts w:ascii="Times New Roman" w:hAnsi="Times New Roman" w:cs="Times New Roman"/>
            <w:sz w:val="24"/>
            <w:szCs w:val="24"/>
          </w:rPr>
          <w:t>W</w:t>
        </w:r>
      </w:ins>
      <w:r w:rsidR="000F254D" w:rsidRPr="000F254D">
        <w:rPr>
          <w:rFonts w:ascii="Times New Roman" w:hAnsi="Times New Roman" w:cs="Times New Roman"/>
          <w:sz w:val="24"/>
          <w:szCs w:val="24"/>
        </w:rPr>
        <w:t>e fit</w:t>
      </w:r>
      <w:ins w:id="218" w:author="Andrés González Santa Cruz" w:date="2024-06-25T21:52:00Z" w16du:dateUtc="2024-06-26T01:52:00Z">
        <w:r w:rsidR="002E0582">
          <w:rPr>
            <w:rFonts w:ascii="Times New Roman" w:hAnsi="Times New Roman" w:cs="Times New Roman"/>
            <w:sz w:val="24"/>
            <w:szCs w:val="24"/>
          </w:rPr>
          <w:t>ted</w:t>
        </w:r>
      </w:ins>
      <w:r w:rsidR="000F254D" w:rsidRPr="000F254D">
        <w:rPr>
          <w:rFonts w:ascii="Times New Roman" w:hAnsi="Times New Roman" w:cs="Times New Roman"/>
          <w:sz w:val="24"/>
          <w:szCs w:val="24"/>
        </w:rPr>
        <w:t xml:space="preserve"> marginal regression models to estimate the</w:t>
      </w:r>
      <w:r w:rsidR="000F254D" w:rsidRPr="000F254D">
        <w:rPr>
          <w:rFonts w:ascii="Times New Roman" w:hAnsi="Times New Roman" w:cs="Times New Roman"/>
          <w:sz w:val="24"/>
          <w:szCs w:val="24"/>
          <w:lang w:val="en-US"/>
        </w:rPr>
        <w:t xml:space="preserve"> </w:t>
      </w:r>
      <w:r w:rsidR="000F254D" w:rsidRPr="000F254D">
        <w:rPr>
          <w:rFonts w:ascii="Times New Roman" w:hAnsi="Times New Roman" w:cs="Times New Roman"/>
          <w:sz w:val="24"/>
          <w:szCs w:val="24"/>
        </w:rPr>
        <w:t>relative risk</w:t>
      </w:r>
      <w:ins w:id="219" w:author="Andrés González Santa Cruz" w:date="2024-06-27T12:34:00Z" w16du:dateUtc="2024-06-27T16:34:00Z">
        <w:r w:rsidR="00CD38C2">
          <w:rPr>
            <w:rFonts w:ascii="Times New Roman" w:hAnsi="Times New Roman" w:cs="Times New Roman"/>
            <w:sz w:val="24"/>
            <w:szCs w:val="24"/>
          </w:rPr>
          <w:t xml:space="preserve"> (RR)</w:t>
        </w:r>
      </w:ins>
      <w:r w:rsidR="000F254D" w:rsidRPr="000F254D">
        <w:rPr>
          <w:rFonts w:ascii="Times New Roman" w:hAnsi="Times New Roman" w:cs="Times New Roman"/>
          <w:sz w:val="24"/>
          <w:szCs w:val="24"/>
        </w:rPr>
        <w:t xml:space="preserve"> of people with or without PSU at admission</w:t>
      </w:r>
      <w:ins w:id="220" w:author="Andrés González Santa Cruz" w:date="2024-06-25T21:52:00Z" w16du:dateUtc="2024-06-26T01:52:00Z">
        <w:r w:rsidR="002E0582">
          <w:rPr>
            <w:rFonts w:ascii="Times New Roman" w:hAnsi="Times New Roman" w:cs="Times New Roman"/>
            <w:sz w:val="24"/>
            <w:szCs w:val="24"/>
          </w:rPr>
          <w:t xml:space="preserve"> to</w:t>
        </w:r>
      </w:ins>
      <w:ins w:id="221" w:author="Andrés González Santa Cruz" w:date="2024-06-25T21:53:00Z" w16du:dateUtc="2024-06-26T01:53:00Z">
        <w:r w:rsidR="002E0582">
          <w:rPr>
            <w:rFonts w:ascii="Times New Roman" w:hAnsi="Times New Roman" w:cs="Times New Roman"/>
            <w:sz w:val="24"/>
            <w:szCs w:val="24"/>
          </w:rPr>
          <w:t xml:space="preserve"> non-completion status</w:t>
        </w:r>
      </w:ins>
      <w:del w:id="222" w:author="Andrés González Santa Cruz" w:date="2024-06-25T21:53:00Z" w16du:dateUtc="2024-06-26T01:53:00Z">
        <w:r w:rsidR="000F254D" w:rsidRPr="000F254D" w:rsidDel="002E0582">
          <w:rPr>
            <w:rFonts w:ascii="Times New Roman" w:hAnsi="Times New Roman" w:cs="Times New Roman"/>
            <w:sz w:val="24"/>
            <w:szCs w:val="24"/>
          </w:rPr>
          <w:delText xml:space="preserve"> completing</w:delText>
        </w:r>
      </w:del>
      <w:r w:rsidR="000F254D" w:rsidRPr="000F254D">
        <w:rPr>
          <w:rFonts w:ascii="Times New Roman" w:hAnsi="Times New Roman" w:cs="Times New Roman"/>
          <w:sz w:val="24"/>
          <w:szCs w:val="24"/>
        </w:rPr>
        <w:t xml:space="preserve"> treatment </w:t>
      </w:r>
      <w:r w:rsidR="000F254D" w:rsidRPr="000F254D">
        <w:rPr>
          <w:rFonts w:ascii="Times New Roman" w:hAnsi="Times New Roman" w:cs="Times New Roman"/>
          <w:sz w:val="24"/>
          <w:szCs w:val="24"/>
        </w:rPr>
        <w:fldChar w:fldCharType="begin"/>
      </w:r>
      <w:r w:rsidR="00BC7832">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0F254D" w:rsidRPr="000F254D">
        <w:rPr>
          <w:rFonts w:ascii="Times New Roman" w:hAnsi="Times New Roman" w:cs="Times New Roman"/>
          <w:sz w:val="24"/>
          <w:szCs w:val="24"/>
        </w:rPr>
        <w:fldChar w:fldCharType="separate"/>
      </w:r>
      <w:r w:rsidR="000F254D" w:rsidRPr="000F254D">
        <w:rPr>
          <w:rFonts w:ascii="Times New Roman" w:hAnsi="Times New Roman" w:cs="Times New Roman"/>
          <w:sz w:val="24"/>
          <w:szCs w:val="24"/>
        </w:rPr>
        <w:t>(Grafféo et al., 2018)</w:t>
      </w:r>
      <w:r w:rsidR="000F254D" w:rsidRPr="000F254D">
        <w:rPr>
          <w:rFonts w:ascii="Times New Roman" w:hAnsi="Times New Roman" w:cs="Times New Roman"/>
          <w:sz w:val="24"/>
          <w:szCs w:val="24"/>
        </w:rPr>
        <w:fldChar w:fldCharType="end"/>
      </w:r>
      <w:r w:rsidR="000F254D" w:rsidRPr="000F254D">
        <w:rPr>
          <w:rFonts w:ascii="Times New Roman" w:hAnsi="Times New Roman" w:cs="Times New Roman"/>
          <w:sz w:val="24"/>
          <w:szCs w:val="24"/>
        </w:rPr>
        <w:t xml:space="preserve"> through generalized estimating equations (GEE) assuming a Poisson distribution</w:t>
      </w:r>
      <w:del w:id="223" w:author="Andrés González Santa Cruz" w:date="2024-06-25T21:49:00Z" w16du:dateUtc="2024-06-26T01:49:00Z">
        <w:r w:rsidR="000F254D" w:rsidRPr="000F254D" w:rsidDel="002E0582">
          <w:rPr>
            <w:rFonts w:ascii="Times New Roman" w:hAnsi="Times New Roman" w:cs="Times New Roman"/>
            <w:sz w:val="24"/>
            <w:szCs w:val="24"/>
          </w:rPr>
          <w:delText>s</w:delText>
        </w:r>
      </w:del>
      <w:r w:rsidR="000F254D" w:rsidRPr="000F254D">
        <w:rPr>
          <w:rFonts w:ascii="Times New Roman" w:hAnsi="Times New Roman" w:cs="Times New Roman"/>
          <w:sz w:val="24"/>
          <w:szCs w:val="24"/>
        </w:rPr>
        <w:t xml:space="preserve"> with a log </w:t>
      </w:r>
      <w:r w:rsidR="000F254D" w:rsidRPr="000F254D">
        <w:rPr>
          <w:rFonts w:ascii="Times New Roman" w:hAnsi="Times New Roman" w:cs="Times New Roman"/>
          <w:sz w:val="24"/>
          <w:szCs w:val="24"/>
        </w:rPr>
        <w:lastRenderedPageBreak/>
        <w:t>link function and an independence structure.</w:t>
      </w:r>
      <w:ins w:id="224" w:author="Andrés González Santa Cruz" w:date="2024-06-27T12:16:00Z" w16du:dateUtc="2024-06-27T16:16:00Z">
        <w:r w:rsidR="00FE4FE6">
          <w:rPr>
            <w:rFonts w:ascii="Times New Roman" w:hAnsi="Times New Roman" w:cs="Times New Roman"/>
            <w:sz w:val="24"/>
            <w:szCs w:val="24"/>
          </w:rPr>
          <w:t xml:space="preserve"> </w:t>
        </w:r>
        <w:r w:rsidR="00FE4FE6" w:rsidRPr="00FE4FE6">
          <w:rPr>
            <w:rFonts w:ascii="Times New Roman" w:hAnsi="Times New Roman" w:cs="Times New Roman"/>
            <w:sz w:val="24"/>
            <w:szCs w:val="24"/>
            <w:highlight w:val="yellow"/>
            <w:rPrChange w:id="225" w:author="Andrés González Santa Cruz" w:date="2024-06-27T12:17:00Z" w16du:dateUtc="2024-06-27T16:17:00Z">
              <w:rPr>
                <w:rFonts w:ascii="Times New Roman" w:hAnsi="Times New Roman" w:cs="Times New Roman"/>
                <w:sz w:val="24"/>
                <w:szCs w:val="24"/>
              </w:rPr>
            </w:rPrChange>
          </w:rPr>
          <w:t>Heterogeneity test</w:t>
        </w:r>
        <w:r w:rsidR="00FE4FE6" w:rsidRPr="00FE4FE6">
          <w:rPr>
            <w:rFonts w:ascii="Times New Roman" w:hAnsi="Times New Roman" w:cs="Times New Roman"/>
            <w:sz w:val="24"/>
            <w:szCs w:val="24"/>
            <w:highlight w:val="yellow"/>
            <w:rPrChange w:id="226" w:author="Andrés González Santa Cruz" w:date="2024-06-27T12:17:00Z" w16du:dateUtc="2024-06-27T16:17:00Z">
              <w:rPr>
                <w:rFonts w:ascii="Times New Roman" w:hAnsi="Times New Roman" w:cs="Times New Roman"/>
                <w:sz w:val="24"/>
                <w:szCs w:val="24"/>
              </w:rPr>
            </w:rPrChange>
          </w:rPr>
          <w:t>s</w:t>
        </w:r>
        <w:r w:rsidR="00FE4FE6" w:rsidRPr="00FE4FE6">
          <w:rPr>
            <w:rFonts w:ascii="Times New Roman" w:hAnsi="Times New Roman" w:cs="Times New Roman"/>
            <w:sz w:val="24"/>
            <w:szCs w:val="24"/>
            <w:highlight w:val="yellow"/>
            <w:rPrChange w:id="227" w:author="Andrés González Santa Cruz" w:date="2024-06-27T12:17:00Z" w16du:dateUtc="2024-06-27T16:17:00Z">
              <w:rPr>
                <w:rFonts w:ascii="Times New Roman" w:hAnsi="Times New Roman" w:cs="Times New Roman"/>
                <w:sz w:val="24"/>
                <w:szCs w:val="24"/>
              </w:rPr>
            </w:rPrChange>
          </w:rPr>
          <w:t xml:space="preserve"> in different strata of treatment settings for ratio effect </w:t>
        </w:r>
        <w:commentRangeStart w:id="228"/>
        <w:commentRangeStart w:id="229"/>
        <w:commentRangeStart w:id="230"/>
        <w:r w:rsidR="00FE4FE6" w:rsidRPr="00FE4FE6">
          <w:rPr>
            <w:rFonts w:ascii="Times New Roman" w:hAnsi="Times New Roman" w:cs="Times New Roman"/>
            <w:sz w:val="24"/>
            <w:szCs w:val="24"/>
            <w:highlight w:val="yellow"/>
            <w:rPrChange w:id="231" w:author="Andrés González Santa Cruz" w:date="2024-06-27T12:17:00Z" w16du:dateUtc="2024-06-27T16:17:00Z">
              <w:rPr>
                <w:rFonts w:ascii="Times New Roman" w:hAnsi="Times New Roman" w:cs="Times New Roman"/>
                <w:sz w:val="24"/>
                <w:szCs w:val="24"/>
              </w:rPr>
            </w:rPrChange>
          </w:rPr>
          <w:t>measures</w:t>
        </w:r>
        <w:commentRangeEnd w:id="228"/>
        <w:commentRangeEnd w:id="230"/>
        <w:r w:rsidR="00FE4FE6" w:rsidRPr="00FE4FE6">
          <w:rPr>
            <w:rStyle w:val="Refdecomentario"/>
            <w:rFonts w:ascii="Times New Roman" w:eastAsia="Times New Roman" w:hAnsi="Times New Roman" w:cs="Times New Roman"/>
            <w:highlight w:val="yellow"/>
            <w:lang w:val="en-US" w:eastAsia="es-CL"/>
            <w:rPrChange w:id="232" w:author="Andrés González Santa Cruz" w:date="2024-06-27T12:17:00Z" w16du:dateUtc="2024-06-27T16:17:00Z">
              <w:rPr>
                <w:rStyle w:val="Refdecomentario"/>
                <w:rFonts w:ascii="Times New Roman" w:eastAsia="Times New Roman" w:hAnsi="Times New Roman" w:cs="Times New Roman"/>
                <w:lang w:val="en-US" w:eastAsia="es-CL"/>
              </w:rPr>
            </w:rPrChange>
          </w:rPr>
          <w:commentReference w:id="230"/>
        </w:r>
        <w:r w:rsidR="00FE4FE6" w:rsidRPr="00FE4FE6">
          <w:rPr>
            <w:rStyle w:val="Refdecomentario"/>
            <w:rFonts w:ascii="Times New Roman" w:eastAsia="Times New Roman" w:hAnsi="Times New Roman" w:cs="Times New Roman"/>
            <w:highlight w:val="yellow"/>
            <w:lang w:val="en-US" w:eastAsia="es-CL"/>
            <w:rPrChange w:id="233" w:author="Andrés González Santa Cruz" w:date="2024-06-27T12:17:00Z" w16du:dateUtc="2024-06-27T16:17:00Z">
              <w:rPr>
                <w:rStyle w:val="Refdecomentario"/>
                <w:rFonts w:ascii="Times New Roman" w:eastAsia="Times New Roman" w:hAnsi="Times New Roman" w:cs="Times New Roman"/>
                <w:lang w:val="en-US" w:eastAsia="es-CL"/>
              </w:rPr>
            </w:rPrChange>
          </w:rPr>
          <w:commentReference w:id="228"/>
        </w:r>
        <w:commentRangeEnd w:id="229"/>
        <w:r w:rsidR="00FE4FE6" w:rsidRPr="00FE4FE6">
          <w:rPr>
            <w:rStyle w:val="Refdecomentario"/>
            <w:rFonts w:ascii="Times New Roman" w:eastAsia="Times New Roman" w:hAnsi="Times New Roman" w:cs="Times New Roman"/>
            <w:highlight w:val="yellow"/>
            <w:lang w:val="en-US" w:eastAsia="es-CL"/>
            <w:rPrChange w:id="234" w:author="Andrés González Santa Cruz" w:date="2024-06-27T12:17:00Z" w16du:dateUtc="2024-06-27T16:17:00Z">
              <w:rPr>
                <w:rStyle w:val="Refdecomentario"/>
                <w:rFonts w:ascii="Times New Roman" w:eastAsia="Times New Roman" w:hAnsi="Times New Roman" w:cs="Times New Roman"/>
                <w:lang w:val="en-US" w:eastAsia="es-CL"/>
              </w:rPr>
            </w:rPrChange>
          </w:rPr>
          <w:commentReference w:id="229"/>
        </w:r>
        <w:r w:rsidR="00FE4FE6" w:rsidRPr="00FE4FE6">
          <w:rPr>
            <w:rFonts w:ascii="Times New Roman" w:hAnsi="Times New Roman" w:cs="Times New Roman"/>
            <w:sz w:val="24"/>
            <w:szCs w:val="24"/>
            <w:highlight w:val="yellow"/>
            <w:rPrChange w:id="235" w:author="Andrés González Santa Cruz" w:date="2024-06-27T12:17:00Z" w16du:dateUtc="2024-06-27T16:17:00Z">
              <w:rPr>
                <w:rFonts w:ascii="Times New Roman" w:hAnsi="Times New Roman" w:cs="Times New Roman"/>
                <w:sz w:val="24"/>
                <w:szCs w:val="24"/>
              </w:rPr>
            </w:rPrChange>
          </w:rPr>
          <w:t xml:space="preserve"> were conducted</w:t>
        </w:r>
        <w:r w:rsidR="00FE4FE6" w:rsidRPr="00FE4FE6">
          <w:rPr>
            <w:rFonts w:ascii="Times New Roman" w:hAnsi="Times New Roman" w:cs="Times New Roman"/>
            <w:sz w:val="24"/>
            <w:szCs w:val="24"/>
            <w:highlight w:val="yellow"/>
            <w:rPrChange w:id="236" w:author="Andrés González Santa Cruz" w:date="2024-06-27T12:17:00Z" w16du:dateUtc="2024-06-27T16:17:00Z">
              <w:rPr>
                <w:rFonts w:ascii="Times New Roman" w:hAnsi="Times New Roman" w:cs="Times New Roman"/>
                <w:sz w:val="24"/>
                <w:szCs w:val="24"/>
              </w:rPr>
            </w:rPrChange>
          </w:rPr>
          <w:t>.</w:t>
        </w:r>
      </w:ins>
    </w:p>
    <w:p w14:paraId="4EFA1F04" w14:textId="77777777" w:rsidR="00B479D3" w:rsidRDefault="00B479D3" w:rsidP="00B479D3">
      <w:pPr>
        <w:pStyle w:val="Prrafodelista"/>
        <w:numPr>
          <w:ilvl w:val="0"/>
          <w:numId w:val="2"/>
        </w:numPr>
        <w:spacing w:line="480" w:lineRule="auto"/>
        <w:ind w:right="-2"/>
        <w:rPr>
          <w:rFonts w:ascii="Times New Roman" w:hAnsi="Times New Roman" w:cs="Times New Roman"/>
          <w:sz w:val="24"/>
          <w:szCs w:val="24"/>
        </w:rPr>
      </w:pPr>
      <w:r>
        <w:rPr>
          <w:rFonts w:ascii="Times New Roman" w:hAnsi="Times New Roman" w:cs="Times New Roman"/>
          <w:sz w:val="24"/>
          <w:szCs w:val="24"/>
        </w:rPr>
        <w:t>Sensitivity analyses</w:t>
      </w:r>
    </w:p>
    <w:p w14:paraId="3B0526AC" w14:textId="7DFCDBAB" w:rsidR="002E0582" w:rsidRDefault="00614966" w:rsidP="00614966">
      <w:pPr>
        <w:spacing w:line="480" w:lineRule="auto"/>
        <w:ind w:right="-2" w:firstLine="567"/>
        <w:rPr>
          <w:ins w:id="237" w:author="Andrés González Santa Cruz" w:date="2024-06-25T21:49:00Z" w16du:dateUtc="2024-06-26T01:49:00Z"/>
          <w:rFonts w:ascii="Times New Roman" w:hAnsi="Times New Roman" w:cs="Times New Roman"/>
          <w:sz w:val="24"/>
          <w:szCs w:val="24"/>
        </w:rPr>
      </w:pPr>
      <w:ins w:id="238" w:author="Andrés González Santa Cruz" w:date="2024-06-25T22:27:00Z" w16du:dateUtc="2024-06-26T02:27:00Z">
        <w:r w:rsidRPr="00614966">
          <w:rPr>
            <w:rFonts w:ascii="Times New Roman" w:hAnsi="Times New Roman" w:cs="Times New Roman"/>
            <w:sz w:val="24"/>
            <w:szCs w:val="24"/>
          </w:rPr>
          <w:t xml:space="preserve">Given that the study design is based on administrative records with patients entering </w:t>
        </w:r>
      </w:ins>
      <w:ins w:id="239" w:author="Andrés González Santa Cruz" w:date="2024-06-25T23:02:00Z" w16du:dateUtc="2024-06-26T03:02:00Z">
        <w:r w:rsidR="00F0399E">
          <w:rPr>
            <w:rFonts w:ascii="Times New Roman" w:hAnsi="Times New Roman" w:cs="Times New Roman"/>
            <w:sz w:val="24"/>
            <w:szCs w:val="24"/>
          </w:rPr>
          <w:t>and re-</w:t>
        </w:r>
      </w:ins>
      <w:ins w:id="240" w:author="Andrés González Santa Cruz" w:date="2024-06-25T23:03:00Z" w16du:dateUtc="2024-06-26T03:03:00Z">
        <w:r w:rsidR="00F0399E">
          <w:rPr>
            <w:rFonts w:ascii="Times New Roman" w:hAnsi="Times New Roman" w:cs="Times New Roman"/>
            <w:sz w:val="24"/>
            <w:szCs w:val="24"/>
          </w:rPr>
          <w:t xml:space="preserve">entering </w:t>
        </w:r>
      </w:ins>
      <w:ins w:id="241" w:author="Andrés González Santa Cruz" w:date="2024-06-25T22:27:00Z" w16du:dateUtc="2024-06-26T02:27:00Z">
        <w:r w:rsidRPr="00614966">
          <w:rPr>
            <w:rFonts w:ascii="Times New Roman" w:hAnsi="Times New Roman" w:cs="Times New Roman"/>
            <w:sz w:val="24"/>
            <w:szCs w:val="24"/>
          </w:rPr>
          <w:t>treatment at varying frequencies</w:t>
        </w:r>
      </w:ins>
      <w:ins w:id="242" w:author="Andrés González Santa Cruz" w:date="2024-06-25T22:28:00Z" w16du:dateUtc="2024-06-26T02:28:00Z">
        <w:r>
          <w:rPr>
            <w:rFonts w:ascii="Times New Roman" w:hAnsi="Times New Roman" w:cs="Times New Roman"/>
            <w:sz w:val="24"/>
            <w:szCs w:val="24"/>
          </w:rPr>
          <w:t xml:space="preserve"> and follow-up times</w:t>
        </w:r>
      </w:ins>
      <w:ins w:id="243" w:author="Andrés González Santa Cruz" w:date="2024-06-25T22:27:00Z" w16du:dateUtc="2024-06-26T02:27:00Z">
        <w:r w:rsidRPr="00614966">
          <w:rPr>
            <w:rFonts w:ascii="Times New Roman" w:hAnsi="Times New Roman" w:cs="Times New Roman"/>
            <w:sz w:val="24"/>
            <w:szCs w:val="24"/>
          </w:rPr>
          <w:t>, we explored the irregularity of assessment times during which reported patient substance use was captured</w:t>
        </w:r>
      </w:ins>
      <w:ins w:id="244" w:author="Andrés González Santa Cruz" w:date="2024-06-26T11:41:00Z" w16du:dateUtc="2024-06-26T15:41:00Z">
        <w:r w:rsidR="00937518">
          <w:rPr>
            <w:rFonts w:ascii="Times New Roman" w:hAnsi="Times New Roman" w:cs="Times New Roman"/>
            <w:sz w:val="24"/>
            <w:szCs w:val="24"/>
          </w:rPr>
          <w:t xml:space="preserve"> (See Supplemental Section 2)</w:t>
        </w:r>
      </w:ins>
      <w:ins w:id="245" w:author="Andrés González Santa Cruz" w:date="2024-06-25T22:27:00Z" w16du:dateUtc="2024-06-26T02:27:00Z">
        <w:r w:rsidRPr="00614966">
          <w:rPr>
            <w:rFonts w:ascii="Times New Roman" w:hAnsi="Times New Roman" w:cs="Times New Roman"/>
            <w:sz w:val="24"/>
            <w:szCs w:val="24"/>
          </w:rPr>
          <w:t xml:space="preserve">. To address the irregular patterns of admission to treatment and the informative differences therein, GEE models were employed, weighted using </w:t>
        </w:r>
      </w:ins>
      <w:ins w:id="246" w:author="Andrés González Santa Cruz" w:date="2024-06-25T23:12:00Z" w16du:dateUtc="2024-06-26T03:12:00Z">
        <w:r w:rsidR="00BE0A15">
          <w:rPr>
            <w:rFonts w:ascii="Times New Roman" w:hAnsi="Times New Roman" w:cs="Times New Roman"/>
            <w:sz w:val="24"/>
            <w:szCs w:val="24"/>
          </w:rPr>
          <w:t>i</w:t>
        </w:r>
      </w:ins>
      <w:ins w:id="247" w:author="Andrés González Santa Cruz" w:date="2024-06-25T22:27:00Z" w16du:dateUtc="2024-06-26T02:27:00Z">
        <w:r w:rsidRPr="00614966">
          <w:rPr>
            <w:rFonts w:ascii="Times New Roman" w:hAnsi="Times New Roman" w:cs="Times New Roman"/>
            <w:sz w:val="24"/>
            <w:szCs w:val="24"/>
          </w:rPr>
          <w:t xml:space="preserve">nverse </w:t>
        </w:r>
      </w:ins>
      <w:ins w:id="248" w:author="Andrés González Santa Cruz" w:date="2024-06-25T23:12:00Z" w16du:dateUtc="2024-06-26T03:12:00Z">
        <w:r w:rsidR="00BE0A15">
          <w:rPr>
            <w:rFonts w:ascii="Times New Roman" w:hAnsi="Times New Roman" w:cs="Times New Roman"/>
            <w:sz w:val="24"/>
            <w:szCs w:val="24"/>
          </w:rPr>
          <w:t>i</w:t>
        </w:r>
      </w:ins>
      <w:ins w:id="249" w:author="Andrés González Santa Cruz" w:date="2024-06-25T22:27:00Z" w16du:dateUtc="2024-06-26T02:27:00Z">
        <w:r w:rsidRPr="00614966">
          <w:rPr>
            <w:rFonts w:ascii="Times New Roman" w:hAnsi="Times New Roman" w:cs="Times New Roman"/>
            <w:sz w:val="24"/>
            <w:szCs w:val="24"/>
          </w:rPr>
          <w:t xml:space="preserve">ntensity </w:t>
        </w:r>
      </w:ins>
      <w:ins w:id="250" w:author="Andrés González Santa Cruz" w:date="2024-06-25T23:12:00Z" w16du:dateUtc="2024-06-26T03:12:00Z">
        <w:r w:rsidR="00BE0A15">
          <w:rPr>
            <w:rFonts w:ascii="Times New Roman" w:hAnsi="Times New Roman" w:cs="Times New Roman"/>
            <w:sz w:val="24"/>
            <w:szCs w:val="24"/>
          </w:rPr>
          <w:t>w</w:t>
        </w:r>
      </w:ins>
      <w:ins w:id="251" w:author="Andrés González Santa Cruz" w:date="2024-06-25T22:27:00Z" w16du:dateUtc="2024-06-26T02:27:00Z">
        <w:r w:rsidRPr="00614966">
          <w:rPr>
            <w:rFonts w:ascii="Times New Roman" w:hAnsi="Times New Roman" w:cs="Times New Roman"/>
            <w:sz w:val="24"/>
            <w:szCs w:val="24"/>
          </w:rPr>
          <w:t>eights (IIW)</w:t>
        </w:r>
      </w:ins>
      <w:ins w:id="252" w:author="Andrés González Santa Cruz" w:date="2024-06-25T22:28:00Z" w16du:dateUtc="2024-06-26T02:28:00Z">
        <w:r>
          <w:rPr>
            <w:rFonts w:ascii="Times New Roman" w:hAnsi="Times New Roman" w:cs="Times New Roman"/>
            <w:sz w:val="24"/>
            <w:szCs w:val="24"/>
          </w:rPr>
          <w:t xml:space="preserve"> </w:t>
        </w:r>
      </w:ins>
      <w:ins w:id="253" w:author="Andrés González Santa Cruz" w:date="2024-06-25T23:00:00Z" w16du:dateUtc="2024-06-26T03:00:00Z">
        <w:r w:rsidR="00F0399E">
          <w:rPr>
            <w:rFonts w:ascii="Times New Roman" w:hAnsi="Times New Roman" w:cs="Times New Roman"/>
            <w:sz w:val="24"/>
            <w:szCs w:val="24"/>
          </w:rPr>
          <w:t xml:space="preserve">by modelling the </w:t>
        </w:r>
      </w:ins>
      <w:ins w:id="254" w:author="Andrés González Santa Cruz" w:date="2024-06-25T23:01:00Z" w16du:dateUtc="2024-06-26T03:01:00Z">
        <w:r w:rsidR="00F0399E">
          <w:rPr>
            <w:rFonts w:ascii="Times New Roman" w:hAnsi="Times New Roman" w:cs="Times New Roman"/>
            <w:sz w:val="24"/>
            <w:szCs w:val="24"/>
          </w:rPr>
          <w:t xml:space="preserve">time to being observed </w:t>
        </w:r>
      </w:ins>
      <w:ins w:id="255" w:author="Andrés González Santa Cruz" w:date="2024-06-25T23:02:00Z" w16du:dateUtc="2024-06-26T03:02:00Z">
        <w:r w:rsidR="00F0399E">
          <w:rPr>
            <w:rFonts w:ascii="Times New Roman" w:hAnsi="Times New Roman" w:cs="Times New Roman"/>
            <w:sz w:val="24"/>
            <w:szCs w:val="24"/>
          </w:rPr>
          <w:t xml:space="preserve">(i.e., stay in treatment or being readmitted) </w:t>
        </w:r>
      </w:ins>
      <w:ins w:id="256" w:author="Andrés González Santa Cruz" w:date="2024-06-25T23:00:00Z" w16du:dateUtc="2024-06-26T03:00:00Z">
        <w:r w:rsidR="00F0399E">
          <w:rPr>
            <w:rFonts w:ascii="Times New Roman" w:hAnsi="Times New Roman" w:cs="Times New Roman"/>
            <w:sz w:val="24"/>
            <w:szCs w:val="24"/>
          </w:rPr>
          <w:t xml:space="preserve">as a counting process </w:t>
        </w:r>
      </w:ins>
      <w:ins w:id="257" w:author="Andrés González Santa Cruz" w:date="2024-06-25T22:28:00Z" w16du:dateUtc="2024-06-26T02:28:00Z">
        <w:r w:rsidRPr="002E0582">
          <w:rPr>
            <w:rFonts w:ascii="Times New Roman" w:hAnsi="Times New Roman" w:cs="Times New Roman"/>
            <w:sz w:val="24"/>
            <w:szCs w:val="24"/>
          </w:rPr>
          <w:t xml:space="preserve">(See Supplemental Section </w:t>
        </w:r>
      </w:ins>
      <w:ins w:id="258" w:author="Andrés González Santa Cruz" w:date="2024-06-26T11:41:00Z" w16du:dateUtc="2024-06-26T15:41:00Z">
        <w:r w:rsidR="00937518">
          <w:rPr>
            <w:rFonts w:ascii="Times New Roman" w:hAnsi="Times New Roman" w:cs="Times New Roman"/>
            <w:sz w:val="24"/>
            <w:szCs w:val="24"/>
          </w:rPr>
          <w:t>3</w:t>
        </w:r>
      </w:ins>
      <w:ins w:id="259" w:author="Andrés González Santa Cruz" w:date="2024-06-25T22:28:00Z" w16du:dateUtc="2024-06-26T02:28:00Z">
        <w:r w:rsidRPr="002E0582">
          <w:rPr>
            <w:rFonts w:ascii="Times New Roman" w:hAnsi="Times New Roman" w:cs="Times New Roman"/>
            <w:sz w:val="24"/>
            <w:szCs w:val="24"/>
          </w:rPr>
          <w:t>)</w:t>
        </w:r>
      </w:ins>
      <w:ins w:id="260" w:author="Andrés González Santa Cruz" w:date="2024-06-25T21:49:00Z" w16du:dateUtc="2024-06-26T01:49:00Z">
        <w:r w:rsidR="002E0582" w:rsidRPr="000F254D">
          <w:rPr>
            <w:rFonts w:ascii="Times New Roman" w:hAnsi="Times New Roman" w:cs="Times New Roman"/>
            <w:sz w:val="24"/>
            <w:szCs w:val="24"/>
          </w:rPr>
          <w:t>.</w:t>
        </w:r>
      </w:ins>
    </w:p>
    <w:p w14:paraId="5D377070" w14:textId="174D88C8" w:rsidR="000F254D" w:rsidRPr="00FE4FE6" w:rsidRDefault="002E0582" w:rsidP="002F1870">
      <w:pPr>
        <w:spacing w:line="480" w:lineRule="auto"/>
        <w:ind w:right="-2" w:firstLine="567"/>
        <w:rPr>
          <w:rFonts w:ascii="Times New Roman" w:hAnsi="Times New Roman" w:cs="Times New Roman"/>
          <w:sz w:val="24"/>
          <w:szCs w:val="24"/>
          <w:lang w:val="en-US"/>
          <w:rPrChange w:id="261" w:author="Andrés González Santa Cruz" w:date="2024-06-27T12:10:00Z" w16du:dateUtc="2024-06-27T16:10:00Z">
            <w:rPr>
              <w:rFonts w:ascii="Times New Roman" w:hAnsi="Times New Roman" w:cs="Times New Roman"/>
              <w:sz w:val="24"/>
              <w:szCs w:val="24"/>
            </w:rPr>
          </w:rPrChange>
        </w:rPr>
      </w:pPr>
      <w:ins w:id="262" w:author="Andrés González Santa Cruz" w:date="2024-06-25T21:48:00Z" w16du:dateUtc="2024-06-26T01:48:00Z">
        <w:r>
          <w:rPr>
            <w:rFonts w:ascii="Times New Roman" w:hAnsi="Times New Roman" w:cs="Times New Roman"/>
            <w:sz w:val="24"/>
            <w:szCs w:val="24"/>
          </w:rPr>
          <w:t xml:space="preserve">An additional sensitivity analysis to account for differences between </w:t>
        </w:r>
      </w:ins>
      <w:ins w:id="263" w:author="Andrés González Santa Cruz" w:date="2024-06-25T21:48:00Z">
        <w:r w:rsidRPr="002E0582">
          <w:rPr>
            <w:rFonts w:ascii="Times New Roman" w:hAnsi="Times New Roman" w:cs="Times New Roman"/>
            <w:sz w:val="24"/>
            <w:szCs w:val="24"/>
          </w:rPr>
          <w:t xml:space="preserve">variance and the mean of PSU reports using Negative Binomial distributions were tested using </w:t>
        </w:r>
        <w:bookmarkStart w:id="264" w:name="_Hlk166663740"/>
        <w:r w:rsidRPr="002E0582">
          <w:rPr>
            <w:rFonts w:ascii="Times New Roman" w:hAnsi="Times New Roman" w:cs="Times New Roman"/>
            <w:sz w:val="24"/>
            <w:szCs w:val="24"/>
          </w:rPr>
          <w:t xml:space="preserve">Quasi-likelihood Information criterion </w:t>
        </w:r>
        <w:bookmarkEnd w:id="264"/>
        <w:r w:rsidRPr="002E0582">
          <w:rPr>
            <w:rFonts w:ascii="Times New Roman" w:hAnsi="Times New Roman" w:cs="Times New Roman"/>
            <w:sz w:val="24"/>
            <w:szCs w:val="24"/>
          </w:rPr>
          <w:t xml:space="preserve">for model selection (See Supplemental Section </w:t>
        </w:r>
      </w:ins>
      <w:ins w:id="265" w:author="Andrés González Santa Cruz" w:date="2024-06-26T11:41:00Z" w16du:dateUtc="2024-06-26T15:41:00Z">
        <w:r w:rsidR="00937518">
          <w:rPr>
            <w:rFonts w:ascii="Times New Roman" w:hAnsi="Times New Roman" w:cs="Times New Roman"/>
            <w:sz w:val="24"/>
            <w:szCs w:val="24"/>
          </w:rPr>
          <w:t>4</w:t>
        </w:r>
      </w:ins>
      <w:ins w:id="266" w:author="Andrés González Santa Cruz" w:date="2024-06-25T21:48:00Z">
        <w:r w:rsidRPr="002E0582">
          <w:rPr>
            <w:rFonts w:ascii="Times New Roman" w:hAnsi="Times New Roman" w:cs="Times New Roman"/>
            <w:sz w:val="24"/>
            <w:szCs w:val="24"/>
          </w:rPr>
          <w:t>).</w:t>
        </w:r>
      </w:ins>
      <w:ins w:id="267" w:author="Andrés González Santa Cruz" w:date="2024-06-27T12:11:00Z" w16du:dateUtc="2024-06-27T16:11:00Z">
        <w:r w:rsidR="00FE4FE6">
          <w:rPr>
            <w:rFonts w:ascii="Times New Roman" w:hAnsi="Times New Roman" w:cs="Times New Roman"/>
            <w:sz w:val="24"/>
            <w:szCs w:val="24"/>
          </w:rPr>
          <w:t xml:space="preserve"> </w:t>
        </w:r>
      </w:ins>
    </w:p>
    <w:p w14:paraId="32E16077" w14:textId="5DF17418" w:rsidR="000F254D" w:rsidRPr="000F254D" w:rsidRDefault="000F254D" w:rsidP="000F254D">
      <w:pPr>
        <w:pStyle w:val="Prrafodelista"/>
        <w:numPr>
          <w:ilvl w:val="1"/>
          <w:numId w:val="5"/>
        </w:numPr>
        <w:tabs>
          <w:tab w:val="left" w:pos="567"/>
        </w:tabs>
        <w:spacing w:after="0" w:line="480" w:lineRule="auto"/>
        <w:ind w:right="-2"/>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Data and code availability</w:t>
      </w:r>
    </w:p>
    <w:p w14:paraId="15D3A73C" w14:textId="427BFD7C" w:rsidR="000F254D" w:rsidRDefault="00765A31"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268"/>
      <w:r w:rsidR="000F254D" w:rsidRPr="000F254D">
        <w:rPr>
          <w:rFonts w:ascii="Times New Roman" w:hAnsi="Times New Roman" w:cs="Times New Roman"/>
          <w:sz w:val="24"/>
          <w:szCs w:val="24"/>
          <w:lang w:val="en-US"/>
        </w:rPr>
        <w:t xml:space="preserve">ode &amp; markdowns are available here: </w:t>
      </w:r>
      <w:ins w:id="269" w:author="Andrés González Santa Cruz" w:date="2024-06-25T16:21:00Z" w16du:dateUtc="2024-06-25T20:21:00Z">
        <w:r w:rsidRPr="002D289A">
          <w:rPr>
            <w:rFonts w:ascii="Times New Roman" w:hAnsi="Times New Roman" w:cs="Times New Roman"/>
            <w:sz w:val="24"/>
            <w:szCs w:val="24"/>
            <w:highlight w:val="yellow"/>
            <w:lang w:val="en-US"/>
            <w:rPrChange w:id="270" w:author="Andrés González Santa Cruz" w:date="2024-06-27T13:57:00Z" w16du:dateUtc="2024-06-27T17:57:00Z">
              <w:rPr>
                <w:rFonts w:ascii="Times New Roman" w:hAnsi="Times New Roman" w:cs="Times New Roman"/>
                <w:sz w:val="24"/>
                <w:szCs w:val="24"/>
                <w:lang w:val="en-US"/>
              </w:rPr>
            </w:rPrChange>
          </w:rPr>
          <w:t>bit.ly/4cE8gyf</w:t>
        </w:r>
      </w:ins>
      <w:r w:rsidR="000F254D" w:rsidRPr="000F254D">
        <w:rPr>
          <w:rFonts w:ascii="Times New Roman" w:hAnsi="Times New Roman" w:cs="Times New Roman"/>
          <w:sz w:val="24"/>
          <w:szCs w:val="24"/>
          <w:lang w:val="en-US"/>
        </w:rPr>
        <w:t>.</w:t>
      </w:r>
      <w:commentRangeEnd w:id="268"/>
      <w:r w:rsidR="000F254D" w:rsidRPr="000F254D">
        <w:rPr>
          <w:rStyle w:val="Refdecomentario"/>
          <w:rFonts w:ascii="Times New Roman" w:eastAsia="Times New Roman" w:hAnsi="Times New Roman" w:cs="Times New Roman"/>
          <w:sz w:val="24"/>
          <w:szCs w:val="24"/>
          <w:lang w:val="en-US" w:eastAsia="es-CL"/>
        </w:rPr>
        <w:commentReference w:id="268"/>
      </w:r>
    </w:p>
    <w:p w14:paraId="557B1FE8" w14:textId="313F8F80" w:rsidR="00A56D29" w:rsidRDefault="003A4AF8" w:rsidP="00A56D29">
      <w:pPr>
        <w:pStyle w:val="Prrafodelista"/>
        <w:numPr>
          <w:ilvl w:val="0"/>
          <w:numId w:val="5"/>
        </w:numPr>
        <w:rPr>
          <w:rFonts w:ascii="Times New Roman" w:hAnsi="Times New Roman" w:cs="Times New Roman"/>
          <w:b/>
          <w:bCs/>
          <w:sz w:val="24"/>
          <w:szCs w:val="24"/>
          <w:lang w:val="en-US"/>
        </w:rPr>
      </w:pPr>
      <w:r w:rsidRPr="003A4AF8">
        <w:rPr>
          <w:rFonts w:ascii="Times New Roman" w:hAnsi="Times New Roman" w:cs="Times New Roman"/>
          <w:b/>
          <w:bCs/>
          <w:sz w:val="24"/>
          <w:szCs w:val="24"/>
          <w:lang w:val="en-US"/>
        </w:rPr>
        <w:t>RESULTS</w:t>
      </w:r>
    </w:p>
    <w:p w14:paraId="4897B1A9" w14:textId="3F1B7E6B" w:rsidR="000257E1" w:rsidRPr="000257E1" w:rsidRDefault="003A0F4E"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each detailing specific aspects of our analysis</w:t>
      </w:r>
      <w:r w:rsidR="000257E1">
        <w:rPr>
          <w:rFonts w:ascii="Times New Roman" w:hAnsi="Times New Roman" w:cs="Times New Roman"/>
          <w:sz w:val="24"/>
          <w:szCs w:val="24"/>
          <w:lang w:val="en-US"/>
        </w:rPr>
        <w:t>.</w:t>
      </w:r>
    </w:p>
    <w:p w14:paraId="4003496E" w14:textId="64763770" w:rsidR="000257E1" w:rsidRPr="000257E1" w:rsidRDefault="000257E1" w:rsidP="000257E1">
      <w:pPr>
        <w:pStyle w:val="Prrafodelista"/>
        <w:numPr>
          <w:ilvl w:val="0"/>
          <w:numId w:val="2"/>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C1E9E94" w14:textId="40300085" w:rsidR="003A4AF8" w:rsidRDefault="003A4AF8"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individuals reporting polysubstance use.</w:t>
      </w:r>
      <w:r w:rsidR="00A56D29"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3A4AF8">
        <w:rPr>
          <w:rFonts w:ascii="Times New Roman" w:hAnsi="Times New Roman" w:cs="Times New Roman"/>
          <w:b/>
          <w:bCs/>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 single substance use had their first admission to treatment earlier in life. Also, a higher </w:t>
      </w:r>
      <w:r w:rsidRPr="003A4AF8">
        <w:rPr>
          <w:rFonts w:ascii="Times New Roman" w:hAnsi="Times New Roman" w:cs="Times New Roman"/>
          <w:sz w:val="24"/>
          <w:szCs w:val="24"/>
          <w:lang w:val="en-GB"/>
        </w:rPr>
        <w:lastRenderedPageBreak/>
        <w:t xml:space="preserve">percentage of them were unemployed. Regarding of </w:t>
      </w:r>
      <w:r w:rsidRPr="003A4AF8">
        <w:rPr>
          <w:rFonts w:ascii="Times New Roman" w:hAnsi="Times New Roman" w:cs="Times New Roman"/>
          <w:b/>
          <w:bCs/>
          <w:sz w:val="24"/>
          <w:szCs w:val="24"/>
          <w:lang w:val="en-GB"/>
        </w:rPr>
        <w:t>substance use</w:t>
      </w:r>
      <w:r w:rsidRPr="003A4AF8">
        <w:rPr>
          <w:rFonts w:ascii="Times New Roman" w:hAnsi="Times New Roman" w:cs="Times New Roman"/>
          <w:sz w:val="24"/>
          <w:szCs w:val="24"/>
          <w:lang w:val="en-GB"/>
        </w:rPr>
        <w:t xml:space="preserve"> at baseline, people with PSU when compared to people who report single substance use: were more likely to report using cocaine paste and hydrochloride cocaine instead of alcohol as the primary substance that led them to treatment. In terms of the type of initiation substance, fewer started with alcohol, while more began with marijuana. In terms of other </w:t>
      </w:r>
      <w:r w:rsidRPr="003A4AF8">
        <w:rPr>
          <w:rFonts w:ascii="Times New Roman" w:hAnsi="Times New Roman" w:cs="Times New Roman"/>
          <w:b/>
          <w:bCs/>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people with PSU</w:t>
      </w:r>
      <w:ins w:id="271" w:author="Andrés González Santa Cruz" w:date="2024-06-25T16:26:00Z" w16du:dateUtc="2024-06-25T20:26:00Z">
        <w:r w:rsidR="00765A31">
          <w:rPr>
            <w:rFonts w:ascii="Times New Roman" w:hAnsi="Times New Roman" w:cs="Times New Roman"/>
            <w:sz w:val="24"/>
            <w:szCs w:val="24"/>
            <w:lang w:val="en-GB"/>
          </w:rPr>
          <w:t>. These differences led us to adjust for covariates</w:t>
        </w:r>
      </w:ins>
      <w:ins w:id="272" w:author="Andrés González Santa Cruz" w:date="2024-06-25T16:27:00Z" w16du:dateUtc="2024-06-25T20:27:00Z">
        <w:r w:rsidR="00765A31">
          <w:rPr>
            <w:rFonts w:ascii="Times New Roman" w:hAnsi="Times New Roman" w:cs="Times New Roman"/>
            <w:sz w:val="24"/>
            <w:szCs w:val="24"/>
            <w:lang w:val="en-GB"/>
          </w:rPr>
          <w:t xml:space="preserve"> to estimate the relative risk between patients reporting PSU vs. people who do not </w:t>
        </w:r>
      </w:ins>
      <w:del w:id="273" w:author="Andrés González Santa Cruz" w:date="2024-06-25T16:27:00Z" w16du:dateUtc="2024-06-25T20:27:00Z">
        <w:r w:rsidRPr="003A4AF8" w:rsidDel="00765A31">
          <w:rPr>
            <w:rFonts w:ascii="Times New Roman" w:hAnsi="Times New Roman" w:cs="Times New Roman"/>
            <w:sz w:val="24"/>
            <w:szCs w:val="24"/>
            <w:lang w:val="en-GB"/>
          </w:rPr>
          <w:delText xml:space="preserve"> </w:delText>
        </w:r>
      </w:del>
      <w:r w:rsidRPr="003A4AF8">
        <w:rPr>
          <w:rFonts w:ascii="Times New Roman" w:hAnsi="Times New Roman" w:cs="Times New Roman"/>
          <w:sz w:val="24"/>
          <w:szCs w:val="24"/>
          <w:lang w:val="en-GB"/>
        </w:rPr>
        <w:t>(See Table 1).</w:t>
      </w:r>
    </w:p>
    <w:p w14:paraId="54112E7B" w14:textId="7BBAB9B3" w:rsidR="00F073A8" w:rsidRPr="000257E1" w:rsidRDefault="00C85D16" w:rsidP="00765A31">
      <w:pPr>
        <w:pStyle w:val="Prrafodelista"/>
        <w:numPr>
          <w:ilvl w:val="0"/>
          <w:numId w:val="2"/>
        </w:numPr>
        <w:spacing w:line="480" w:lineRule="auto"/>
        <w:rPr>
          <w:rFonts w:ascii="Times New Roman" w:hAnsi="Times New Roman" w:cs="Times New Roman"/>
          <w:sz w:val="24"/>
          <w:szCs w:val="24"/>
          <w:lang w:val="en-GB"/>
        </w:rPr>
      </w:pPr>
      <w:ins w:id="274" w:author="Andrés González Santa Cruz" w:date="2024-06-26T12:39:00Z" w16du:dateUtc="2024-06-26T16:39:00Z">
        <w:r>
          <w:rPr>
            <w:rFonts w:ascii="Times New Roman" w:hAnsi="Times New Roman" w:cs="Times New Roman"/>
            <w:sz w:val="24"/>
            <w:szCs w:val="24"/>
            <w:lang w:val="en-GB"/>
          </w:rPr>
          <w:t xml:space="preserve">Prevalence and </w:t>
        </w:r>
      </w:ins>
      <w:del w:id="275" w:author="Andrés González Santa Cruz" w:date="2024-06-26T12:39:00Z" w16du:dateUtc="2024-06-26T16:39:00Z">
        <w:r w:rsidR="00F073A8" w:rsidDel="00C85D16">
          <w:rPr>
            <w:rFonts w:ascii="Times New Roman" w:hAnsi="Times New Roman" w:cs="Times New Roman"/>
            <w:sz w:val="24"/>
            <w:szCs w:val="24"/>
            <w:lang w:val="en-GB"/>
          </w:rPr>
          <w:delText>I</w:delText>
        </w:r>
      </w:del>
      <w:ins w:id="276" w:author="Andrés González Santa Cruz" w:date="2024-06-26T12:39:00Z" w16du:dateUtc="2024-06-26T16:39:00Z">
        <w:r>
          <w:rPr>
            <w:rFonts w:ascii="Times New Roman" w:hAnsi="Times New Roman" w:cs="Times New Roman"/>
            <w:sz w:val="24"/>
            <w:szCs w:val="24"/>
            <w:lang w:val="en-GB"/>
          </w:rPr>
          <w:t>i</w:t>
        </w:r>
      </w:ins>
      <w:r w:rsidR="00F073A8">
        <w:rPr>
          <w:rFonts w:ascii="Times New Roman" w:hAnsi="Times New Roman" w:cs="Times New Roman"/>
          <w:sz w:val="24"/>
          <w:szCs w:val="24"/>
          <w:lang w:val="en-GB"/>
        </w:rPr>
        <w:t>ncidence of PSU and Treatment completion</w:t>
      </w:r>
    </w:p>
    <w:p w14:paraId="7108E4AA" w14:textId="51BB968C" w:rsidR="00C85D16" w:rsidRPr="002D289A" w:rsidRDefault="00C85D16" w:rsidP="00781616">
      <w:pPr>
        <w:spacing w:line="480" w:lineRule="auto"/>
        <w:ind w:firstLine="567"/>
        <w:rPr>
          <w:ins w:id="277" w:author="Andrés González Santa Cruz" w:date="2024-06-26T12:40:00Z" w16du:dateUtc="2024-06-26T16:40:00Z"/>
          <w:rFonts w:ascii="Times New Roman" w:hAnsi="Times New Roman" w:cs="Times New Roman"/>
          <w:sz w:val="24"/>
          <w:szCs w:val="24"/>
          <w:highlight w:val="yellow"/>
          <w:rPrChange w:id="278" w:author="Andrés González Santa Cruz" w:date="2024-06-27T13:58:00Z" w16du:dateUtc="2024-06-27T17:58:00Z">
            <w:rPr>
              <w:ins w:id="279" w:author="Andrés González Santa Cruz" w:date="2024-06-26T12:40:00Z" w16du:dateUtc="2024-06-26T16:40:00Z"/>
              <w:rFonts w:ascii="Times New Roman" w:hAnsi="Times New Roman" w:cs="Times New Roman"/>
              <w:sz w:val="24"/>
              <w:szCs w:val="24"/>
            </w:rPr>
          </w:rPrChange>
        </w:rPr>
      </w:pPr>
      <w:ins w:id="280" w:author="Andrés González Santa Cruz" w:date="2024-06-26T12:39:00Z">
        <w:r w:rsidRPr="002D289A">
          <w:rPr>
            <w:rFonts w:ascii="Times New Roman" w:hAnsi="Times New Roman" w:cs="Times New Roman"/>
            <w:sz w:val="24"/>
            <w:szCs w:val="24"/>
            <w:highlight w:val="yellow"/>
            <w:rPrChange w:id="281" w:author="Andrés González Santa Cruz" w:date="2024-06-27T13:58:00Z" w16du:dateUtc="2024-06-27T17:58:00Z">
              <w:rPr>
                <w:rFonts w:ascii="Times New Roman" w:hAnsi="Times New Roman" w:cs="Times New Roman"/>
                <w:sz w:val="24"/>
                <w:szCs w:val="24"/>
              </w:rPr>
            </w:rPrChange>
          </w:rPr>
          <w:t xml:space="preserve">Interestingly, among patients with only one treatment, 72% reported PSU. However, when examining patients with multiple treatment episodes, </w:t>
        </w:r>
      </w:ins>
      <w:ins w:id="282" w:author="Andrés González Santa Cruz" w:date="2024-06-27T12:56:00Z" w16du:dateUtc="2024-06-27T16:56:00Z">
        <w:r w:rsidR="00801B47" w:rsidRPr="002D289A">
          <w:rPr>
            <w:rFonts w:ascii="Times New Roman" w:hAnsi="Times New Roman" w:cs="Times New Roman"/>
            <w:sz w:val="24"/>
            <w:szCs w:val="24"/>
            <w:highlight w:val="yellow"/>
            <w:rPrChange w:id="283" w:author="Andrés González Santa Cruz" w:date="2024-06-27T13:58:00Z" w16du:dateUtc="2024-06-27T17:58:00Z">
              <w:rPr>
                <w:rFonts w:ascii="Times New Roman" w:hAnsi="Times New Roman" w:cs="Times New Roman"/>
                <w:sz w:val="24"/>
                <w:szCs w:val="24"/>
              </w:rPr>
            </w:rPrChange>
          </w:rPr>
          <w:t>from</w:t>
        </w:r>
      </w:ins>
      <w:ins w:id="284" w:author="Andrés González Santa Cruz" w:date="2024-06-26T12:39:00Z">
        <w:r w:rsidRPr="002D289A">
          <w:rPr>
            <w:rFonts w:ascii="Times New Roman" w:hAnsi="Times New Roman" w:cs="Times New Roman"/>
            <w:sz w:val="24"/>
            <w:szCs w:val="24"/>
            <w:highlight w:val="yellow"/>
            <w:rPrChange w:id="285" w:author="Andrés González Santa Cruz" w:date="2024-06-27T13:58:00Z" w16du:dateUtc="2024-06-27T17:58:00Z">
              <w:rPr>
                <w:rFonts w:ascii="Times New Roman" w:hAnsi="Times New Roman" w:cs="Times New Roman"/>
                <w:sz w:val="24"/>
                <w:szCs w:val="24"/>
              </w:rPr>
            </w:rPrChange>
          </w:rPr>
          <w:t xml:space="preserve"> 80% </w:t>
        </w:r>
      </w:ins>
      <w:ins w:id="286" w:author="Andrés González Santa Cruz" w:date="2024-06-27T12:57:00Z" w16du:dateUtc="2024-06-27T16:57:00Z">
        <w:r w:rsidR="00801B47" w:rsidRPr="002D289A">
          <w:rPr>
            <w:rFonts w:ascii="Times New Roman" w:hAnsi="Times New Roman" w:cs="Times New Roman"/>
            <w:sz w:val="24"/>
            <w:szCs w:val="24"/>
            <w:highlight w:val="yellow"/>
            <w:rPrChange w:id="287" w:author="Andrés González Santa Cruz" w:date="2024-06-27T13:58:00Z" w16du:dateUtc="2024-06-27T17:58:00Z">
              <w:rPr>
                <w:rFonts w:ascii="Times New Roman" w:hAnsi="Times New Roman" w:cs="Times New Roman"/>
                <w:sz w:val="24"/>
                <w:szCs w:val="24"/>
              </w:rPr>
            </w:rPrChange>
          </w:rPr>
          <w:t xml:space="preserve">to </w:t>
        </w:r>
      </w:ins>
      <w:ins w:id="288" w:author="Andrés González Santa Cruz" w:date="2024-06-26T12:39:00Z">
        <w:r w:rsidRPr="002D289A">
          <w:rPr>
            <w:rFonts w:ascii="Times New Roman" w:hAnsi="Times New Roman" w:cs="Times New Roman"/>
            <w:sz w:val="24"/>
            <w:szCs w:val="24"/>
            <w:highlight w:val="yellow"/>
            <w:rPrChange w:id="289" w:author="Andrés González Santa Cruz" w:date="2024-06-27T13:58:00Z" w16du:dateUtc="2024-06-27T17:58:00Z">
              <w:rPr>
                <w:rFonts w:ascii="Times New Roman" w:hAnsi="Times New Roman" w:cs="Times New Roman"/>
                <w:sz w:val="24"/>
                <w:szCs w:val="24"/>
              </w:rPr>
            </w:rPrChange>
          </w:rPr>
          <w:t xml:space="preserve">88% reported PSU. This suggest that exposure to PSU could be overrepresented in the sample, as readmission is associated with PSU. This association is also evident when comparing the number of treatments to the proportion of non-complete treatments. Specifically, 71% of patients with only one treatment did not complete it, while 79%, 81% and 85% of the treatment episodes of patients with two, three or four </w:t>
        </w:r>
      </w:ins>
      <w:ins w:id="290" w:author="Andrés González Santa Cruz" w:date="2024-06-27T12:57:00Z" w16du:dateUtc="2024-06-27T16:57:00Z">
        <w:r w:rsidR="00801B47" w:rsidRPr="002D289A">
          <w:rPr>
            <w:rFonts w:ascii="Times New Roman" w:hAnsi="Times New Roman" w:cs="Times New Roman"/>
            <w:sz w:val="24"/>
            <w:szCs w:val="24"/>
            <w:highlight w:val="yellow"/>
            <w:rPrChange w:id="291" w:author="Andrés González Santa Cruz" w:date="2024-06-27T13:58:00Z" w16du:dateUtc="2024-06-27T17:58:00Z">
              <w:rPr>
                <w:rFonts w:ascii="Times New Roman" w:hAnsi="Times New Roman" w:cs="Times New Roman"/>
                <w:sz w:val="24"/>
                <w:szCs w:val="24"/>
              </w:rPr>
            </w:rPrChange>
          </w:rPr>
          <w:t xml:space="preserve">treatments </w:t>
        </w:r>
      </w:ins>
      <w:ins w:id="292" w:author="Andrés González Santa Cruz" w:date="2024-06-26T12:39:00Z">
        <w:r w:rsidRPr="002D289A">
          <w:rPr>
            <w:rFonts w:ascii="Times New Roman" w:hAnsi="Times New Roman" w:cs="Times New Roman"/>
            <w:sz w:val="24"/>
            <w:szCs w:val="24"/>
            <w:highlight w:val="yellow"/>
            <w:rPrChange w:id="293" w:author="Andrés González Santa Cruz" w:date="2024-06-27T13:58:00Z" w16du:dateUtc="2024-06-27T17:58:00Z">
              <w:rPr>
                <w:rFonts w:ascii="Times New Roman" w:hAnsi="Times New Roman" w:cs="Times New Roman"/>
                <w:sz w:val="24"/>
                <w:szCs w:val="24"/>
              </w:rPr>
            </w:rPrChange>
          </w:rPr>
          <w:t xml:space="preserve">and more, respectively, </w:t>
        </w:r>
      </w:ins>
      <w:ins w:id="294" w:author="Andrés González Santa Cruz" w:date="2024-06-27T12:57:00Z" w16du:dateUtc="2024-06-27T16:57:00Z">
        <w:r w:rsidR="00801B47" w:rsidRPr="002D289A">
          <w:rPr>
            <w:rFonts w:ascii="Times New Roman" w:hAnsi="Times New Roman" w:cs="Times New Roman"/>
            <w:sz w:val="24"/>
            <w:szCs w:val="24"/>
            <w:highlight w:val="yellow"/>
            <w:rPrChange w:id="295" w:author="Andrés González Santa Cruz" w:date="2024-06-27T13:58:00Z" w16du:dateUtc="2024-06-27T17:58:00Z">
              <w:rPr>
                <w:rFonts w:ascii="Times New Roman" w:hAnsi="Times New Roman" w:cs="Times New Roman"/>
                <w:sz w:val="24"/>
                <w:szCs w:val="24"/>
              </w:rPr>
            </w:rPrChange>
          </w:rPr>
          <w:t>had a</w:t>
        </w:r>
      </w:ins>
      <w:ins w:id="296" w:author="Andrés González Santa Cruz" w:date="2024-06-26T12:39:00Z">
        <w:r w:rsidRPr="002D289A">
          <w:rPr>
            <w:rFonts w:ascii="Times New Roman" w:hAnsi="Times New Roman" w:cs="Times New Roman"/>
            <w:sz w:val="24"/>
            <w:szCs w:val="24"/>
            <w:highlight w:val="yellow"/>
            <w:rPrChange w:id="297" w:author="Andrés González Santa Cruz" w:date="2024-06-27T13:58:00Z" w16du:dateUtc="2024-06-27T17:58:00Z">
              <w:rPr>
                <w:rFonts w:ascii="Times New Roman" w:hAnsi="Times New Roman" w:cs="Times New Roman"/>
                <w:sz w:val="24"/>
                <w:szCs w:val="24"/>
              </w:rPr>
            </w:rPrChange>
          </w:rPr>
          <w:t xml:space="preserve"> non</w:t>
        </w:r>
      </w:ins>
      <w:ins w:id="298" w:author="Andrés González Santa Cruz" w:date="2024-06-26T14:43:00Z" w16du:dateUtc="2024-06-26T18:43:00Z">
        <w:r w:rsidR="00C53F05" w:rsidRPr="002D289A">
          <w:rPr>
            <w:rFonts w:ascii="Times New Roman" w:hAnsi="Times New Roman" w:cs="Times New Roman"/>
            <w:sz w:val="24"/>
            <w:szCs w:val="24"/>
            <w:highlight w:val="yellow"/>
            <w:rPrChange w:id="299" w:author="Andrés González Santa Cruz" w:date="2024-06-27T13:58:00Z" w16du:dateUtc="2024-06-27T17:58:00Z">
              <w:rPr>
                <w:rFonts w:ascii="Times New Roman" w:hAnsi="Times New Roman" w:cs="Times New Roman"/>
                <w:sz w:val="24"/>
                <w:szCs w:val="24"/>
              </w:rPr>
            </w:rPrChange>
          </w:rPr>
          <w:t>-</w:t>
        </w:r>
      </w:ins>
      <w:ins w:id="300" w:author="Andrés González Santa Cruz" w:date="2024-06-26T12:39:00Z">
        <w:r w:rsidRPr="002D289A">
          <w:rPr>
            <w:rFonts w:ascii="Times New Roman" w:hAnsi="Times New Roman" w:cs="Times New Roman"/>
            <w:sz w:val="24"/>
            <w:szCs w:val="24"/>
            <w:highlight w:val="yellow"/>
            <w:rPrChange w:id="301" w:author="Andrés González Santa Cruz" w:date="2024-06-27T13:58:00Z" w16du:dateUtc="2024-06-27T17:58:00Z">
              <w:rPr>
                <w:rFonts w:ascii="Times New Roman" w:hAnsi="Times New Roman" w:cs="Times New Roman"/>
                <w:sz w:val="24"/>
                <w:szCs w:val="24"/>
              </w:rPr>
            </w:rPrChange>
          </w:rPr>
          <w:t xml:space="preserve">completion status. </w:t>
        </w:r>
      </w:ins>
    </w:p>
    <w:p w14:paraId="62328C63" w14:textId="17E1FC7D" w:rsidR="00781616" w:rsidRPr="00781616" w:rsidRDefault="00C85D16" w:rsidP="00781616">
      <w:pPr>
        <w:spacing w:line="480" w:lineRule="auto"/>
        <w:ind w:firstLine="567"/>
        <w:rPr>
          <w:rFonts w:ascii="Times New Roman" w:hAnsi="Times New Roman" w:cs="Times New Roman"/>
          <w:sz w:val="24"/>
          <w:szCs w:val="24"/>
          <w:lang w:val="en-US"/>
          <w:rPrChange w:id="302" w:author="Andrés González Santa Cruz" w:date="2024-06-25T22:42:00Z" w16du:dateUtc="2024-06-26T02:42:00Z">
            <w:rPr>
              <w:rFonts w:ascii="Times New Roman" w:hAnsi="Times New Roman" w:cs="Times New Roman"/>
              <w:sz w:val="24"/>
              <w:szCs w:val="24"/>
            </w:rPr>
          </w:rPrChange>
        </w:rPr>
      </w:pPr>
      <w:ins w:id="303" w:author="Andrés González Santa Cruz" w:date="2024-06-26T12:40:00Z" w16du:dateUtc="2024-06-26T16:40:00Z">
        <w:r w:rsidRPr="002D289A">
          <w:rPr>
            <w:rFonts w:ascii="Times New Roman" w:hAnsi="Times New Roman" w:cs="Times New Roman"/>
            <w:sz w:val="24"/>
            <w:szCs w:val="24"/>
            <w:highlight w:val="yellow"/>
            <w:rPrChange w:id="304" w:author="Andrés González Santa Cruz" w:date="2024-06-27T13:58:00Z" w16du:dateUtc="2024-06-27T17:58:00Z">
              <w:rPr>
                <w:rFonts w:ascii="Times New Roman" w:hAnsi="Times New Roman" w:cs="Times New Roman"/>
                <w:sz w:val="24"/>
                <w:szCs w:val="24"/>
              </w:rPr>
            </w:rPrChange>
          </w:rPr>
          <w:t>However, a</w:t>
        </w:r>
      </w:ins>
      <w:ins w:id="305" w:author="Andrés González Santa Cruz" w:date="2024-06-25T22:42:00Z">
        <w:r w:rsidR="00781616" w:rsidRPr="002D289A">
          <w:rPr>
            <w:rFonts w:ascii="Times New Roman" w:hAnsi="Times New Roman" w:cs="Times New Roman"/>
            <w:sz w:val="24"/>
            <w:szCs w:val="24"/>
            <w:highlight w:val="yellow"/>
            <w:lang w:val="en-US"/>
            <w:rPrChange w:id="306" w:author="Andrés González Santa Cruz" w:date="2024-06-27T13:58:00Z" w16du:dateUtc="2024-06-27T17:58:00Z">
              <w:rPr>
                <w:rFonts w:ascii="Times New Roman" w:hAnsi="Times New Roman" w:cs="Times New Roman"/>
                <w:sz w:val="24"/>
                <w:szCs w:val="24"/>
                <w:lang w:val="es-CL"/>
              </w:rPr>
            </w:rPrChange>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reporting PSU at admission to the first treatment (11.6 95% CI 11.3</w:t>
        </w:r>
      </w:ins>
      <w:ins w:id="307" w:author="Andrés González Santa Cruz" w:date="2024-06-27T13:46:00Z" w16du:dateUtc="2024-06-27T17:46:00Z">
        <w:r w:rsidR="00395014" w:rsidRPr="002D289A">
          <w:rPr>
            <w:rFonts w:ascii="Times New Roman" w:hAnsi="Times New Roman" w:cs="Times New Roman"/>
            <w:sz w:val="24"/>
            <w:szCs w:val="24"/>
            <w:highlight w:val="yellow"/>
            <w:lang w:val="en-US"/>
            <w:rPrChange w:id="308" w:author="Andrés González Santa Cruz" w:date="2024-06-27T13:58:00Z" w16du:dateUtc="2024-06-27T17:58:00Z">
              <w:rPr>
                <w:rFonts w:ascii="Times New Roman" w:hAnsi="Times New Roman" w:cs="Times New Roman"/>
                <w:sz w:val="24"/>
                <w:szCs w:val="24"/>
                <w:lang w:val="en-US"/>
              </w:rPr>
            </w:rPrChange>
          </w:rPr>
          <w:t>-</w:t>
        </w:r>
      </w:ins>
      <w:ins w:id="309" w:author="Andrés González Santa Cruz" w:date="2024-06-25T22:42:00Z">
        <w:r w:rsidR="00781616" w:rsidRPr="002D289A">
          <w:rPr>
            <w:rFonts w:ascii="Times New Roman" w:hAnsi="Times New Roman" w:cs="Times New Roman"/>
            <w:sz w:val="24"/>
            <w:szCs w:val="24"/>
            <w:highlight w:val="yellow"/>
            <w:lang w:val="en-US"/>
            <w:rPrChange w:id="310" w:author="Andrés González Santa Cruz" w:date="2024-06-27T13:58:00Z" w16du:dateUtc="2024-06-27T17:58:00Z">
              <w:rPr>
                <w:rFonts w:ascii="Times New Roman" w:hAnsi="Times New Roman" w:cs="Times New Roman"/>
                <w:sz w:val="24"/>
                <w:szCs w:val="24"/>
                <w:lang w:val="es-CL"/>
              </w:rPr>
            </w:rPrChange>
          </w:rPr>
          <w:t>11.8 per 1,000 person-months) compared to patients who did not report PSU (13.2 95% CI 12.6</w:t>
        </w:r>
      </w:ins>
      <w:ins w:id="311" w:author="Andrés González Santa Cruz" w:date="2024-06-27T13:47:00Z" w16du:dateUtc="2024-06-27T17:47:00Z">
        <w:r w:rsidR="00395014" w:rsidRPr="002D289A">
          <w:rPr>
            <w:rFonts w:ascii="Times New Roman" w:hAnsi="Times New Roman" w:cs="Times New Roman"/>
            <w:sz w:val="24"/>
            <w:szCs w:val="24"/>
            <w:highlight w:val="yellow"/>
            <w:lang w:val="en-US"/>
            <w:rPrChange w:id="312" w:author="Andrés González Santa Cruz" w:date="2024-06-27T13:58:00Z" w16du:dateUtc="2024-06-27T17:58:00Z">
              <w:rPr>
                <w:rFonts w:ascii="Times New Roman" w:hAnsi="Times New Roman" w:cs="Times New Roman"/>
                <w:sz w:val="24"/>
                <w:szCs w:val="24"/>
                <w:lang w:val="en-US"/>
              </w:rPr>
            </w:rPrChange>
          </w:rPr>
          <w:t>-</w:t>
        </w:r>
      </w:ins>
      <w:ins w:id="313" w:author="Andrés González Santa Cruz" w:date="2024-06-25T22:42:00Z">
        <w:r w:rsidR="00781616" w:rsidRPr="002D289A">
          <w:rPr>
            <w:rFonts w:ascii="Times New Roman" w:hAnsi="Times New Roman" w:cs="Times New Roman"/>
            <w:sz w:val="24"/>
            <w:szCs w:val="24"/>
            <w:highlight w:val="yellow"/>
            <w:lang w:val="en-US"/>
            <w:rPrChange w:id="314" w:author="Andrés González Santa Cruz" w:date="2024-06-27T13:58:00Z" w16du:dateUtc="2024-06-27T17:58:00Z">
              <w:rPr>
                <w:rFonts w:ascii="Times New Roman" w:hAnsi="Times New Roman" w:cs="Times New Roman"/>
                <w:sz w:val="24"/>
                <w:szCs w:val="24"/>
                <w:lang w:val="es-CL"/>
              </w:rPr>
            </w:rPrChange>
          </w:rPr>
          <w:t xml:space="preserve">13.8). Similarly, the incidence of dropout at the first admission was lower among patients </w:t>
        </w:r>
        <w:r w:rsidR="00781616" w:rsidRPr="002D289A">
          <w:rPr>
            <w:rFonts w:ascii="Times New Roman" w:hAnsi="Times New Roman" w:cs="Times New Roman"/>
            <w:sz w:val="24"/>
            <w:szCs w:val="24"/>
            <w:highlight w:val="yellow"/>
            <w:lang w:val="en-US"/>
            <w:rPrChange w:id="315" w:author="Andrés González Santa Cruz" w:date="2024-06-27T13:58:00Z" w16du:dateUtc="2024-06-27T17:58:00Z">
              <w:rPr>
                <w:rFonts w:ascii="Times New Roman" w:hAnsi="Times New Roman" w:cs="Times New Roman"/>
                <w:sz w:val="24"/>
                <w:szCs w:val="24"/>
                <w:lang w:val="es-CL"/>
              </w:rPr>
            </w:rPrChange>
          </w:rPr>
          <w:lastRenderedPageBreak/>
          <w:t>reporting PSU at admission to the first treatment (9.9</w:t>
        </w:r>
      </w:ins>
      <w:ins w:id="316" w:author="Andrés González Santa Cruz" w:date="2024-06-27T13:47:00Z" w16du:dateUtc="2024-06-27T17:47:00Z">
        <w:r w:rsidR="00395014" w:rsidRPr="002D289A">
          <w:rPr>
            <w:rFonts w:ascii="Times New Roman" w:hAnsi="Times New Roman" w:cs="Times New Roman"/>
            <w:sz w:val="24"/>
            <w:szCs w:val="24"/>
            <w:highlight w:val="yellow"/>
            <w:lang w:val="en-US"/>
            <w:rPrChange w:id="317" w:author="Andrés González Santa Cruz" w:date="2024-06-27T13:58:00Z" w16du:dateUtc="2024-06-27T17:58:00Z">
              <w:rPr>
                <w:rFonts w:ascii="Times New Roman" w:hAnsi="Times New Roman" w:cs="Times New Roman"/>
                <w:sz w:val="24"/>
                <w:szCs w:val="24"/>
                <w:lang w:val="en-US"/>
              </w:rPr>
            </w:rPrChange>
          </w:rPr>
          <w:t xml:space="preserve"> </w:t>
        </w:r>
      </w:ins>
      <w:ins w:id="318" w:author="Andrés González Santa Cruz" w:date="2024-06-25T22:42:00Z">
        <w:r w:rsidR="00781616" w:rsidRPr="002D289A">
          <w:rPr>
            <w:rFonts w:ascii="Times New Roman" w:hAnsi="Times New Roman" w:cs="Times New Roman"/>
            <w:sz w:val="24"/>
            <w:szCs w:val="24"/>
            <w:highlight w:val="yellow"/>
            <w:lang w:val="en-US"/>
            <w:rPrChange w:id="319" w:author="Andrés González Santa Cruz" w:date="2024-06-27T13:58:00Z" w16du:dateUtc="2024-06-27T17:58:00Z">
              <w:rPr>
                <w:rFonts w:ascii="Times New Roman" w:hAnsi="Times New Roman" w:cs="Times New Roman"/>
                <w:sz w:val="24"/>
                <w:szCs w:val="24"/>
                <w:lang w:val="es-CL"/>
              </w:rPr>
            </w:rPrChange>
          </w:rPr>
          <w:t>95% CI 9.7</w:t>
        </w:r>
      </w:ins>
      <w:ins w:id="320" w:author="Andrés González Santa Cruz" w:date="2024-06-27T13:47:00Z" w16du:dateUtc="2024-06-27T17:47:00Z">
        <w:r w:rsidR="00395014" w:rsidRPr="002D289A">
          <w:rPr>
            <w:rFonts w:ascii="Times New Roman" w:hAnsi="Times New Roman" w:cs="Times New Roman"/>
            <w:sz w:val="24"/>
            <w:szCs w:val="24"/>
            <w:highlight w:val="yellow"/>
            <w:lang w:val="en-US"/>
            <w:rPrChange w:id="321" w:author="Andrés González Santa Cruz" w:date="2024-06-27T13:58:00Z" w16du:dateUtc="2024-06-27T17:58:00Z">
              <w:rPr>
                <w:rFonts w:ascii="Times New Roman" w:hAnsi="Times New Roman" w:cs="Times New Roman"/>
                <w:sz w:val="24"/>
                <w:szCs w:val="24"/>
                <w:lang w:val="en-US"/>
              </w:rPr>
            </w:rPrChange>
          </w:rPr>
          <w:t>-</w:t>
        </w:r>
      </w:ins>
      <w:ins w:id="322" w:author="Andrés González Santa Cruz" w:date="2024-06-25T22:42:00Z">
        <w:r w:rsidR="00781616" w:rsidRPr="002D289A">
          <w:rPr>
            <w:rFonts w:ascii="Times New Roman" w:hAnsi="Times New Roman" w:cs="Times New Roman"/>
            <w:sz w:val="24"/>
            <w:szCs w:val="24"/>
            <w:highlight w:val="yellow"/>
            <w:lang w:val="en-US"/>
            <w:rPrChange w:id="323" w:author="Andrés González Santa Cruz" w:date="2024-06-27T13:58:00Z" w16du:dateUtc="2024-06-27T17:58:00Z">
              <w:rPr>
                <w:rFonts w:ascii="Times New Roman" w:hAnsi="Times New Roman" w:cs="Times New Roman"/>
                <w:sz w:val="24"/>
                <w:szCs w:val="24"/>
                <w:lang w:val="es-CL"/>
              </w:rPr>
            </w:rPrChange>
          </w:rPr>
          <w:t>10.1) versus patients who did not report PSU (11.3 95% CI 10.8</w:t>
        </w:r>
      </w:ins>
      <w:ins w:id="324" w:author="Andrés González Santa Cruz" w:date="2024-06-27T13:47:00Z" w16du:dateUtc="2024-06-27T17:47:00Z">
        <w:r w:rsidR="00395014" w:rsidRPr="002D289A">
          <w:rPr>
            <w:rFonts w:ascii="Times New Roman" w:hAnsi="Times New Roman" w:cs="Times New Roman"/>
            <w:sz w:val="24"/>
            <w:szCs w:val="24"/>
            <w:highlight w:val="yellow"/>
            <w:lang w:val="en-US"/>
            <w:rPrChange w:id="325" w:author="Andrés González Santa Cruz" w:date="2024-06-27T13:58:00Z" w16du:dateUtc="2024-06-27T17:58:00Z">
              <w:rPr>
                <w:rFonts w:ascii="Times New Roman" w:hAnsi="Times New Roman" w:cs="Times New Roman"/>
                <w:sz w:val="24"/>
                <w:szCs w:val="24"/>
                <w:lang w:val="en-US"/>
              </w:rPr>
            </w:rPrChange>
          </w:rPr>
          <w:t>-</w:t>
        </w:r>
      </w:ins>
      <w:ins w:id="326" w:author="Andrés González Santa Cruz" w:date="2024-06-25T22:42:00Z">
        <w:r w:rsidR="00781616" w:rsidRPr="002D289A">
          <w:rPr>
            <w:rFonts w:ascii="Times New Roman" w:hAnsi="Times New Roman" w:cs="Times New Roman"/>
            <w:sz w:val="24"/>
            <w:szCs w:val="24"/>
            <w:highlight w:val="yellow"/>
            <w:lang w:val="en-US"/>
            <w:rPrChange w:id="327" w:author="Andrés González Santa Cruz" w:date="2024-06-27T13:58:00Z" w16du:dateUtc="2024-06-27T17:58:00Z">
              <w:rPr>
                <w:rFonts w:ascii="Times New Roman" w:hAnsi="Times New Roman" w:cs="Times New Roman"/>
                <w:sz w:val="24"/>
                <w:szCs w:val="24"/>
                <w:lang w:val="es-CL"/>
              </w:rPr>
            </w:rPrChange>
          </w:rPr>
          <w:t xml:space="preserve"> 11.9). When focusing more longitudinally on patients who had at least one treatment in which they reported PSU, we see that rates of at least one non-completion are lower in this group (11.6 95% CI 11.4</w:t>
        </w:r>
      </w:ins>
      <w:ins w:id="328" w:author="Andrés González Santa Cruz" w:date="2024-06-27T13:47:00Z" w16du:dateUtc="2024-06-27T17:47:00Z">
        <w:r w:rsidR="00395014" w:rsidRPr="002D289A">
          <w:rPr>
            <w:rFonts w:ascii="Times New Roman" w:hAnsi="Times New Roman" w:cs="Times New Roman"/>
            <w:sz w:val="24"/>
            <w:szCs w:val="24"/>
            <w:highlight w:val="yellow"/>
            <w:lang w:val="en-US"/>
            <w:rPrChange w:id="329" w:author="Andrés González Santa Cruz" w:date="2024-06-27T13:58:00Z" w16du:dateUtc="2024-06-27T17:58:00Z">
              <w:rPr>
                <w:rFonts w:ascii="Times New Roman" w:hAnsi="Times New Roman" w:cs="Times New Roman"/>
                <w:sz w:val="24"/>
                <w:szCs w:val="24"/>
                <w:lang w:val="en-US"/>
              </w:rPr>
            </w:rPrChange>
          </w:rPr>
          <w:t>-</w:t>
        </w:r>
      </w:ins>
      <w:ins w:id="330" w:author="Andrés González Santa Cruz" w:date="2024-06-25T22:42:00Z">
        <w:r w:rsidR="00781616" w:rsidRPr="002D289A">
          <w:rPr>
            <w:rFonts w:ascii="Times New Roman" w:hAnsi="Times New Roman" w:cs="Times New Roman"/>
            <w:sz w:val="24"/>
            <w:szCs w:val="24"/>
            <w:highlight w:val="yellow"/>
            <w:lang w:val="en-US"/>
            <w:rPrChange w:id="331" w:author="Andrés González Santa Cruz" w:date="2024-06-27T13:58:00Z" w16du:dateUtc="2024-06-27T17:58:00Z">
              <w:rPr>
                <w:rFonts w:ascii="Times New Roman" w:hAnsi="Times New Roman" w:cs="Times New Roman"/>
                <w:sz w:val="24"/>
                <w:szCs w:val="24"/>
                <w:lang w:val="es-CL"/>
              </w:rPr>
            </w:rPrChange>
          </w:rPr>
          <w:t>11.9) compared to patients who did not report any PSU (13.9 95% CI 13.1</w:t>
        </w:r>
      </w:ins>
      <w:ins w:id="332" w:author="Andrés González Santa Cruz" w:date="2024-06-27T13:47:00Z" w16du:dateUtc="2024-06-27T17:47:00Z">
        <w:r w:rsidR="00395014" w:rsidRPr="002D289A">
          <w:rPr>
            <w:rFonts w:ascii="Times New Roman" w:hAnsi="Times New Roman" w:cs="Times New Roman"/>
            <w:sz w:val="24"/>
            <w:szCs w:val="24"/>
            <w:highlight w:val="yellow"/>
            <w:lang w:val="en-US"/>
            <w:rPrChange w:id="333" w:author="Andrés González Santa Cruz" w:date="2024-06-27T13:58:00Z" w16du:dateUtc="2024-06-27T17:58:00Z">
              <w:rPr>
                <w:rFonts w:ascii="Times New Roman" w:hAnsi="Times New Roman" w:cs="Times New Roman"/>
                <w:sz w:val="24"/>
                <w:szCs w:val="24"/>
                <w:lang w:val="en-US"/>
              </w:rPr>
            </w:rPrChange>
          </w:rPr>
          <w:t>-</w:t>
        </w:r>
      </w:ins>
      <w:ins w:id="334" w:author="Andrés González Santa Cruz" w:date="2024-06-25T22:42:00Z">
        <w:r w:rsidR="00781616" w:rsidRPr="002D289A">
          <w:rPr>
            <w:rFonts w:ascii="Times New Roman" w:hAnsi="Times New Roman" w:cs="Times New Roman"/>
            <w:sz w:val="24"/>
            <w:szCs w:val="24"/>
            <w:highlight w:val="yellow"/>
            <w:lang w:val="en-US"/>
            <w:rPrChange w:id="335" w:author="Andrés González Santa Cruz" w:date="2024-06-27T13:58:00Z" w16du:dateUtc="2024-06-27T17:58:00Z">
              <w:rPr>
                <w:rFonts w:ascii="Times New Roman" w:hAnsi="Times New Roman" w:cs="Times New Roman"/>
                <w:sz w:val="24"/>
                <w:szCs w:val="24"/>
                <w:lang w:val="es-CL"/>
              </w:rPr>
            </w:rPrChange>
          </w:rPr>
          <w:t>14.8). This trend is also observed when looking at the incidence of non-completion at the first treatment episode alone (10.0 95% CI 9.8</w:t>
        </w:r>
      </w:ins>
      <w:ins w:id="336" w:author="Andrés González Santa Cruz" w:date="2024-06-27T13:47:00Z" w16du:dateUtc="2024-06-27T17:47:00Z">
        <w:r w:rsidR="00395014" w:rsidRPr="002D289A">
          <w:rPr>
            <w:rFonts w:ascii="Times New Roman" w:hAnsi="Times New Roman" w:cs="Times New Roman"/>
            <w:sz w:val="24"/>
            <w:szCs w:val="24"/>
            <w:highlight w:val="yellow"/>
            <w:lang w:val="en-US"/>
            <w:rPrChange w:id="337" w:author="Andrés González Santa Cruz" w:date="2024-06-27T13:58:00Z" w16du:dateUtc="2024-06-27T17:58:00Z">
              <w:rPr>
                <w:rFonts w:ascii="Times New Roman" w:hAnsi="Times New Roman" w:cs="Times New Roman"/>
                <w:sz w:val="24"/>
                <w:szCs w:val="24"/>
                <w:lang w:val="en-US"/>
              </w:rPr>
            </w:rPrChange>
          </w:rPr>
          <w:t>-</w:t>
        </w:r>
      </w:ins>
      <w:ins w:id="338" w:author="Andrés González Santa Cruz" w:date="2024-06-25T22:42:00Z">
        <w:r w:rsidR="00781616" w:rsidRPr="002D289A">
          <w:rPr>
            <w:rFonts w:ascii="Times New Roman" w:hAnsi="Times New Roman" w:cs="Times New Roman"/>
            <w:sz w:val="24"/>
            <w:szCs w:val="24"/>
            <w:highlight w:val="yellow"/>
            <w:lang w:val="en-US"/>
            <w:rPrChange w:id="339" w:author="Andrés González Santa Cruz" w:date="2024-06-27T13:58:00Z" w16du:dateUtc="2024-06-27T17:58:00Z">
              <w:rPr>
                <w:rFonts w:ascii="Times New Roman" w:hAnsi="Times New Roman" w:cs="Times New Roman"/>
                <w:sz w:val="24"/>
                <w:szCs w:val="24"/>
                <w:lang w:val="es-CL"/>
              </w:rPr>
            </w:rPrChange>
          </w:rPr>
          <w:t>10.2 versus 11.9 95% CI 11.1</w:t>
        </w:r>
      </w:ins>
      <w:ins w:id="340" w:author="Andrés González Santa Cruz" w:date="2024-06-27T13:47:00Z" w16du:dateUtc="2024-06-27T17:47:00Z">
        <w:r w:rsidR="00395014" w:rsidRPr="002D289A">
          <w:rPr>
            <w:rFonts w:ascii="Times New Roman" w:hAnsi="Times New Roman" w:cs="Times New Roman"/>
            <w:sz w:val="24"/>
            <w:szCs w:val="24"/>
            <w:highlight w:val="yellow"/>
            <w:lang w:val="en-US"/>
            <w:rPrChange w:id="341" w:author="Andrés González Santa Cruz" w:date="2024-06-27T13:58:00Z" w16du:dateUtc="2024-06-27T17:58:00Z">
              <w:rPr>
                <w:rFonts w:ascii="Times New Roman" w:hAnsi="Times New Roman" w:cs="Times New Roman"/>
                <w:sz w:val="24"/>
                <w:szCs w:val="24"/>
                <w:lang w:val="en-US"/>
              </w:rPr>
            </w:rPrChange>
          </w:rPr>
          <w:t>-</w:t>
        </w:r>
      </w:ins>
      <w:ins w:id="342" w:author="Andrés González Santa Cruz" w:date="2024-06-25T22:42:00Z">
        <w:r w:rsidR="00781616" w:rsidRPr="002D289A">
          <w:rPr>
            <w:rFonts w:ascii="Times New Roman" w:hAnsi="Times New Roman" w:cs="Times New Roman"/>
            <w:sz w:val="24"/>
            <w:szCs w:val="24"/>
            <w:highlight w:val="yellow"/>
            <w:lang w:val="en-US"/>
            <w:rPrChange w:id="343" w:author="Andrés González Santa Cruz" w:date="2024-06-27T13:58:00Z" w16du:dateUtc="2024-06-27T17:58:00Z">
              <w:rPr>
                <w:rFonts w:ascii="Times New Roman" w:hAnsi="Times New Roman" w:cs="Times New Roman"/>
                <w:sz w:val="24"/>
                <w:szCs w:val="24"/>
                <w:lang w:val="es-CL"/>
              </w:rPr>
            </w:rPrChange>
          </w:rPr>
          <w:t>12.6) (See Table 2).</w:t>
        </w:r>
      </w:ins>
    </w:p>
    <w:p w14:paraId="68D6DB38" w14:textId="6A73832B" w:rsidR="003A4AF8" w:rsidRPr="003A4AF8" w:rsidDel="008C72D9" w:rsidRDefault="003A4AF8" w:rsidP="003A4AF8">
      <w:pPr>
        <w:pStyle w:val="Prrafodelista"/>
        <w:numPr>
          <w:ilvl w:val="0"/>
          <w:numId w:val="6"/>
        </w:numPr>
        <w:spacing w:line="480" w:lineRule="auto"/>
        <w:rPr>
          <w:del w:id="344" w:author="Andrés González Santa Cruz" w:date="2024-06-26T12:05:00Z" w16du:dateUtc="2024-06-26T16:05:00Z"/>
          <w:rFonts w:ascii="Times New Roman" w:hAnsi="Times New Roman" w:cs="Times New Roman"/>
          <w:sz w:val="24"/>
          <w:szCs w:val="24"/>
        </w:rPr>
      </w:pPr>
      <w:commentRangeStart w:id="345"/>
      <w:commentRangeStart w:id="346"/>
      <w:commentRangeStart w:id="347"/>
      <w:del w:id="348" w:author="Andrés González Santa Cruz" w:date="2024-06-26T12:05:00Z" w16du:dateUtc="2024-06-26T16:05:00Z">
        <w:r w:rsidRPr="003A4AF8" w:rsidDel="008C72D9">
          <w:rPr>
            <w:rFonts w:ascii="Times New Roman" w:hAnsi="Times New Roman" w:cs="Times New Roman"/>
            <w:sz w:val="24"/>
            <w:szCs w:val="24"/>
          </w:rPr>
          <w:delText>Modelling of the observation process</w:delText>
        </w:r>
        <w:commentRangeEnd w:id="345"/>
        <w:r w:rsidR="00F073A8" w:rsidDel="008C72D9">
          <w:rPr>
            <w:rStyle w:val="Refdecomentario"/>
            <w:rFonts w:ascii="Times New Roman" w:eastAsia="Times New Roman" w:hAnsi="Times New Roman" w:cs="Times New Roman"/>
            <w:lang w:val="en-US" w:eastAsia="es-CL"/>
          </w:rPr>
          <w:commentReference w:id="345"/>
        </w:r>
        <w:commentRangeEnd w:id="346"/>
        <w:r w:rsidR="00F073A8" w:rsidDel="008C72D9">
          <w:rPr>
            <w:rStyle w:val="Refdecomentario"/>
            <w:rFonts w:ascii="Times New Roman" w:eastAsia="Times New Roman" w:hAnsi="Times New Roman" w:cs="Times New Roman"/>
            <w:lang w:val="en-US" w:eastAsia="es-CL"/>
          </w:rPr>
          <w:commentReference w:id="346"/>
        </w:r>
      </w:del>
      <w:commentRangeEnd w:id="347"/>
      <w:r w:rsidR="008C72D9">
        <w:rPr>
          <w:rStyle w:val="Refdecomentario"/>
          <w:rFonts w:ascii="Times New Roman" w:eastAsia="Times New Roman" w:hAnsi="Times New Roman" w:cs="Times New Roman"/>
          <w:lang w:val="en-US" w:eastAsia="es-CL"/>
        </w:rPr>
        <w:commentReference w:id="347"/>
      </w:r>
    </w:p>
    <w:p w14:paraId="729C04FD" w14:textId="77777777" w:rsidR="003A4AF8" w:rsidRPr="003A4AF8" w:rsidRDefault="003A4AF8" w:rsidP="003A4AF8">
      <w:pPr>
        <w:pStyle w:val="Prrafodelista"/>
        <w:numPr>
          <w:ilvl w:val="0"/>
          <w:numId w:val="6"/>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F42183F" w14:textId="51C7B936" w:rsidR="00FE4FE6" w:rsidRPr="003A4AF8" w:rsidRDefault="003A4AF8" w:rsidP="0077375C">
      <w:pPr>
        <w:spacing w:line="480" w:lineRule="auto"/>
        <w:ind w:firstLine="567"/>
        <w:rPr>
          <w:rFonts w:ascii="Times New Roman" w:hAnsi="Times New Roman" w:cs="Times New Roman"/>
          <w:sz w:val="24"/>
          <w:szCs w:val="24"/>
        </w:rPr>
      </w:pPr>
      <w:r w:rsidRPr="002D289A">
        <w:rPr>
          <w:rFonts w:ascii="Times New Roman" w:hAnsi="Times New Roman" w:cs="Times New Roman"/>
          <w:sz w:val="24"/>
          <w:szCs w:val="24"/>
          <w:highlight w:val="yellow"/>
          <w:rPrChange w:id="349" w:author="Andrés González Santa Cruz" w:date="2024-06-27T13:58:00Z" w16du:dateUtc="2024-06-27T17:58:00Z">
            <w:rPr>
              <w:rFonts w:ascii="Times New Roman" w:hAnsi="Times New Roman" w:cs="Times New Roman"/>
              <w:sz w:val="24"/>
              <w:szCs w:val="24"/>
            </w:rPr>
          </w:rPrChange>
        </w:rPr>
        <w:t xml:space="preserve">According to Table </w:t>
      </w:r>
      <w:del w:id="350" w:author="Andrés González Santa Cruz" w:date="2024-06-26T12:04:00Z" w16du:dateUtc="2024-06-26T16:04:00Z">
        <w:r w:rsidRPr="002D289A" w:rsidDel="00623AE4">
          <w:rPr>
            <w:rFonts w:ascii="Times New Roman" w:hAnsi="Times New Roman" w:cs="Times New Roman"/>
            <w:sz w:val="24"/>
            <w:szCs w:val="24"/>
            <w:highlight w:val="yellow"/>
            <w:rPrChange w:id="351" w:author="Andrés González Santa Cruz" w:date="2024-06-27T13:58:00Z" w16du:dateUtc="2024-06-27T17:58:00Z">
              <w:rPr>
                <w:rFonts w:ascii="Times New Roman" w:hAnsi="Times New Roman" w:cs="Times New Roman"/>
                <w:sz w:val="24"/>
                <w:szCs w:val="24"/>
              </w:rPr>
            </w:rPrChange>
          </w:rPr>
          <w:delText>4</w:delText>
        </w:r>
      </w:del>
      <w:ins w:id="352" w:author="Andrés González Santa Cruz" w:date="2024-06-26T12:04:00Z" w16du:dateUtc="2024-06-26T16:04:00Z">
        <w:r w:rsidR="00623AE4" w:rsidRPr="002D289A">
          <w:rPr>
            <w:rFonts w:ascii="Times New Roman" w:hAnsi="Times New Roman" w:cs="Times New Roman"/>
            <w:sz w:val="24"/>
            <w:szCs w:val="24"/>
            <w:highlight w:val="yellow"/>
            <w:rPrChange w:id="353" w:author="Andrés González Santa Cruz" w:date="2024-06-27T13:58:00Z" w16du:dateUtc="2024-06-27T17:58:00Z">
              <w:rPr>
                <w:rFonts w:ascii="Times New Roman" w:hAnsi="Times New Roman" w:cs="Times New Roman"/>
                <w:sz w:val="24"/>
                <w:szCs w:val="24"/>
              </w:rPr>
            </w:rPrChange>
          </w:rPr>
          <w:t>3</w:t>
        </w:r>
      </w:ins>
      <w:r w:rsidRPr="002D289A">
        <w:rPr>
          <w:rFonts w:ascii="Times New Roman" w:hAnsi="Times New Roman" w:cs="Times New Roman"/>
          <w:sz w:val="24"/>
          <w:szCs w:val="24"/>
          <w:highlight w:val="yellow"/>
          <w:rPrChange w:id="354" w:author="Andrés González Santa Cruz" w:date="2024-06-27T13:58:00Z" w16du:dateUtc="2024-06-27T17:58:00Z">
            <w:rPr>
              <w:rFonts w:ascii="Times New Roman" w:hAnsi="Times New Roman" w:cs="Times New Roman"/>
              <w:sz w:val="24"/>
              <w:szCs w:val="24"/>
            </w:rPr>
          </w:rPrChange>
        </w:rPr>
        <w:t xml:space="preserve">, we found a modest association between polysubstance use at any admission to treatment among users </w:t>
      </w:r>
      <w:bookmarkStart w:id="355" w:name="_Hlk170387190"/>
      <w:r w:rsidRPr="002D289A">
        <w:rPr>
          <w:rFonts w:ascii="Times New Roman" w:hAnsi="Times New Roman" w:cs="Times New Roman"/>
          <w:sz w:val="24"/>
          <w:szCs w:val="24"/>
          <w:highlight w:val="yellow"/>
          <w:rPrChange w:id="356" w:author="Andrés González Santa Cruz" w:date="2024-06-27T13:58:00Z" w16du:dateUtc="2024-06-27T17:58:00Z">
            <w:rPr>
              <w:rFonts w:ascii="Times New Roman" w:hAnsi="Times New Roman" w:cs="Times New Roman"/>
              <w:sz w:val="24"/>
              <w:szCs w:val="24"/>
            </w:rPr>
          </w:rPrChange>
        </w:rPr>
        <w:t xml:space="preserve">in intensive ambulatory settings for the general population </w:t>
      </w:r>
      <w:bookmarkEnd w:id="355"/>
      <w:r w:rsidRPr="002D289A">
        <w:rPr>
          <w:rFonts w:ascii="Times New Roman" w:hAnsi="Times New Roman" w:cs="Times New Roman"/>
          <w:sz w:val="24"/>
          <w:szCs w:val="24"/>
          <w:highlight w:val="yellow"/>
          <w:rPrChange w:id="357" w:author="Andrés González Santa Cruz" w:date="2024-06-27T13:58:00Z" w16du:dateUtc="2024-06-27T17:58:00Z">
            <w:rPr>
              <w:rFonts w:ascii="Times New Roman" w:hAnsi="Times New Roman" w:cs="Times New Roman"/>
              <w:sz w:val="24"/>
              <w:szCs w:val="24"/>
            </w:rPr>
          </w:rPrChange>
        </w:rPr>
        <w:t>(</w:t>
      </w:r>
      <w:r w:rsidR="003A0F4E" w:rsidRPr="002D289A">
        <w:rPr>
          <w:rFonts w:ascii="Times New Roman" w:hAnsi="Times New Roman" w:cs="Times New Roman"/>
          <w:sz w:val="24"/>
          <w:szCs w:val="24"/>
          <w:highlight w:val="yellow"/>
          <w:rPrChange w:id="358" w:author="Andrés González Santa Cruz" w:date="2024-06-27T13:58:00Z" w16du:dateUtc="2024-06-27T17:58:00Z">
            <w:rPr>
              <w:rFonts w:ascii="Times New Roman" w:hAnsi="Times New Roman" w:cs="Times New Roman"/>
              <w:sz w:val="24"/>
              <w:szCs w:val="24"/>
            </w:rPr>
          </w:rPrChange>
        </w:rPr>
        <w:t>RR</w:t>
      </w:r>
      <w:del w:id="359" w:author="Andrés González Santa Cruz" w:date="2024-06-27T12:34:00Z" w16du:dateUtc="2024-06-27T16:34:00Z">
        <w:r w:rsidR="003A0F4E" w:rsidRPr="002D289A" w:rsidDel="00CD38C2">
          <w:rPr>
            <w:rFonts w:ascii="Times New Roman" w:hAnsi="Times New Roman" w:cs="Times New Roman"/>
            <w:sz w:val="24"/>
            <w:szCs w:val="24"/>
            <w:highlight w:val="yellow"/>
            <w:rPrChange w:id="360" w:author="Andrés González Santa Cruz" w:date="2024-06-27T13:58:00Z" w16du:dateUtc="2024-06-27T17:58:00Z">
              <w:rPr>
                <w:rFonts w:ascii="Times New Roman" w:hAnsi="Times New Roman" w:cs="Times New Roman"/>
                <w:sz w:val="24"/>
                <w:szCs w:val="24"/>
              </w:rPr>
            </w:rPrChange>
          </w:rPr>
          <w:delText xml:space="preserve"> [</w:delText>
        </w:r>
        <w:r w:rsidRPr="002D289A" w:rsidDel="00CD38C2">
          <w:rPr>
            <w:rFonts w:ascii="Times New Roman" w:hAnsi="Times New Roman" w:cs="Times New Roman"/>
            <w:i/>
            <w:iCs/>
            <w:sz w:val="24"/>
            <w:szCs w:val="24"/>
            <w:highlight w:val="yellow"/>
            <w:rPrChange w:id="361" w:author="Andrés González Santa Cruz" w:date="2024-06-27T13:58:00Z" w16du:dateUtc="2024-06-27T17:58:00Z">
              <w:rPr>
                <w:rFonts w:ascii="Times New Roman" w:hAnsi="Times New Roman" w:cs="Times New Roman"/>
                <w:i/>
                <w:iCs/>
                <w:sz w:val="24"/>
                <w:szCs w:val="24"/>
              </w:rPr>
            </w:rPrChange>
          </w:rPr>
          <w:delText>relative risk</w:delText>
        </w:r>
        <w:r w:rsidRPr="002D289A" w:rsidDel="00CD38C2">
          <w:rPr>
            <w:rFonts w:ascii="Times New Roman" w:hAnsi="Times New Roman" w:cs="Times New Roman"/>
            <w:sz w:val="24"/>
            <w:szCs w:val="24"/>
            <w:highlight w:val="yellow"/>
            <w:rPrChange w:id="362" w:author="Andrés González Santa Cruz" w:date="2024-06-27T13:58:00Z" w16du:dateUtc="2024-06-27T17:58:00Z">
              <w:rPr>
                <w:rFonts w:ascii="Times New Roman" w:hAnsi="Times New Roman" w:cs="Times New Roman"/>
                <w:sz w:val="24"/>
                <w:szCs w:val="24"/>
              </w:rPr>
            </w:rPrChange>
          </w:rPr>
          <w:delText>]</w:delText>
        </w:r>
      </w:del>
      <w:r w:rsidRPr="002D289A">
        <w:rPr>
          <w:rFonts w:ascii="Times New Roman" w:hAnsi="Times New Roman" w:cs="Times New Roman"/>
          <w:sz w:val="24"/>
          <w:szCs w:val="24"/>
          <w:highlight w:val="yellow"/>
          <w:rPrChange w:id="363" w:author="Andrés González Santa Cruz" w:date="2024-06-27T13:58:00Z" w16du:dateUtc="2024-06-27T17:58:00Z">
            <w:rPr>
              <w:rFonts w:ascii="Times New Roman" w:hAnsi="Times New Roman" w:cs="Times New Roman"/>
              <w:sz w:val="24"/>
              <w:szCs w:val="24"/>
            </w:rPr>
          </w:rPrChange>
        </w:rPr>
        <w:t>= 1.04, 95% CI 1.01</w:t>
      </w:r>
      <w:del w:id="364" w:author="Andrés González Santa Cruz" w:date="2024-06-27T13:48:00Z" w16du:dateUtc="2024-06-27T17:48:00Z">
        <w:r w:rsidRPr="002D289A" w:rsidDel="00395014">
          <w:rPr>
            <w:rFonts w:ascii="Times New Roman" w:hAnsi="Times New Roman" w:cs="Times New Roman"/>
            <w:sz w:val="24"/>
            <w:szCs w:val="24"/>
            <w:highlight w:val="yellow"/>
            <w:rPrChange w:id="365" w:author="Andrés González Santa Cruz" w:date="2024-06-27T13:58:00Z" w16du:dateUtc="2024-06-27T17:58:00Z">
              <w:rPr>
                <w:rFonts w:ascii="Times New Roman" w:hAnsi="Times New Roman" w:cs="Times New Roman"/>
                <w:sz w:val="24"/>
                <w:szCs w:val="24"/>
              </w:rPr>
            </w:rPrChange>
          </w:rPr>
          <w:delText xml:space="preserve">, </w:delText>
        </w:r>
      </w:del>
      <w:ins w:id="366" w:author="Andrés González Santa Cruz" w:date="2024-06-27T13:48:00Z" w16du:dateUtc="2024-06-27T17:48:00Z">
        <w:r w:rsidR="00395014" w:rsidRPr="002D289A">
          <w:rPr>
            <w:rFonts w:ascii="Times New Roman" w:hAnsi="Times New Roman" w:cs="Times New Roman"/>
            <w:sz w:val="24"/>
            <w:szCs w:val="24"/>
            <w:highlight w:val="yellow"/>
            <w:rPrChange w:id="367" w:author="Andrés González Santa Cruz" w:date="2024-06-27T13:58:00Z" w16du:dateUtc="2024-06-27T17:58:00Z">
              <w:rPr>
                <w:rFonts w:ascii="Times New Roman" w:hAnsi="Times New Roman" w:cs="Times New Roman"/>
                <w:sz w:val="24"/>
                <w:szCs w:val="24"/>
              </w:rPr>
            </w:rPrChange>
          </w:rPr>
          <w:t>-</w:t>
        </w:r>
      </w:ins>
      <w:r w:rsidRPr="002D289A">
        <w:rPr>
          <w:rFonts w:ascii="Times New Roman" w:hAnsi="Times New Roman" w:cs="Times New Roman"/>
          <w:sz w:val="24"/>
          <w:szCs w:val="24"/>
          <w:highlight w:val="yellow"/>
          <w:rPrChange w:id="368" w:author="Andrés González Santa Cruz" w:date="2024-06-27T13:58:00Z" w16du:dateUtc="2024-06-27T17:58:00Z">
            <w:rPr>
              <w:rFonts w:ascii="Times New Roman" w:hAnsi="Times New Roman" w:cs="Times New Roman"/>
              <w:sz w:val="24"/>
              <w:szCs w:val="24"/>
            </w:rPr>
          </w:rPrChange>
        </w:rPr>
        <w:t xml:space="preserve">1.07). Also, the risk </w:t>
      </w:r>
      <w:del w:id="369" w:author="Andrés González Santa Cruz" w:date="2024-06-27T12:35:00Z" w16du:dateUtc="2024-06-27T16:35:00Z">
        <w:r w:rsidRPr="002D289A" w:rsidDel="00CD38C2">
          <w:rPr>
            <w:rFonts w:ascii="Times New Roman" w:hAnsi="Times New Roman" w:cs="Times New Roman"/>
            <w:sz w:val="24"/>
            <w:szCs w:val="24"/>
            <w:highlight w:val="yellow"/>
            <w:rPrChange w:id="370" w:author="Andrés González Santa Cruz" w:date="2024-06-27T13:58:00Z" w16du:dateUtc="2024-06-27T17:58:00Z">
              <w:rPr>
                <w:rFonts w:ascii="Times New Roman" w:hAnsi="Times New Roman" w:cs="Times New Roman"/>
                <w:sz w:val="24"/>
                <w:szCs w:val="24"/>
              </w:rPr>
            </w:rPrChange>
          </w:rPr>
          <w:delText xml:space="preserve">is </w:delText>
        </w:r>
      </w:del>
      <w:ins w:id="371" w:author="Andrés González Santa Cruz" w:date="2024-06-27T12:35:00Z" w16du:dateUtc="2024-06-27T16:35:00Z">
        <w:r w:rsidR="00CD38C2" w:rsidRPr="002D289A">
          <w:rPr>
            <w:rFonts w:ascii="Times New Roman" w:hAnsi="Times New Roman" w:cs="Times New Roman"/>
            <w:sz w:val="24"/>
            <w:szCs w:val="24"/>
            <w:highlight w:val="yellow"/>
            <w:rPrChange w:id="372" w:author="Andrés González Santa Cruz" w:date="2024-06-27T13:58:00Z" w16du:dateUtc="2024-06-27T17:58:00Z">
              <w:rPr>
                <w:rFonts w:ascii="Times New Roman" w:hAnsi="Times New Roman" w:cs="Times New Roman"/>
                <w:sz w:val="24"/>
                <w:szCs w:val="24"/>
              </w:rPr>
            </w:rPrChange>
          </w:rPr>
          <w:t>was</w:t>
        </w:r>
        <w:r w:rsidR="00CD38C2" w:rsidRPr="002D289A">
          <w:rPr>
            <w:rFonts w:ascii="Times New Roman" w:hAnsi="Times New Roman" w:cs="Times New Roman"/>
            <w:sz w:val="24"/>
            <w:szCs w:val="24"/>
            <w:highlight w:val="yellow"/>
            <w:rPrChange w:id="373" w:author="Andrés González Santa Cruz" w:date="2024-06-27T13:58:00Z" w16du:dateUtc="2024-06-27T17:58:00Z">
              <w:rPr>
                <w:rFonts w:ascii="Times New Roman" w:hAnsi="Times New Roman" w:cs="Times New Roman"/>
                <w:sz w:val="24"/>
                <w:szCs w:val="24"/>
              </w:rPr>
            </w:rPrChange>
          </w:rPr>
          <w:t xml:space="preserve"> </w:t>
        </w:r>
        <w:r w:rsidR="00CD38C2" w:rsidRPr="002D289A">
          <w:rPr>
            <w:rFonts w:ascii="Times New Roman" w:hAnsi="Times New Roman" w:cs="Times New Roman"/>
            <w:sz w:val="24"/>
            <w:szCs w:val="24"/>
            <w:highlight w:val="yellow"/>
            <w:rPrChange w:id="374" w:author="Andrés González Santa Cruz" w:date="2024-06-27T13:58:00Z" w16du:dateUtc="2024-06-27T17:58:00Z">
              <w:rPr>
                <w:rFonts w:ascii="Times New Roman" w:hAnsi="Times New Roman" w:cs="Times New Roman"/>
                <w:sz w:val="24"/>
                <w:szCs w:val="24"/>
              </w:rPr>
            </w:rPrChange>
          </w:rPr>
          <w:t xml:space="preserve">14% </w:t>
        </w:r>
      </w:ins>
      <w:r w:rsidRPr="002D289A">
        <w:rPr>
          <w:rFonts w:ascii="Times New Roman" w:hAnsi="Times New Roman" w:cs="Times New Roman"/>
          <w:sz w:val="24"/>
          <w:szCs w:val="24"/>
          <w:highlight w:val="yellow"/>
          <w:rPrChange w:id="375" w:author="Andrés González Santa Cruz" w:date="2024-06-27T13:58:00Z" w16du:dateUtc="2024-06-27T17:58:00Z">
            <w:rPr>
              <w:rFonts w:ascii="Times New Roman" w:hAnsi="Times New Roman" w:cs="Times New Roman"/>
              <w:sz w:val="24"/>
              <w:szCs w:val="24"/>
            </w:rPr>
          </w:rPrChange>
        </w:rPr>
        <w:t xml:space="preserve">higher </w:t>
      </w:r>
      <w:bookmarkStart w:id="376" w:name="_Hlk170387452"/>
      <w:r w:rsidRPr="002D289A">
        <w:rPr>
          <w:rFonts w:ascii="Times New Roman" w:hAnsi="Times New Roman" w:cs="Times New Roman"/>
          <w:sz w:val="24"/>
          <w:szCs w:val="24"/>
          <w:highlight w:val="yellow"/>
          <w:rPrChange w:id="377" w:author="Andrés González Santa Cruz" w:date="2024-06-27T13:58:00Z" w16du:dateUtc="2024-06-27T17:58:00Z">
            <w:rPr>
              <w:rFonts w:ascii="Times New Roman" w:hAnsi="Times New Roman" w:cs="Times New Roman"/>
              <w:sz w:val="24"/>
              <w:szCs w:val="24"/>
            </w:rPr>
          </w:rPrChange>
        </w:rPr>
        <w:t>for residential settings exclusive to women</w:t>
      </w:r>
      <w:bookmarkEnd w:id="376"/>
      <w:ins w:id="378" w:author="Andrés González Santa Cruz" w:date="2024-06-27T12:35:00Z" w16du:dateUtc="2024-06-27T16:35:00Z">
        <w:r w:rsidR="00CD38C2" w:rsidRPr="002D289A">
          <w:rPr>
            <w:rFonts w:ascii="Times New Roman" w:hAnsi="Times New Roman" w:cs="Times New Roman"/>
            <w:sz w:val="24"/>
            <w:szCs w:val="24"/>
            <w:highlight w:val="yellow"/>
            <w:rPrChange w:id="379" w:author="Andrés González Santa Cruz" w:date="2024-06-27T13:58:00Z" w16du:dateUtc="2024-06-27T17:58:00Z">
              <w:rPr>
                <w:rFonts w:ascii="Times New Roman" w:hAnsi="Times New Roman" w:cs="Times New Roman"/>
                <w:sz w:val="24"/>
                <w:szCs w:val="24"/>
              </w:rPr>
            </w:rPrChange>
          </w:rPr>
          <w:t xml:space="preserve"> (95% CI </w:t>
        </w:r>
      </w:ins>
      <w:ins w:id="380" w:author="Andrés González Santa Cruz" w:date="2024-06-27T12:36:00Z" w16du:dateUtc="2024-06-27T16:36:00Z">
        <w:r w:rsidR="00CD38C2" w:rsidRPr="002D289A">
          <w:rPr>
            <w:rFonts w:ascii="Times New Roman" w:hAnsi="Times New Roman" w:cs="Times New Roman"/>
            <w:sz w:val="24"/>
            <w:szCs w:val="24"/>
            <w:highlight w:val="yellow"/>
            <w:rPrChange w:id="381" w:author="Andrés González Santa Cruz" w:date="2024-06-27T13:58:00Z" w16du:dateUtc="2024-06-27T17:58:00Z">
              <w:rPr>
                <w:rFonts w:ascii="Times New Roman" w:hAnsi="Times New Roman" w:cs="Times New Roman"/>
                <w:sz w:val="24"/>
                <w:szCs w:val="24"/>
              </w:rPr>
            </w:rPrChange>
          </w:rPr>
          <w:t>1.0</w:t>
        </w:r>
      </w:ins>
      <w:ins w:id="382" w:author="Andrés González Santa Cruz" w:date="2024-06-27T12:35:00Z" w16du:dateUtc="2024-06-27T16:35:00Z">
        <w:r w:rsidR="00CD38C2" w:rsidRPr="002D289A">
          <w:rPr>
            <w:rFonts w:ascii="Times New Roman" w:hAnsi="Times New Roman" w:cs="Times New Roman"/>
            <w:sz w:val="24"/>
            <w:szCs w:val="24"/>
            <w:highlight w:val="yellow"/>
            <w:rPrChange w:id="383" w:author="Andrés González Santa Cruz" w:date="2024-06-27T13:58:00Z" w16du:dateUtc="2024-06-27T17:58:00Z">
              <w:rPr>
                <w:rFonts w:ascii="Times New Roman" w:hAnsi="Times New Roman" w:cs="Times New Roman"/>
                <w:sz w:val="24"/>
                <w:szCs w:val="24"/>
              </w:rPr>
            </w:rPrChange>
          </w:rPr>
          <w:t>6</w:t>
        </w:r>
      </w:ins>
      <w:ins w:id="384" w:author="Andrés González Santa Cruz" w:date="2024-06-27T13:48:00Z" w16du:dateUtc="2024-06-27T17:48:00Z">
        <w:r w:rsidR="00395014" w:rsidRPr="002D289A">
          <w:rPr>
            <w:rFonts w:ascii="Times New Roman" w:hAnsi="Times New Roman" w:cs="Times New Roman"/>
            <w:sz w:val="24"/>
            <w:szCs w:val="24"/>
            <w:highlight w:val="yellow"/>
            <w:rPrChange w:id="385" w:author="Andrés González Santa Cruz" w:date="2024-06-27T13:58:00Z" w16du:dateUtc="2024-06-27T17:58:00Z">
              <w:rPr>
                <w:rFonts w:ascii="Times New Roman" w:hAnsi="Times New Roman" w:cs="Times New Roman"/>
                <w:sz w:val="24"/>
                <w:szCs w:val="24"/>
              </w:rPr>
            </w:rPrChange>
          </w:rPr>
          <w:t>-</w:t>
        </w:r>
      </w:ins>
      <w:ins w:id="386" w:author="Andrés González Santa Cruz" w:date="2024-06-27T12:36:00Z" w16du:dateUtc="2024-06-27T16:36:00Z">
        <w:r w:rsidR="00CD38C2" w:rsidRPr="002D289A">
          <w:rPr>
            <w:rFonts w:ascii="Times New Roman" w:hAnsi="Times New Roman" w:cs="Times New Roman"/>
            <w:sz w:val="24"/>
            <w:szCs w:val="24"/>
            <w:highlight w:val="yellow"/>
            <w:rPrChange w:id="387" w:author="Andrés González Santa Cruz" w:date="2024-06-27T13:58:00Z" w16du:dateUtc="2024-06-27T17:58:00Z">
              <w:rPr>
                <w:rFonts w:ascii="Times New Roman" w:hAnsi="Times New Roman" w:cs="Times New Roman"/>
                <w:sz w:val="24"/>
                <w:szCs w:val="24"/>
              </w:rPr>
            </w:rPrChange>
          </w:rPr>
          <w:t>1.23)</w:t>
        </w:r>
      </w:ins>
      <w:del w:id="388" w:author="Andrés González Santa Cruz" w:date="2024-06-27T12:44:00Z" w16du:dateUtc="2024-06-27T16:44:00Z">
        <w:r w:rsidRPr="002D289A" w:rsidDel="00203861">
          <w:rPr>
            <w:rFonts w:ascii="Times New Roman" w:hAnsi="Times New Roman" w:cs="Times New Roman"/>
            <w:sz w:val="24"/>
            <w:szCs w:val="24"/>
            <w:highlight w:val="yellow"/>
            <w:rPrChange w:id="389" w:author="Andrés González Santa Cruz" w:date="2024-06-27T13:58:00Z" w16du:dateUtc="2024-06-27T17:58:00Z">
              <w:rPr>
                <w:rFonts w:ascii="Times New Roman" w:hAnsi="Times New Roman" w:cs="Times New Roman"/>
                <w:sz w:val="24"/>
                <w:szCs w:val="24"/>
              </w:rPr>
            </w:rPrChange>
          </w:rPr>
          <w:delText xml:space="preserve">, </w:delText>
        </w:r>
      </w:del>
      <w:del w:id="390" w:author="Andrés González Santa Cruz" w:date="2024-06-27T12:36:00Z" w16du:dateUtc="2024-06-27T16:36:00Z">
        <w:r w:rsidRPr="002D289A" w:rsidDel="00CD38C2">
          <w:rPr>
            <w:rFonts w:ascii="Times New Roman" w:hAnsi="Times New Roman" w:cs="Times New Roman"/>
            <w:sz w:val="24"/>
            <w:szCs w:val="24"/>
            <w:highlight w:val="yellow"/>
            <w:rPrChange w:id="391" w:author="Andrés González Santa Cruz" w:date="2024-06-27T13:58:00Z" w16du:dateUtc="2024-06-27T17:58:00Z">
              <w:rPr>
                <w:rFonts w:ascii="Times New Roman" w:hAnsi="Times New Roman" w:cs="Times New Roman"/>
                <w:sz w:val="24"/>
                <w:szCs w:val="24"/>
              </w:rPr>
            </w:rPrChange>
          </w:rPr>
          <w:delText xml:space="preserve">with </w:delText>
        </w:r>
      </w:del>
      <w:del w:id="392" w:author="Andrés González Santa Cruz" w:date="2024-06-27T12:35:00Z" w16du:dateUtc="2024-06-27T16:35:00Z">
        <w:r w:rsidRPr="002D289A" w:rsidDel="00CD38C2">
          <w:rPr>
            <w:rFonts w:ascii="Times New Roman" w:hAnsi="Times New Roman" w:cs="Times New Roman"/>
            <w:sz w:val="24"/>
            <w:szCs w:val="24"/>
            <w:highlight w:val="yellow"/>
            <w:rPrChange w:id="393" w:author="Andrés González Santa Cruz" w:date="2024-06-27T13:58:00Z" w16du:dateUtc="2024-06-27T17:58:00Z">
              <w:rPr>
                <w:rFonts w:ascii="Times New Roman" w:hAnsi="Times New Roman" w:cs="Times New Roman"/>
                <w:sz w:val="24"/>
                <w:szCs w:val="24"/>
              </w:rPr>
            </w:rPrChange>
          </w:rPr>
          <w:delText xml:space="preserve">RR </w:delText>
        </w:r>
      </w:del>
      <w:del w:id="394" w:author="Andrés González Santa Cruz" w:date="2024-06-27T12:36:00Z" w16du:dateUtc="2024-06-27T16:36:00Z">
        <w:r w:rsidRPr="002D289A" w:rsidDel="00CD38C2">
          <w:rPr>
            <w:rFonts w:ascii="Times New Roman" w:hAnsi="Times New Roman" w:cs="Times New Roman"/>
            <w:sz w:val="24"/>
            <w:szCs w:val="24"/>
            <w:highlight w:val="yellow"/>
            <w:rPrChange w:id="395" w:author="Andrés González Santa Cruz" w:date="2024-06-27T13:58:00Z" w16du:dateUtc="2024-06-27T17:58:00Z">
              <w:rPr>
                <w:rFonts w:ascii="Times New Roman" w:hAnsi="Times New Roman" w:cs="Times New Roman"/>
                <w:sz w:val="24"/>
                <w:szCs w:val="24"/>
              </w:rPr>
            </w:rPrChange>
          </w:rPr>
          <w:delText xml:space="preserve">values around 1.13-1.15 </w:delText>
        </w:r>
      </w:del>
      <w:del w:id="396" w:author="Andrés González Santa Cruz" w:date="2024-06-27T12:44:00Z" w16du:dateUtc="2024-06-27T16:44:00Z">
        <w:r w:rsidRPr="002D289A" w:rsidDel="00203861">
          <w:rPr>
            <w:rFonts w:ascii="Times New Roman" w:hAnsi="Times New Roman" w:cs="Times New Roman"/>
            <w:sz w:val="24"/>
            <w:szCs w:val="24"/>
            <w:highlight w:val="yellow"/>
            <w:rPrChange w:id="397" w:author="Andrés González Santa Cruz" w:date="2024-06-27T13:58:00Z" w16du:dateUtc="2024-06-27T17:58:00Z">
              <w:rPr>
                <w:rFonts w:ascii="Times New Roman" w:hAnsi="Times New Roman" w:cs="Times New Roman"/>
                <w:sz w:val="24"/>
                <w:szCs w:val="24"/>
              </w:rPr>
            </w:rPrChange>
          </w:rPr>
          <w:delText>with intervals not including the null across all models and scenarios of lagged variables.</w:delText>
        </w:r>
      </w:del>
      <w:ins w:id="398" w:author="Andrés González Santa Cruz" w:date="2024-06-27T12:44:00Z" w16du:dateUtc="2024-06-27T16:44:00Z">
        <w:r w:rsidR="00203861" w:rsidRPr="002D289A">
          <w:rPr>
            <w:rFonts w:ascii="Times New Roman" w:hAnsi="Times New Roman" w:cs="Times New Roman"/>
            <w:sz w:val="24"/>
            <w:szCs w:val="24"/>
            <w:highlight w:val="yellow"/>
            <w:rPrChange w:id="399" w:author="Andrés González Santa Cruz" w:date="2024-06-27T13:58:00Z" w16du:dateUtc="2024-06-27T17:58:00Z">
              <w:rPr>
                <w:rFonts w:ascii="Times New Roman" w:hAnsi="Times New Roman" w:cs="Times New Roman"/>
                <w:sz w:val="24"/>
                <w:szCs w:val="24"/>
              </w:rPr>
            </w:rPrChange>
          </w:rPr>
          <w:t>.</w:t>
        </w:r>
      </w:ins>
      <w:ins w:id="400" w:author="Andrés González Santa Cruz" w:date="2024-06-27T13:05:00Z" w16du:dateUtc="2024-06-27T17:05:00Z">
        <w:r w:rsidR="0077375C" w:rsidRPr="002D289A">
          <w:rPr>
            <w:rFonts w:ascii="Times New Roman" w:hAnsi="Times New Roman" w:cs="Times New Roman"/>
            <w:sz w:val="24"/>
            <w:szCs w:val="24"/>
            <w:highlight w:val="yellow"/>
            <w:rPrChange w:id="401" w:author="Andrés González Santa Cruz" w:date="2024-06-27T13:58:00Z" w16du:dateUtc="2024-06-27T17:58:00Z">
              <w:rPr>
                <w:rFonts w:ascii="Times New Roman" w:hAnsi="Times New Roman" w:cs="Times New Roman"/>
                <w:sz w:val="24"/>
                <w:szCs w:val="24"/>
              </w:rPr>
            </w:rPrChange>
          </w:rPr>
          <w:t xml:space="preserve"> </w:t>
        </w:r>
        <w:r w:rsidR="0077375C" w:rsidRPr="002D289A">
          <w:rPr>
            <w:rFonts w:ascii="Times New Roman" w:hAnsi="Times New Roman" w:cs="Times New Roman"/>
            <w:sz w:val="24"/>
            <w:szCs w:val="24"/>
            <w:highlight w:val="yellow"/>
            <w:rPrChange w:id="402" w:author="Andrés González Santa Cruz" w:date="2024-06-27T13:58:00Z" w16du:dateUtc="2024-06-27T17:58:00Z">
              <w:rPr>
                <w:rFonts w:ascii="Times New Roman" w:hAnsi="Times New Roman" w:cs="Times New Roman"/>
                <w:sz w:val="24"/>
                <w:szCs w:val="24"/>
              </w:rPr>
            </w:rPrChange>
          </w:rPr>
          <w:t>The association between polysubstance use and treatment noncompletion varies significantly across the treatment settings (Cochran's Q = 14.</w:t>
        </w:r>
      </w:ins>
      <w:ins w:id="403" w:author="Andrés González Santa Cruz" w:date="2024-06-27T13:48:00Z" w16du:dateUtc="2024-06-27T17:48:00Z">
        <w:r w:rsidR="00395014" w:rsidRPr="002D289A">
          <w:rPr>
            <w:rFonts w:ascii="Times New Roman" w:hAnsi="Times New Roman" w:cs="Times New Roman"/>
            <w:sz w:val="24"/>
            <w:szCs w:val="24"/>
            <w:highlight w:val="yellow"/>
            <w:rPrChange w:id="404" w:author="Andrés González Santa Cruz" w:date="2024-06-27T13:58:00Z" w16du:dateUtc="2024-06-27T17:58:00Z">
              <w:rPr>
                <w:rFonts w:ascii="Times New Roman" w:hAnsi="Times New Roman" w:cs="Times New Roman"/>
                <w:sz w:val="24"/>
                <w:szCs w:val="24"/>
              </w:rPr>
            </w:rPrChange>
          </w:rPr>
          <w:t>5</w:t>
        </w:r>
      </w:ins>
      <w:ins w:id="405" w:author="Andrés González Santa Cruz" w:date="2024-06-27T13:05:00Z" w16du:dateUtc="2024-06-27T17:05:00Z">
        <w:r w:rsidR="0077375C" w:rsidRPr="002D289A">
          <w:rPr>
            <w:rFonts w:ascii="Times New Roman" w:hAnsi="Times New Roman" w:cs="Times New Roman"/>
            <w:sz w:val="24"/>
            <w:szCs w:val="24"/>
            <w:highlight w:val="yellow"/>
            <w:rPrChange w:id="406" w:author="Andrés González Santa Cruz" w:date="2024-06-27T13:58:00Z" w16du:dateUtc="2024-06-27T17:58:00Z">
              <w:rPr>
                <w:rFonts w:ascii="Times New Roman" w:hAnsi="Times New Roman" w:cs="Times New Roman"/>
                <w:sz w:val="24"/>
                <w:szCs w:val="24"/>
              </w:rPr>
            </w:rPrChange>
          </w:rPr>
          <w:t>, p-value = 0.0059).</w:t>
        </w:r>
      </w:ins>
    </w:p>
    <w:p w14:paraId="2FD1121D" w14:textId="77777777" w:rsidR="003A4AF8" w:rsidRPr="003A4AF8" w:rsidRDefault="003A4AF8" w:rsidP="003A4AF8">
      <w:pPr>
        <w:pStyle w:val="Prrafodelista"/>
        <w:numPr>
          <w:ilvl w:val="0"/>
          <w:numId w:val="6"/>
        </w:numPr>
        <w:spacing w:line="480" w:lineRule="auto"/>
        <w:rPr>
          <w:rFonts w:ascii="Times New Roman" w:hAnsi="Times New Roman" w:cs="Times New Roman"/>
          <w:sz w:val="24"/>
          <w:szCs w:val="24"/>
        </w:rPr>
      </w:pPr>
      <w:commentRangeStart w:id="407"/>
      <w:r w:rsidRPr="003A4AF8">
        <w:rPr>
          <w:rFonts w:ascii="Times New Roman" w:hAnsi="Times New Roman" w:cs="Times New Roman"/>
          <w:sz w:val="24"/>
          <w:szCs w:val="24"/>
        </w:rPr>
        <w:t>Sensitivity analyses</w:t>
      </w:r>
      <w:commentRangeEnd w:id="407"/>
      <w:r w:rsidR="00421889">
        <w:rPr>
          <w:rStyle w:val="Refdecomentario"/>
          <w:rFonts w:ascii="Times New Roman" w:eastAsia="Times New Roman" w:hAnsi="Times New Roman" w:cs="Times New Roman"/>
          <w:lang w:val="en-US" w:eastAsia="es-CL"/>
        </w:rPr>
        <w:commentReference w:id="407"/>
      </w:r>
    </w:p>
    <w:p w14:paraId="0AFD06DC" w14:textId="2F63BFA6" w:rsidR="0077375C" w:rsidRPr="00705200" w:rsidRDefault="00705200" w:rsidP="002D289A">
      <w:pPr>
        <w:spacing w:line="480" w:lineRule="auto"/>
        <w:ind w:firstLine="567"/>
        <w:rPr>
          <w:ins w:id="408" w:author="Andrés González Santa Cruz" w:date="2024-06-27T13:03:00Z" w16du:dateUtc="2024-06-27T17:03:00Z"/>
          <w:rFonts w:ascii="Times New Roman" w:hAnsi="Times New Roman" w:cs="Times New Roman"/>
          <w:sz w:val="24"/>
          <w:szCs w:val="24"/>
          <w:lang w:val="en-US"/>
          <w:rPrChange w:id="409" w:author="Andrés González Santa Cruz" w:date="2024-06-27T13:38:00Z" w16du:dateUtc="2024-06-27T17:38:00Z">
            <w:rPr>
              <w:ins w:id="410" w:author="Andrés González Santa Cruz" w:date="2024-06-27T13:03:00Z" w16du:dateUtc="2024-06-27T17:03:00Z"/>
              <w:rFonts w:ascii="Times New Roman" w:hAnsi="Times New Roman" w:cs="Times New Roman"/>
              <w:sz w:val="24"/>
              <w:szCs w:val="24"/>
            </w:rPr>
          </w:rPrChange>
        </w:rPr>
      </w:pPr>
      <w:bookmarkStart w:id="411" w:name="_Hlk170385333"/>
      <w:bookmarkStart w:id="412" w:name="_Hlk170386320"/>
      <w:ins w:id="413" w:author="Andrés González Santa Cruz" w:date="2024-06-27T13:37:00Z" w16du:dateUtc="2024-06-27T17:37:00Z">
        <w:r w:rsidRPr="002D289A">
          <w:rPr>
            <w:rFonts w:ascii="Times New Roman" w:hAnsi="Times New Roman" w:cs="Times New Roman"/>
            <w:sz w:val="24"/>
            <w:szCs w:val="24"/>
            <w:highlight w:val="yellow"/>
            <w:rPrChange w:id="414" w:author="Andrés González Santa Cruz" w:date="2024-06-27T13:58:00Z" w16du:dateUtc="2024-06-27T17:58:00Z">
              <w:rPr/>
            </w:rPrChange>
          </w:rPr>
          <w:t>The associations between polysubstance use (PSU) and treatment non-completion were stable across models, with null intervals for intensive ambulatory settings for women and residential settings for the general population. One model for basic ambulatory settings showed a modest significant association (RR</w:t>
        </w:r>
      </w:ins>
      <w:ins w:id="415" w:author="Andrés González Santa Cruz" w:date="2024-06-27T13:48:00Z" w16du:dateUtc="2024-06-27T17:48:00Z">
        <w:r w:rsidR="00395014" w:rsidRPr="002D289A">
          <w:rPr>
            <w:rFonts w:ascii="Times New Roman" w:hAnsi="Times New Roman" w:cs="Times New Roman"/>
            <w:sz w:val="24"/>
            <w:szCs w:val="24"/>
            <w:highlight w:val="yellow"/>
            <w:rPrChange w:id="416" w:author="Andrés González Santa Cruz" w:date="2024-06-27T13:58:00Z" w16du:dateUtc="2024-06-27T17:58:00Z">
              <w:rPr>
                <w:rFonts w:ascii="Times New Roman" w:hAnsi="Times New Roman" w:cs="Times New Roman"/>
                <w:sz w:val="24"/>
                <w:szCs w:val="24"/>
              </w:rPr>
            </w:rPrChange>
          </w:rPr>
          <w:t>=</w:t>
        </w:r>
      </w:ins>
      <w:ins w:id="417" w:author="Andrés González Santa Cruz" w:date="2024-06-27T13:37:00Z" w16du:dateUtc="2024-06-27T17:37:00Z">
        <w:r w:rsidRPr="002D289A">
          <w:rPr>
            <w:rFonts w:ascii="Times New Roman" w:hAnsi="Times New Roman" w:cs="Times New Roman"/>
            <w:sz w:val="24"/>
            <w:szCs w:val="24"/>
            <w:highlight w:val="yellow"/>
            <w:rPrChange w:id="418" w:author="Andrés González Santa Cruz" w:date="2024-06-27T13:58:00Z" w16du:dateUtc="2024-06-27T17:58:00Z">
              <w:rPr/>
            </w:rPrChange>
          </w:rPr>
          <w:t>1.04 95% CI 1.01</w:t>
        </w:r>
      </w:ins>
      <w:ins w:id="419" w:author="Andrés González Santa Cruz" w:date="2024-06-27T13:48:00Z" w16du:dateUtc="2024-06-27T17:48:00Z">
        <w:r w:rsidR="00395014" w:rsidRPr="002D289A">
          <w:rPr>
            <w:rFonts w:ascii="Times New Roman" w:hAnsi="Times New Roman" w:cs="Times New Roman"/>
            <w:sz w:val="24"/>
            <w:szCs w:val="24"/>
            <w:highlight w:val="yellow"/>
            <w:rPrChange w:id="420" w:author="Andrés González Santa Cruz" w:date="2024-06-27T13:58:00Z" w16du:dateUtc="2024-06-27T17:58:00Z">
              <w:rPr>
                <w:rFonts w:ascii="Times New Roman" w:hAnsi="Times New Roman" w:cs="Times New Roman"/>
                <w:sz w:val="24"/>
                <w:szCs w:val="24"/>
              </w:rPr>
            </w:rPrChange>
          </w:rPr>
          <w:t>-</w:t>
        </w:r>
      </w:ins>
      <w:ins w:id="421" w:author="Andrés González Santa Cruz" w:date="2024-06-27T13:37:00Z" w16du:dateUtc="2024-06-27T17:37:00Z">
        <w:r w:rsidRPr="002D289A">
          <w:rPr>
            <w:rFonts w:ascii="Times New Roman" w:hAnsi="Times New Roman" w:cs="Times New Roman"/>
            <w:sz w:val="24"/>
            <w:szCs w:val="24"/>
            <w:highlight w:val="yellow"/>
            <w:rPrChange w:id="422" w:author="Andrés González Santa Cruz" w:date="2024-06-27T13:58:00Z" w16du:dateUtc="2024-06-27T17:58:00Z">
              <w:rPr/>
            </w:rPrChange>
          </w:rPr>
          <w:t>1.07). The association weakened in general population intensive ambulatory settings, especially with stratified follow-up and lagged covariates at 1 (1.01 95% CI 0.98</w:t>
        </w:r>
      </w:ins>
      <w:ins w:id="423" w:author="Andrés González Santa Cruz" w:date="2024-06-27T13:48:00Z" w16du:dateUtc="2024-06-27T17:48:00Z">
        <w:r w:rsidR="00395014" w:rsidRPr="002D289A">
          <w:rPr>
            <w:rFonts w:ascii="Times New Roman" w:hAnsi="Times New Roman" w:cs="Times New Roman"/>
            <w:sz w:val="24"/>
            <w:szCs w:val="24"/>
            <w:highlight w:val="yellow"/>
            <w:rPrChange w:id="424" w:author="Andrés González Santa Cruz" w:date="2024-06-27T13:58:00Z" w16du:dateUtc="2024-06-27T17:58:00Z">
              <w:rPr>
                <w:rFonts w:ascii="Times New Roman" w:hAnsi="Times New Roman" w:cs="Times New Roman"/>
                <w:sz w:val="24"/>
                <w:szCs w:val="24"/>
              </w:rPr>
            </w:rPrChange>
          </w:rPr>
          <w:t>-</w:t>
        </w:r>
      </w:ins>
      <w:ins w:id="425" w:author="Andrés González Santa Cruz" w:date="2024-06-27T13:37:00Z" w16du:dateUtc="2024-06-27T17:37:00Z">
        <w:r w:rsidRPr="002D289A">
          <w:rPr>
            <w:rFonts w:ascii="Times New Roman" w:hAnsi="Times New Roman" w:cs="Times New Roman"/>
            <w:sz w:val="24"/>
            <w:szCs w:val="24"/>
            <w:highlight w:val="yellow"/>
            <w:rPrChange w:id="426" w:author="Andrés González Santa Cruz" w:date="2024-06-27T13:58:00Z" w16du:dateUtc="2024-06-27T17:58:00Z">
              <w:rPr/>
            </w:rPrChange>
          </w:rPr>
          <w:t xml:space="preserve">1.05). In women-specific residential </w:t>
        </w:r>
        <w:r w:rsidRPr="002D289A">
          <w:rPr>
            <w:rFonts w:ascii="Times New Roman" w:hAnsi="Times New Roman" w:cs="Times New Roman"/>
            <w:sz w:val="24"/>
            <w:szCs w:val="24"/>
            <w:highlight w:val="yellow"/>
            <w:rPrChange w:id="427" w:author="Andrés González Santa Cruz" w:date="2024-06-27T13:58:00Z" w16du:dateUtc="2024-06-27T17:58:00Z">
              <w:rPr/>
            </w:rPrChange>
          </w:rPr>
          <w:lastRenderedPageBreak/>
          <w:t>settings, the only model overlapping with the null was stratified by follow-up with lagged covariates at 1 (1.09 95% CI 0.99</w:t>
        </w:r>
      </w:ins>
      <w:ins w:id="428" w:author="Andrés González Santa Cruz" w:date="2024-06-27T13:49:00Z" w16du:dateUtc="2024-06-27T17:49:00Z">
        <w:r w:rsidR="00395014" w:rsidRPr="002D289A">
          <w:rPr>
            <w:rFonts w:ascii="Times New Roman" w:hAnsi="Times New Roman" w:cs="Times New Roman"/>
            <w:sz w:val="24"/>
            <w:szCs w:val="24"/>
            <w:highlight w:val="yellow"/>
            <w:rPrChange w:id="429" w:author="Andrés González Santa Cruz" w:date="2024-06-27T13:58:00Z" w16du:dateUtc="2024-06-27T17:58:00Z">
              <w:rPr>
                <w:rFonts w:ascii="Times New Roman" w:hAnsi="Times New Roman" w:cs="Times New Roman"/>
                <w:sz w:val="24"/>
                <w:szCs w:val="24"/>
              </w:rPr>
            </w:rPrChange>
          </w:rPr>
          <w:t>-</w:t>
        </w:r>
      </w:ins>
      <w:ins w:id="430" w:author="Andrés González Santa Cruz" w:date="2024-06-27T13:37:00Z" w16du:dateUtc="2024-06-27T17:37:00Z">
        <w:r w:rsidRPr="002D289A">
          <w:rPr>
            <w:rFonts w:ascii="Times New Roman" w:hAnsi="Times New Roman" w:cs="Times New Roman"/>
            <w:sz w:val="24"/>
            <w:szCs w:val="24"/>
            <w:highlight w:val="yellow"/>
            <w:rPrChange w:id="431" w:author="Andrés González Santa Cruz" w:date="2024-06-27T13:58:00Z" w16du:dateUtc="2024-06-27T17:58:00Z">
              <w:rPr/>
            </w:rPrChange>
          </w:rPr>
          <w:t xml:space="preserve"> 1.20), though both settings maintained a positive direction</w:t>
        </w:r>
      </w:ins>
      <w:ins w:id="432" w:author="Andrés González Santa Cruz" w:date="2024-06-27T13:38:00Z" w16du:dateUtc="2024-06-27T17:38:00Z">
        <w:r w:rsidRPr="002D289A">
          <w:rPr>
            <w:rFonts w:ascii="Times New Roman" w:hAnsi="Times New Roman" w:cs="Times New Roman"/>
            <w:sz w:val="24"/>
            <w:szCs w:val="24"/>
            <w:highlight w:val="yellow"/>
            <w:rPrChange w:id="433" w:author="Andrés González Santa Cruz" w:date="2024-06-27T13:58:00Z" w16du:dateUtc="2024-06-27T17:58:00Z">
              <w:rPr>
                <w:rFonts w:ascii="Times New Roman" w:hAnsi="Times New Roman" w:cs="Times New Roman"/>
                <w:sz w:val="24"/>
                <w:szCs w:val="24"/>
              </w:rPr>
            </w:rPrChange>
          </w:rPr>
          <w:t xml:space="preserve"> </w:t>
        </w:r>
      </w:ins>
      <w:del w:id="434" w:author="Andrés González Santa Cruz" w:date="2024-06-27T13:37:00Z" w16du:dateUtc="2024-06-27T17:37:00Z">
        <w:r w:rsidR="003A4AF8" w:rsidRPr="002D289A" w:rsidDel="00705200">
          <w:rPr>
            <w:rFonts w:ascii="Times New Roman" w:hAnsi="Times New Roman" w:cs="Times New Roman"/>
            <w:sz w:val="24"/>
            <w:szCs w:val="24"/>
            <w:highlight w:val="yellow"/>
            <w:rPrChange w:id="435" w:author="Andrés González Santa Cruz" w:date="2024-06-27T13:58:00Z" w16du:dateUtc="2024-06-27T17:58:00Z">
              <w:rPr>
                <w:rFonts w:ascii="Times New Roman" w:hAnsi="Times New Roman" w:cs="Times New Roman"/>
                <w:sz w:val="24"/>
                <w:szCs w:val="24"/>
              </w:rPr>
            </w:rPrChange>
          </w:rPr>
          <w:delText xml:space="preserve">The magnitude and direction of the associations presented in the main analysis remained stable despite different weighting schemes and different distributions used </w:delText>
        </w:r>
      </w:del>
      <w:bookmarkEnd w:id="412"/>
      <w:r w:rsidR="003A4AF8" w:rsidRPr="002D289A">
        <w:rPr>
          <w:rFonts w:ascii="Times New Roman" w:hAnsi="Times New Roman" w:cs="Times New Roman"/>
          <w:sz w:val="24"/>
          <w:szCs w:val="24"/>
          <w:highlight w:val="yellow"/>
          <w:lang w:val="en-US"/>
          <w:rPrChange w:id="436" w:author="Andrés González Santa Cruz" w:date="2024-06-27T13:58:00Z" w16du:dateUtc="2024-06-27T17:58:00Z">
            <w:rPr>
              <w:rFonts w:ascii="Times New Roman" w:hAnsi="Times New Roman" w:cs="Times New Roman"/>
              <w:sz w:val="24"/>
              <w:szCs w:val="24"/>
            </w:rPr>
          </w:rPrChange>
        </w:rPr>
        <w:t>(</w:t>
      </w:r>
      <w:bookmarkEnd w:id="411"/>
      <w:r w:rsidR="003A4AF8" w:rsidRPr="002D289A">
        <w:rPr>
          <w:rFonts w:ascii="Times New Roman" w:hAnsi="Times New Roman" w:cs="Times New Roman"/>
          <w:sz w:val="24"/>
          <w:szCs w:val="24"/>
          <w:highlight w:val="yellow"/>
          <w:lang w:val="en-US"/>
          <w:rPrChange w:id="437" w:author="Andrés González Santa Cruz" w:date="2024-06-27T13:58:00Z" w16du:dateUtc="2024-06-27T17:58:00Z">
            <w:rPr>
              <w:rFonts w:ascii="Times New Roman" w:hAnsi="Times New Roman" w:cs="Times New Roman"/>
              <w:sz w:val="24"/>
              <w:szCs w:val="24"/>
            </w:rPr>
          </w:rPrChange>
        </w:rPr>
        <w:t xml:space="preserve">See Table </w:t>
      </w:r>
      <w:ins w:id="438" w:author="Andrés González Santa Cruz" w:date="2024-06-26T12:04:00Z" w16du:dateUtc="2024-06-26T16:04:00Z">
        <w:r w:rsidR="008C72D9" w:rsidRPr="002D289A">
          <w:rPr>
            <w:rFonts w:ascii="Times New Roman" w:hAnsi="Times New Roman" w:cs="Times New Roman"/>
            <w:sz w:val="24"/>
            <w:szCs w:val="24"/>
            <w:highlight w:val="yellow"/>
            <w:lang w:val="en-US"/>
            <w:rPrChange w:id="439" w:author="Andrés González Santa Cruz" w:date="2024-06-27T13:58:00Z" w16du:dateUtc="2024-06-27T17:58:00Z">
              <w:rPr>
                <w:rFonts w:ascii="Times New Roman" w:hAnsi="Times New Roman" w:cs="Times New Roman"/>
                <w:sz w:val="24"/>
                <w:szCs w:val="24"/>
              </w:rPr>
            </w:rPrChange>
          </w:rPr>
          <w:t>S5</w:t>
        </w:r>
      </w:ins>
      <w:r w:rsidR="003A4AF8" w:rsidRPr="002D289A">
        <w:rPr>
          <w:rFonts w:ascii="Times New Roman" w:hAnsi="Times New Roman" w:cs="Times New Roman"/>
          <w:sz w:val="24"/>
          <w:szCs w:val="24"/>
          <w:highlight w:val="yellow"/>
          <w:lang w:val="en-US"/>
          <w:rPrChange w:id="440" w:author="Andrés González Santa Cruz" w:date="2024-06-27T13:58:00Z" w16du:dateUtc="2024-06-27T17:58:00Z">
            <w:rPr>
              <w:rFonts w:ascii="Times New Roman" w:hAnsi="Times New Roman" w:cs="Times New Roman"/>
              <w:sz w:val="24"/>
              <w:szCs w:val="24"/>
            </w:rPr>
          </w:rPrChange>
        </w:rPr>
        <w:t>).</w:t>
      </w:r>
      <w:ins w:id="441" w:author="Andrés González Santa Cruz" w:date="2024-06-27T13:06:00Z" w16du:dateUtc="2024-06-27T17:06:00Z">
        <w:r w:rsidR="0077375C" w:rsidRPr="002D289A">
          <w:rPr>
            <w:rFonts w:ascii="Times New Roman" w:hAnsi="Times New Roman" w:cs="Times New Roman"/>
            <w:sz w:val="24"/>
            <w:szCs w:val="24"/>
            <w:highlight w:val="yellow"/>
            <w:lang w:val="en-US"/>
            <w:rPrChange w:id="442" w:author="Andrés González Santa Cruz" w:date="2024-06-27T13:58:00Z" w16du:dateUtc="2024-06-27T17:58:00Z">
              <w:rPr>
                <w:rFonts w:ascii="Times New Roman" w:hAnsi="Times New Roman" w:cs="Times New Roman"/>
                <w:sz w:val="24"/>
                <w:szCs w:val="24"/>
              </w:rPr>
            </w:rPrChange>
          </w:rPr>
          <w:t xml:space="preserve"> </w:t>
        </w:r>
      </w:ins>
      <w:ins w:id="443" w:author="Andrés González Santa Cruz" w:date="2024-06-27T13:38:00Z" w16du:dateUtc="2024-06-27T17:38:00Z">
        <w:r w:rsidRPr="002D289A">
          <w:rPr>
            <w:rFonts w:ascii="Times New Roman" w:hAnsi="Times New Roman" w:cs="Times New Roman"/>
            <w:sz w:val="24"/>
            <w:szCs w:val="24"/>
            <w:highlight w:val="yellow"/>
            <w:lang w:val="en-US"/>
            <w:rPrChange w:id="444" w:author="Andrés González Santa Cruz" w:date="2024-06-27T13:58:00Z" w16du:dateUtc="2024-06-27T17:58:00Z">
              <w:rPr>
                <w:rFonts w:ascii="Times New Roman" w:hAnsi="Times New Roman" w:cs="Times New Roman"/>
                <w:sz w:val="24"/>
                <w:szCs w:val="24"/>
                <w:lang w:val="es-CL"/>
              </w:rPr>
            </w:rPrChange>
          </w:rPr>
          <w:t>H</w:t>
        </w:r>
        <w:r w:rsidRPr="002D289A">
          <w:rPr>
            <w:rFonts w:ascii="Times New Roman" w:hAnsi="Times New Roman" w:cs="Times New Roman"/>
            <w:sz w:val="24"/>
            <w:szCs w:val="24"/>
            <w:highlight w:val="yellow"/>
            <w:lang w:val="en-US"/>
            <w:rPrChange w:id="445" w:author="Andrés González Santa Cruz" w:date="2024-06-27T13:58:00Z" w16du:dateUtc="2024-06-27T17:58:00Z">
              <w:rPr>
                <w:rFonts w:ascii="Times New Roman" w:hAnsi="Times New Roman" w:cs="Times New Roman"/>
                <w:sz w:val="24"/>
                <w:szCs w:val="24"/>
                <w:lang w:val="en-US"/>
              </w:rPr>
            </w:rPrChange>
          </w:rPr>
          <w:t>ence</w:t>
        </w:r>
      </w:ins>
      <w:ins w:id="446" w:author="Andrés González Santa Cruz" w:date="2024-06-27T13:09:00Z" w16du:dateUtc="2024-06-27T17:09:00Z">
        <w:r w:rsidR="005A76AD" w:rsidRPr="002D289A">
          <w:rPr>
            <w:rFonts w:ascii="Times New Roman" w:hAnsi="Times New Roman" w:cs="Times New Roman"/>
            <w:sz w:val="24"/>
            <w:szCs w:val="24"/>
            <w:highlight w:val="yellow"/>
            <w:lang w:val="en-US"/>
            <w:rPrChange w:id="447" w:author="Andrés González Santa Cruz" w:date="2024-06-27T13:58:00Z" w16du:dateUtc="2024-06-27T17:58:00Z">
              <w:rPr>
                <w:rFonts w:ascii="Times New Roman" w:hAnsi="Times New Roman" w:cs="Times New Roman"/>
                <w:sz w:val="24"/>
                <w:szCs w:val="24"/>
                <w:lang w:val="es-CL"/>
              </w:rPr>
            </w:rPrChange>
          </w:rPr>
          <w:t>, the association betwe</w:t>
        </w:r>
      </w:ins>
      <w:ins w:id="448" w:author="Andrés González Santa Cruz" w:date="2024-06-27T13:10:00Z" w16du:dateUtc="2024-06-27T17:10:00Z">
        <w:r w:rsidR="005A76AD" w:rsidRPr="002D289A">
          <w:rPr>
            <w:rFonts w:ascii="Times New Roman" w:hAnsi="Times New Roman" w:cs="Times New Roman"/>
            <w:sz w:val="24"/>
            <w:szCs w:val="24"/>
            <w:highlight w:val="yellow"/>
            <w:lang w:val="en-US"/>
            <w:rPrChange w:id="449" w:author="Andrés González Santa Cruz" w:date="2024-06-27T13:58:00Z" w16du:dateUtc="2024-06-27T17:58:00Z">
              <w:rPr>
                <w:rFonts w:ascii="Times New Roman" w:hAnsi="Times New Roman" w:cs="Times New Roman"/>
                <w:sz w:val="24"/>
                <w:szCs w:val="24"/>
                <w:lang w:val="es-CL"/>
              </w:rPr>
            </w:rPrChange>
          </w:rPr>
          <w:t xml:space="preserve">en reporting polysubstance use and treatment noncompletion seems robust to different model </w:t>
        </w:r>
        <w:commentRangeStart w:id="450"/>
        <w:r w:rsidR="005A76AD" w:rsidRPr="002D289A">
          <w:rPr>
            <w:rFonts w:ascii="Times New Roman" w:hAnsi="Times New Roman" w:cs="Times New Roman"/>
            <w:sz w:val="24"/>
            <w:szCs w:val="24"/>
            <w:highlight w:val="yellow"/>
            <w:lang w:val="en-US"/>
            <w:rPrChange w:id="451" w:author="Andrés González Santa Cruz" w:date="2024-06-27T13:58:00Z" w16du:dateUtc="2024-06-27T17:58:00Z">
              <w:rPr>
                <w:rFonts w:ascii="Times New Roman" w:hAnsi="Times New Roman" w:cs="Times New Roman"/>
                <w:sz w:val="24"/>
                <w:szCs w:val="24"/>
                <w:lang w:val="es-CL"/>
              </w:rPr>
            </w:rPrChange>
          </w:rPr>
          <w:t>specifications</w:t>
        </w:r>
      </w:ins>
      <w:commentRangeEnd w:id="450"/>
      <w:ins w:id="452" w:author="Andrés González Santa Cruz" w:date="2024-06-27T13:38:00Z" w16du:dateUtc="2024-06-27T17:38:00Z">
        <w:r w:rsidRPr="002D289A">
          <w:rPr>
            <w:rStyle w:val="Refdecomentario"/>
            <w:rFonts w:ascii="Times New Roman" w:eastAsia="Times New Roman" w:hAnsi="Times New Roman" w:cs="Times New Roman"/>
            <w:highlight w:val="yellow"/>
            <w:lang w:val="en-US" w:eastAsia="es-CL"/>
            <w:rPrChange w:id="453" w:author="Andrés González Santa Cruz" w:date="2024-06-27T13:58:00Z" w16du:dateUtc="2024-06-27T17:58:00Z">
              <w:rPr>
                <w:rStyle w:val="Refdecomentario"/>
                <w:rFonts w:ascii="Times New Roman" w:eastAsia="Times New Roman" w:hAnsi="Times New Roman" w:cs="Times New Roman"/>
                <w:lang w:val="en-US" w:eastAsia="es-CL"/>
              </w:rPr>
            </w:rPrChange>
          </w:rPr>
          <w:commentReference w:id="450"/>
        </w:r>
      </w:ins>
      <w:ins w:id="454" w:author="Andrés González Santa Cruz" w:date="2024-06-27T13:10:00Z" w16du:dateUtc="2024-06-27T17:10:00Z">
        <w:r w:rsidR="005A76AD" w:rsidRPr="002D289A">
          <w:rPr>
            <w:rFonts w:ascii="Times New Roman" w:hAnsi="Times New Roman" w:cs="Times New Roman"/>
            <w:sz w:val="24"/>
            <w:szCs w:val="24"/>
            <w:highlight w:val="yellow"/>
            <w:lang w:val="en-US"/>
            <w:rPrChange w:id="455" w:author="Andrés González Santa Cruz" w:date="2024-06-27T13:58:00Z" w16du:dateUtc="2024-06-27T17:58:00Z">
              <w:rPr>
                <w:rFonts w:ascii="Times New Roman" w:hAnsi="Times New Roman" w:cs="Times New Roman"/>
                <w:sz w:val="24"/>
                <w:szCs w:val="24"/>
                <w:lang w:val="es-CL"/>
              </w:rPr>
            </w:rPrChange>
          </w:rPr>
          <w:t>.</w:t>
        </w:r>
      </w:ins>
    </w:p>
    <w:p w14:paraId="35DD22A2" w14:textId="2167B528" w:rsidR="00801B47" w:rsidRPr="003A4AF8" w:rsidDel="0077375C" w:rsidRDefault="00801B47" w:rsidP="003A4AF8">
      <w:pPr>
        <w:spacing w:line="480" w:lineRule="auto"/>
        <w:ind w:firstLine="567"/>
        <w:rPr>
          <w:del w:id="456" w:author="Andrés González Santa Cruz" w:date="2024-06-27T13:05:00Z" w16du:dateUtc="2024-06-27T17:05:00Z"/>
          <w:rFonts w:ascii="Times New Roman" w:hAnsi="Times New Roman" w:cs="Times New Roman"/>
          <w:sz w:val="24"/>
          <w:szCs w:val="24"/>
        </w:rPr>
      </w:pPr>
    </w:p>
    <w:p w14:paraId="1FF8C914" w14:textId="57FBE0B8" w:rsidR="00C31320" w:rsidRPr="00C31320" w:rsidRDefault="00C31320" w:rsidP="00C31320">
      <w:pPr>
        <w:pStyle w:val="Prrafodelista"/>
        <w:numPr>
          <w:ilvl w:val="0"/>
          <w:numId w:val="5"/>
        </w:numPr>
        <w:rPr>
          <w:rFonts w:ascii="Times New Roman" w:hAnsi="Times New Roman" w:cs="Times New Roman"/>
          <w:b/>
          <w:bCs/>
          <w:sz w:val="24"/>
          <w:szCs w:val="24"/>
        </w:rPr>
      </w:pPr>
      <w:r w:rsidRPr="00C31320">
        <w:rPr>
          <w:rFonts w:ascii="Times New Roman" w:hAnsi="Times New Roman" w:cs="Times New Roman"/>
          <w:b/>
          <w:bCs/>
          <w:sz w:val="24"/>
          <w:szCs w:val="24"/>
        </w:rPr>
        <w:t>DISCUSSION</w:t>
      </w:r>
    </w:p>
    <w:p w14:paraId="29C250A6" w14:textId="77777777" w:rsidR="00467745" w:rsidRDefault="00467745" w:rsidP="00DC5F7A">
      <w:pPr>
        <w:spacing w:line="480" w:lineRule="auto"/>
        <w:ind w:firstLine="567"/>
        <w:rPr>
          <w:ins w:id="457" w:author="Mariel Mateo" w:date="2024-06-25T16:23:00Z" w16du:dateUtc="2024-06-25T06:23:00Z"/>
          <w:rFonts w:ascii="Times New Roman" w:hAnsi="Times New Roman" w:cs="Times New Roman"/>
          <w:sz w:val="24"/>
          <w:szCs w:val="24"/>
        </w:rPr>
        <w:pPrChange w:id="458" w:author="Andrés González Santa Cruz" w:date="2024-06-27T13:49:00Z" w16du:dateUtc="2024-06-27T17:49:00Z">
          <w:pPr>
            <w:spacing w:line="480" w:lineRule="auto"/>
            <w:ind w:firstLine="720"/>
          </w:pPr>
        </w:pPrChange>
      </w:pPr>
      <w:ins w:id="459" w:author="Mariel Mateo" w:date="2024-06-25T16:20:00Z" w16du:dateUtc="2024-06-25T06:20:00Z">
        <w:r>
          <w:rPr>
            <w:rFonts w:ascii="Times New Roman" w:hAnsi="Times New Roman" w:cs="Times New Roman"/>
            <w:sz w:val="24"/>
            <w:szCs w:val="24"/>
          </w:rPr>
          <w:t xml:space="preserve">Our findings show </w:t>
        </w:r>
      </w:ins>
      <w:ins w:id="460" w:author="Mariel Mateo" w:date="2024-06-25T16:23:00Z" w16du:dateUtc="2024-06-25T06:23:00Z">
        <w:r>
          <w:rPr>
            <w:rFonts w:ascii="Times New Roman" w:hAnsi="Times New Roman" w:cs="Times New Roman"/>
            <w:sz w:val="24"/>
            <w:szCs w:val="24"/>
          </w:rPr>
          <w:t>that the incidence of PSU according to treatment completion is…</w:t>
        </w:r>
      </w:ins>
    </w:p>
    <w:p w14:paraId="50C0D14B" w14:textId="44957A3A" w:rsidR="00467745" w:rsidRDefault="00467745">
      <w:pPr>
        <w:spacing w:line="480" w:lineRule="auto"/>
        <w:rPr>
          <w:ins w:id="461" w:author="Mariel Mateo" w:date="2024-06-25T16:24:00Z" w16du:dateUtc="2024-06-25T06:24:00Z"/>
          <w:rFonts w:ascii="Times New Roman" w:hAnsi="Times New Roman" w:cs="Times New Roman"/>
          <w:sz w:val="24"/>
          <w:szCs w:val="24"/>
        </w:rPr>
        <w:pPrChange w:id="462" w:author="Mariel Mateo" w:date="2024-06-25T16:24:00Z" w16du:dateUtc="2024-06-25T06:24:00Z">
          <w:pPr>
            <w:spacing w:line="480" w:lineRule="auto"/>
            <w:ind w:firstLine="720"/>
          </w:pPr>
        </w:pPrChange>
      </w:pPr>
      <w:ins w:id="463" w:author="Mariel Mateo" w:date="2024-06-25T16:24:00Z" w16du:dateUtc="2024-06-25T06:24:00Z">
        <w:r>
          <w:rPr>
            <w:rFonts w:ascii="Times New Roman" w:hAnsi="Times New Roman" w:cs="Times New Roman"/>
            <w:sz w:val="24"/>
            <w:szCs w:val="24"/>
          </w:rPr>
          <w:t>Afte</w:t>
        </w:r>
      </w:ins>
      <w:ins w:id="464" w:author="Mariel Mateo" w:date="2024-06-25T16:25:00Z" w16du:dateUtc="2024-06-25T06:25:00Z">
        <w:r>
          <w:rPr>
            <w:rFonts w:ascii="Times New Roman" w:hAnsi="Times New Roman" w:cs="Times New Roman"/>
            <w:sz w:val="24"/>
            <w:szCs w:val="24"/>
          </w:rPr>
          <w:t>r c</w:t>
        </w:r>
      </w:ins>
      <w:ins w:id="465" w:author="Mariel Mateo" w:date="2024-06-25T16:24:00Z" w16du:dateUtc="2024-06-25T06:24:00Z">
        <w:r>
          <w:rPr>
            <w:rFonts w:ascii="Times New Roman" w:hAnsi="Times New Roman" w:cs="Times New Roman"/>
            <w:sz w:val="24"/>
            <w:szCs w:val="24"/>
          </w:rPr>
          <w:t xml:space="preserve">omparing patients </w:t>
        </w:r>
      </w:ins>
      <w:ins w:id="466" w:author="Mariel Mateo" w:date="2024-06-25T16:25:00Z" w16du:dateUtc="2024-06-25T06:25:00Z">
        <w:r>
          <w:rPr>
            <w:rFonts w:ascii="Times New Roman" w:hAnsi="Times New Roman" w:cs="Times New Roman"/>
            <w:sz w:val="24"/>
            <w:szCs w:val="24"/>
          </w:rPr>
          <w:t>reporting PSU vs. single substance regarding treatment completion, we found…</w:t>
        </w:r>
      </w:ins>
    </w:p>
    <w:p w14:paraId="1614B64A" w14:textId="68744D27" w:rsidR="00467745" w:rsidRPr="00C31320" w:rsidDel="00705200" w:rsidRDefault="00467745" w:rsidP="00DC5F7A">
      <w:pPr>
        <w:spacing w:line="480" w:lineRule="auto"/>
        <w:ind w:firstLine="567"/>
        <w:rPr>
          <w:ins w:id="467" w:author="Mariel Mateo" w:date="2024-06-25T16:20:00Z" w16du:dateUtc="2024-06-25T06:20:00Z"/>
          <w:del w:id="468" w:author="Andrés González Santa Cruz" w:date="2024-06-27T13:39:00Z" w16du:dateUtc="2024-06-27T17:39:00Z"/>
          <w:rFonts w:ascii="Times New Roman" w:hAnsi="Times New Roman" w:cs="Times New Roman"/>
          <w:sz w:val="24"/>
          <w:szCs w:val="24"/>
          <w:lang w:val="en-US"/>
        </w:rPr>
        <w:pPrChange w:id="469" w:author="Andrés González Santa Cruz" w:date="2024-06-27T13:49:00Z" w16du:dateUtc="2024-06-27T17:49:00Z">
          <w:pPr>
            <w:spacing w:line="480" w:lineRule="auto"/>
            <w:ind w:firstLine="720"/>
          </w:pPr>
        </w:pPrChange>
      </w:pPr>
      <w:ins w:id="470" w:author="Mariel Mateo" w:date="2024-06-25T16:23:00Z" w16du:dateUtc="2024-06-25T06:23:00Z">
        <w:r>
          <w:rPr>
            <w:rFonts w:ascii="Times New Roman" w:hAnsi="Times New Roman" w:cs="Times New Roman"/>
            <w:sz w:val="24"/>
            <w:szCs w:val="24"/>
          </w:rPr>
          <w:t xml:space="preserve">Additionally, </w:t>
        </w:r>
      </w:ins>
      <w:ins w:id="471" w:author="Mariel Mateo" w:date="2024-06-25T16:20:00Z" w16du:dateUtc="2024-06-25T06:20:00Z">
        <w:r w:rsidRPr="00C31320">
          <w:rPr>
            <w:rFonts w:ascii="Times New Roman" w:hAnsi="Times New Roman" w:cs="Times New Roman"/>
            <w:sz w:val="24"/>
            <w:szCs w:val="24"/>
            <w:lang w:val="en-US"/>
          </w:rPr>
          <w:t xml:space="preserve">the association between </w:t>
        </w:r>
        <w:r>
          <w:rPr>
            <w:rFonts w:ascii="Times New Roman" w:hAnsi="Times New Roman" w:cs="Times New Roman"/>
            <w:sz w:val="24"/>
            <w:szCs w:val="24"/>
            <w:lang w:val="en-US"/>
          </w:rPr>
          <w:t>PSU</w:t>
        </w:r>
        <w:r w:rsidRPr="00C31320">
          <w:rPr>
            <w:rFonts w:ascii="Times New Roman" w:hAnsi="Times New Roman" w:cs="Times New Roman"/>
            <w:sz w:val="24"/>
            <w:szCs w:val="24"/>
            <w:lang w:val="en-US"/>
          </w:rPr>
          <w:t xml:space="preserve"> reported at admission and treatment non</w:t>
        </w:r>
        <w:r>
          <w:rPr>
            <w:rFonts w:ascii="Times New Roman" w:hAnsi="Times New Roman" w:cs="Times New Roman"/>
            <w:sz w:val="24"/>
            <w:szCs w:val="24"/>
            <w:lang w:val="en-US"/>
          </w:rPr>
          <w:t>-</w:t>
        </w:r>
        <w:r w:rsidRPr="00C31320">
          <w:rPr>
            <w:rFonts w:ascii="Times New Roman" w:hAnsi="Times New Roman" w:cs="Times New Roman"/>
            <w:sz w:val="24"/>
            <w:szCs w:val="24"/>
            <w:lang w:val="en-US"/>
          </w:rPr>
          <w:t>completion is restricted to intensive ambulatory settings and women-specific residential treatments</w:t>
        </w:r>
      </w:ins>
      <w:ins w:id="472" w:author="Mariel Mateo" w:date="2024-06-25T16:21:00Z" w16du:dateUtc="2024-06-25T06:21:00Z">
        <w:r>
          <w:rPr>
            <w:rFonts w:ascii="Times New Roman" w:hAnsi="Times New Roman" w:cs="Times New Roman"/>
            <w:sz w:val="24"/>
            <w:szCs w:val="24"/>
            <w:lang w:val="en-US"/>
          </w:rPr>
          <w:t>…</w:t>
        </w:r>
      </w:ins>
    </w:p>
    <w:p w14:paraId="259EBD9B" w14:textId="33A1E776" w:rsidR="00C31320" w:rsidRDefault="00C31320" w:rsidP="00DC5F7A">
      <w:pPr>
        <w:spacing w:line="480" w:lineRule="auto"/>
        <w:ind w:firstLine="567"/>
        <w:rPr>
          <w:rFonts w:ascii="Times New Roman" w:hAnsi="Times New Roman" w:cs="Times New Roman"/>
          <w:sz w:val="24"/>
          <w:szCs w:val="24"/>
        </w:rPr>
        <w:pPrChange w:id="473" w:author="Andrés González Santa Cruz" w:date="2024-06-27T13:49:00Z" w16du:dateUtc="2024-06-27T17:49:00Z">
          <w:pPr/>
        </w:pPrChange>
      </w:pPr>
    </w:p>
    <w:p w14:paraId="36D25170" w14:textId="60CC8514" w:rsidR="00C31320" w:rsidRPr="00C31320" w:rsidRDefault="00C31320" w:rsidP="00C31320">
      <w:pPr>
        <w:spacing w:line="480" w:lineRule="auto"/>
        <w:ind w:firstLine="567"/>
        <w:rPr>
          <w:rFonts w:ascii="Times New Roman" w:hAnsi="Times New Roman" w:cs="Times New Roman"/>
          <w:sz w:val="24"/>
          <w:szCs w:val="24"/>
          <w:lang w:val="en-US"/>
        </w:rPr>
      </w:pPr>
      <w:commentRangeStart w:id="474"/>
      <w:commentRangeStart w:id="475"/>
      <w:r w:rsidRPr="00C31320">
        <w:rPr>
          <w:rFonts w:ascii="Times New Roman" w:hAnsi="Times New Roman" w:cs="Times New Roman"/>
          <w:sz w:val="24"/>
          <w:szCs w:val="24"/>
          <w:lang w:val="en-US"/>
        </w:rPr>
        <w:t xml:space="preserve">This study is focused on people who </w:t>
      </w:r>
      <w:del w:id="476" w:author="Mariel Mateo" w:date="2024-06-25T16:09:00Z" w16du:dateUtc="2024-06-25T06:09:00Z">
        <w:r w:rsidRPr="00C31320" w:rsidDel="00421889">
          <w:rPr>
            <w:rFonts w:ascii="Times New Roman" w:hAnsi="Times New Roman" w:cs="Times New Roman"/>
            <w:sz w:val="24"/>
            <w:szCs w:val="24"/>
            <w:lang w:val="en-US"/>
          </w:rPr>
          <w:delText xml:space="preserve">probably </w:delText>
        </w:r>
      </w:del>
      <w:r w:rsidRPr="00C31320">
        <w:rPr>
          <w:rFonts w:ascii="Times New Roman" w:hAnsi="Times New Roman" w:cs="Times New Roman"/>
          <w:sz w:val="24"/>
          <w:szCs w:val="24"/>
          <w:lang w:val="en-US"/>
        </w:rPr>
        <w:t>had a persistent pattern of substance use disorder rather than transient substance use disorder. These patients are characterized by repeated treatment episodes, varying periods of abstinence, and relapses leading to the resumption of moderate or problematic substance use</w:t>
      </w:r>
      <w:ins w:id="477" w:author="Mariel Mateo" w:date="2024-06-25T16:11:00Z" w16du:dateUtc="2024-06-25T06:11:00Z">
        <w:r w:rsidR="00421889">
          <w:rPr>
            <w:rFonts w:ascii="Times New Roman" w:hAnsi="Times New Roman" w:cs="Times New Roman"/>
            <w:sz w:val="24"/>
            <w:szCs w:val="24"/>
            <w:lang w:val="en-US"/>
          </w:rPr>
          <w:t>,</w:t>
        </w:r>
      </w:ins>
      <w:r w:rsidRPr="00C31320">
        <w:rPr>
          <w:rFonts w:ascii="Times New Roman" w:hAnsi="Times New Roman" w:cs="Times New Roman"/>
          <w:sz w:val="24"/>
          <w:szCs w:val="24"/>
          <w:lang w:val="en-US"/>
        </w:rPr>
        <w:t xml:space="preserve"> as highlighted in the literature</w:t>
      </w:r>
      <w:r w:rsidR="00303DBD">
        <w:rPr>
          <w:rFonts w:ascii="Times New Roman" w:hAnsi="Times New Roman" w:cs="Times New Roman"/>
          <w:sz w:val="24"/>
          <w:szCs w:val="24"/>
          <w:lang w:val="en-US"/>
        </w:rPr>
        <w:t xml:space="preserve"> </w:t>
      </w:r>
      <w:r w:rsidR="00614553">
        <w:rPr>
          <w:rFonts w:ascii="Times New Roman" w:hAnsi="Times New Roman" w:cs="Times New Roman"/>
          <w:sz w:val="24"/>
          <w:szCs w:val="24"/>
          <w:lang w:val="en-US"/>
        </w:rPr>
        <w:fldChar w:fldCharType="begin"/>
      </w:r>
      <w:r w:rsidR="00614553">
        <w:rPr>
          <w:rFonts w:ascii="Times New Roman" w:hAnsi="Times New Roman" w:cs="Times New Roman"/>
          <w:sz w:val="24"/>
          <w:szCs w:val="24"/>
          <w:lang w:val="en-US"/>
        </w:rPr>
        <w:instrText xml:space="preserve"> ADDIN ZOTERO_ITEM CSL_CITATION {"citationID":"M7vsjJY6","properties":{"formattedCitation":"(Beaulieu et al., 2022)","plainCitation":"(Beaulieu et al., 2022)","noteIndex":0},"citationItems":[{"id":973,"uris":["http://zotero.org/users/12673371/items/SLASNFLZ"],"itemData":{"id":973,"type":"article-journal","abstract":"Specialized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614553">
        <w:rPr>
          <w:rFonts w:ascii="Times New Roman" w:hAnsi="Times New Roman" w:cs="Times New Roman"/>
          <w:sz w:val="24"/>
          <w:szCs w:val="24"/>
          <w:lang w:val="en-US"/>
        </w:rPr>
        <w:fldChar w:fldCharType="separate"/>
      </w:r>
      <w:r w:rsidR="00614553" w:rsidRPr="00614553">
        <w:rPr>
          <w:rFonts w:ascii="Times New Roman" w:hAnsi="Times New Roman" w:cs="Times New Roman"/>
          <w:sz w:val="24"/>
        </w:rPr>
        <w:t>(Beaulieu et al., 2022)</w:t>
      </w:r>
      <w:r w:rsidR="00614553">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 xml:space="preserve">. The results of the inverse intensity model also provide unique insights into patient characteristics associated with increased readmissions to SUD treatments. Age at admission to treatment and recent birth years may suggest the presence of an age-cohort effect, where younger individuals might be less reluctant to seek subsequent treatment. </w:t>
      </w:r>
      <w:commentRangeEnd w:id="474"/>
      <w:r w:rsidR="00421889">
        <w:rPr>
          <w:rStyle w:val="Refdecomentario"/>
          <w:rFonts w:ascii="Times New Roman" w:eastAsia="Times New Roman" w:hAnsi="Times New Roman" w:cs="Times New Roman"/>
          <w:lang w:val="en-US" w:eastAsia="es-CL"/>
        </w:rPr>
        <w:commentReference w:id="474"/>
      </w:r>
      <w:commentRangeEnd w:id="475"/>
      <w:r w:rsidR="00467745">
        <w:rPr>
          <w:rStyle w:val="Refdecomentario"/>
          <w:rFonts w:ascii="Times New Roman" w:eastAsia="Times New Roman" w:hAnsi="Times New Roman" w:cs="Times New Roman"/>
          <w:lang w:val="en-US" w:eastAsia="es-CL"/>
        </w:rPr>
        <w:commentReference w:id="475"/>
      </w:r>
      <w:r w:rsidRPr="00C31320">
        <w:rPr>
          <w:rFonts w:ascii="Times New Roman" w:hAnsi="Times New Roman" w:cs="Times New Roman"/>
          <w:sz w:val="24"/>
          <w:szCs w:val="24"/>
          <w:lang w:val="en-US"/>
        </w:rPr>
        <w:t xml:space="preserve">Additionally, the expansion of treatment </w:t>
      </w:r>
      <w:commentRangeStart w:id="478"/>
      <w:r w:rsidRPr="00C31320">
        <w:rPr>
          <w:rFonts w:ascii="Times New Roman" w:hAnsi="Times New Roman" w:cs="Times New Roman"/>
          <w:sz w:val="24"/>
          <w:szCs w:val="24"/>
          <w:lang w:val="en-US"/>
        </w:rPr>
        <w:t>offerings</w:t>
      </w:r>
      <w:commentRangeEnd w:id="478"/>
      <w:r w:rsidR="00421889">
        <w:rPr>
          <w:rStyle w:val="Refdecomentario"/>
          <w:rFonts w:ascii="Times New Roman" w:eastAsia="Times New Roman" w:hAnsi="Times New Roman" w:cs="Times New Roman"/>
          <w:lang w:val="en-US" w:eastAsia="es-CL"/>
        </w:rPr>
        <w:commentReference w:id="478"/>
      </w:r>
      <w:r w:rsidRPr="00C31320">
        <w:rPr>
          <w:rFonts w:ascii="Times New Roman" w:hAnsi="Times New Roman" w:cs="Times New Roman"/>
          <w:sz w:val="24"/>
          <w:szCs w:val="24"/>
          <w:lang w:val="en-US"/>
        </w:rPr>
        <w:t xml:space="preserve">, the broader reach of SENDA into more sectors and the healthcare network, or a gradual reduction in the stigma associated with returning to treatment could also contribute to this pattern. </w:t>
      </w:r>
      <w:commentRangeStart w:id="479"/>
      <w:r w:rsidRPr="00C31320">
        <w:rPr>
          <w:rFonts w:ascii="Times New Roman" w:hAnsi="Times New Roman" w:cs="Times New Roman"/>
          <w:sz w:val="24"/>
          <w:szCs w:val="24"/>
          <w:lang w:val="en-US"/>
        </w:rPr>
        <w:t>Interestingly</w:t>
      </w:r>
      <w:commentRangeEnd w:id="479"/>
      <w:r w:rsidRPr="00C31320">
        <w:rPr>
          <w:rStyle w:val="Refdecomentario"/>
          <w:rFonts w:ascii="Times New Roman" w:eastAsia="Times New Roman" w:hAnsi="Times New Roman" w:cs="Times New Roman"/>
          <w:sz w:val="24"/>
          <w:szCs w:val="24"/>
          <w:lang w:eastAsia="es-ES_tradnl"/>
        </w:rPr>
        <w:commentReference w:id="479"/>
      </w:r>
      <w:r w:rsidRPr="00C31320">
        <w:rPr>
          <w:rFonts w:ascii="Times New Roman" w:hAnsi="Times New Roman" w:cs="Times New Roman"/>
          <w:sz w:val="24"/>
          <w:szCs w:val="24"/>
          <w:lang w:val="en-US"/>
        </w:rPr>
        <w:t xml:space="preserve">, some factors that we expected to be influential, such as polysubstance use in the previous treatment, specific primary </w:t>
      </w:r>
      <w:r w:rsidRPr="00C31320">
        <w:rPr>
          <w:rFonts w:ascii="Times New Roman" w:hAnsi="Times New Roman" w:cs="Times New Roman"/>
          <w:sz w:val="24"/>
          <w:szCs w:val="24"/>
          <w:lang w:val="en-US"/>
        </w:rPr>
        <w:lastRenderedPageBreak/>
        <w:t xml:space="preserve">substances at admission, and certain psychiatric </w:t>
      </w:r>
      <w:commentRangeStart w:id="480"/>
      <w:r w:rsidRPr="00C31320">
        <w:rPr>
          <w:rFonts w:ascii="Times New Roman" w:hAnsi="Times New Roman" w:cs="Times New Roman"/>
          <w:sz w:val="24"/>
          <w:szCs w:val="24"/>
          <w:lang w:val="en-US"/>
        </w:rPr>
        <w:t>comorbidities</w:t>
      </w:r>
      <w:commentRangeEnd w:id="480"/>
      <w:r w:rsidRPr="00C31320">
        <w:rPr>
          <w:rStyle w:val="Refdecomentario"/>
          <w:rFonts w:ascii="Times New Roman" w:eastAsia="Times New Roman" w:hAnsi="Times New Roman" w:cs="Times New Roman"/>
          <w:sz w:val="24"/>
          <w:szCs w:val="24"/>
          <w:lang w:eastAsia="es-ES_tradnl"/>
        </w:rPr>
        <w:commentReference w:id="480"/>
      </w:r>
      <w:r w:rsidRPr="00C31320">
        <w:rPr>
          <w:rFonts w:ascii="Times New Roman" w:hAnsi="Times New Roman" w:cs="Times New Roman"/>
          <w:sz w:val="24"/>
          <w:szCs w:val="24"/>
          <w:lang w:val="en-US"/>
        </w:rPr>
        <w:t xml:space="preserve">, were found to have negligible or non-significant effects on treatment return rates. Possibly, </w:t>
      </w:r>
      <w:del w:id="481" w:author="Mariel Mateo" w:date="2024-06-25T16:19:00Z" w16du:dateUtc="2024-06-25T06:19:00Z">
        <w:r w:rsidRPr="00C31320" w:rsidDel="00467745">
          <w:rPr>
            <w:rFonts w:ascii="Times New Roman" w:hAnsi="Times New Roman" w:cs="Times New Roman"/>
            <w:sz w:val="24"/>
            <w:szCs w:val="24"/>
            <w:lang w:val="en-US"/>
          </w:rPr>
          <w:delText xml:space="preserve">the fact of being </w:delText>
        </w:r>
      </w:del>
      <w:r w:rsidRPr="00C31320">
        <w:rPr>
          <w:rFonts w:ascii="Times New Roman" w:hAnsi="Times New Roman" w:cs="Times New Roman"/>
          <w:sz w:val="24"/>
          <w:szCs w:val="24"/>
          <w:lang w:val="en-US"/>
        </w:rPr>
        <w:t xml:space="preserve">adjusting for biopsychosocial compromise and stratifying by treatment settings would have captured the variability attributed to these </w:t>
      </w:r>
      <w:commentRangeStart w:id="482"/>
      <w:r w:rsidRPr="00C31320">
        <w:rPr>
          <w:rFonts w:ascii="Times New Roman" w:hAnsi="Times New Roman" w:cs="Times New Roman"/>
          <w:sz w:val="24"/>
          <w:szCs w:val="24"/>
          <w:lang w:val="en-US"/>
        </w:rPr>
        <w:t>factors</w:t>
      </w:r>
      <w:commentRangeEnd w:id="482"/>
      <w:r w:rsidRPr="00C31320">
        <w:rPr>
          <w:rStyle w:val="Refdecomentario"/>
          <w:rFonts w:ascii="Times New Roman" w:eastAsia="Times New Roman" w:hAnsi="Times New Roman" w:cs="Times New Roman"/>
          <w:sz w:val="24"/>
          <w:szCs w:val="24"/>
          <w:lang w:eastAsia="es-ES_tradnl"/>
        </w:rPr>
        <w:commentReference w:id="482"/>
      </w:r>
      <w:r w:rsidRPr="00C31320">
        <w:rPr>
          <w:rFonts w:ascii="Times New Roman" w:hAnsi="Times New Roman" w:cs="Times New Roman"/>
          <w:sz w:val="24"/>
          <w:szCs w:val="24"/>
          <w:lang w:val="en-US"/>
        </w:rPr>
        <w:t xml:space="preserve">. </w:t>
      </w:r>
    </w:p>
    <w:p w14:paraId="3D8B0842" w14:textId="1CC6FB2C" w:rsidR="00C31320" w:rsidRPr="00C31320" w:rsidDel="00467745" w:rsidRDefault="00C31320" w:rsidP="00C31320">
      <w:pPr>
        <w:spacing w:line="480" w:lineRule="auto"/>
        <w:ind w:firstLine="720"/>
        <w:rPr>
          <w:del w:id="483" w:author="Mariel Mateo" w:date="2024-06-25T16:20:00Z" w16du:dateUtc="2024-06-25T06:20:00Z"/>
          <w:rFonts w:ascii="Times New Roman" w:hAnsi="Times New Roman" w:cs="Times New Roman"/>
          <w:sz w:val="24"/>
          <w:szCs w:val="24"/>
          <w:lang w:val="en-US"/>
        </w:rPr>
      </w:pPr>
      <w:del w:id="484" w:author="Mariel Mateo" w:date="2024-06-25T16:20:00Z" w16du:dateUtc="2024-06-25T06:20:00Z">
        <w:r w:rsidRPr="00C31320" w:rsidDel="00467745">
          <w:rPr>
            <w:rFonts w:ascii="Times New Roman" w:hAnsi="Times New Roman" w:cs="Times New Roman"/>
            <w:sz w:val="24"/>
            <w:szCs w:val="24"/>
            <w:lang w:val="en-US"/>
          </w:rPr>
          <w:delText>Nonetheless, regarding the association between polysubstance use reported at admission and treatment noncompletion is restricted to intensive ambulatory settings and women-specific residential treatments.</w:delText>
        </w:r>
      </w:del>
    </w:p>
    <w:p w14:paraId="19C8AC43" w14:textId="77777777" w:rsidR="00C31320" w:rsidRPr="00C31320" w:rsidRDefault="00C31320" w:rsidP="00C31320">
      <w:pPr>
        <w:spacing w:line="480" w:lineRule="auto"/>
        <w:ind w:firstLine="720"/>
        <w:rPr>
          <w:rFonts w:ascii="Times New Roman" w:hAnsi="Times New Roman" w:cs="Times New Roman"/>
          <w:sz w:val="24"/>
          <w:szCs w:val="24"/>
          <w:lang w:val="en-US"/>
        </w:rPr>
      </w:pPr>
      <w:r w:rsidRPr="00C31320">
        <w:rPr>
          <w:rFonts w:ascii="Times New Roman" w:hAnsi="Times New Roman" w:cs="Times New Roman"/>
          <w:sz w:val="24"/>
          <w:szCs w:val="24"/>
          <w:lang w:val="en-US"/>
        </w:rPr>
        <w:t>Limitations</w:t>
      </w:r>
    </w:p>
    <w:p w14:paraId="4285497A" w14:textId="1AF7AB33" w:rsidR="00C31320" w:rsidRPr="00C31320" w:rsidRDefault="00C31320" w:rsidP="00C31320">
      <w:pPr>
        <w:spacing w:line="480" w:lineRule="auto"/>
        <w:ind w:firstLine="567"/>
        <w:rPr>
          <w:rFonts w:ascii="Times New Roman" w:hAnsi="Times New Roman" w:cs="Times New Roman"/>
          <w:sz w:val="24"/>
          <w:szCs w:val="24"/>
          <w:lang w:val="en-US"/>
        </w:rPr>
      </w:pPr>
      <w:r w:rsidRPr="00C31320">
        <w:rPr>
          <w:rFonts w:ascii="Times New Roman" w:hAnsi="Times New Roman" w:cs="Times New Roman"/>
          <w:sz w:val="24"/>
          <w:szCs w:val="24"/>
          <w:lang w:val="en-US"/>
        </w:rPr>
        <w:t>The proportional intensity model to calculate IIWs impose a proportional hazards assumption on the assessment intensity. However, this assumption is debatable. Diagnosing proportionality in a Cox model with recurrent events can be quite challenging and statistical tools might not account for changes in the intensities due to possible changes in baseline risks for cumulative events, making interpretations of nonproportionality less straightforward</w:t>
      </w:r>
      <w:r w:rsidR="00303DBD">
        <w:rPr>
          <w:rFonts w:ascii="Times New Roman" w:hAnsi="Times New Roman" w:cs="Times New Roman"/>
          <w:sz w:val="24"/>
          <w:szCs w:val="24"/>
          <w:lang w:val="en-US"/>
        </w:rPr>
        <w:t xml:space="preserve"> </w:t>
      </w:r>
      <w:r w:rsidR="00F27C17">
        <w:rPr>
          <w:rFonts w:ascii="Times New Roman" w:hAnsi="Times New Roman" w:cs="Times New Roman"/>
          <w:sz w:val="24"/>
          <w:szCs w:val="24"/>
          <w:lang w:val="en-US"/>
        </w:rPr>
        <w:fldChar w:fldCharType="begin"/>
      </w:r>
      <w:r w:rsidR="00F27C17">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F27C17">
        <w:rPr>
          <w:rFonts w:ascii="Times New Roman" w:hAnsi="Times New Roman" w:cs="Times New Roman"/>
          <w:sz w:val="24"/>
          <w:szCs w:val="24"/>
          <w:lang w:val="en-US"/>
        </w:rPr>
        <w:fldChar w:fldCharType="separate"/>
      </w:r>
      <w:r w:rsidR="00F27C17" w:rsidRPr="00F27C17">
        <w:rPr>
          <w:rFonts w:ascii="Times New Roman" w:hAnsi="Times New Roman" w:cs="Times New Roman"/>
          <w:sz w:val="24"/>
        </w:rPr>
        <w:t>(Royston &amp; Altman, 2013)</w:t>
      </w:r>
      <w:r w:rsidR="00F27C17">
        <w:rPr>
          <w:rFonts w:ascii="Times New Roman" w:hAnsi="Times New Roman" w:cs="Times New Roman"/>
          <w:sz w:val="24"/>
          <w:szCs w:val="24"/>
          <w:lang w:val="en-US"/>
        </w:rPr>
        <w:fldChar w:fldCharType="end"/>
      </w:r>
      <w:commentRangeStart w:id="485"/>
      <w:r w:rsidRPr="00C31320">
        <w:rPr>
          <w:rFonts w:ascii="Times New Roman" w:hAnsi="Times New Roman" w:cs="Times New Roman"/>
          <w:sz w:val="24"/>
          <w:szCs w:val="24"/>
          <w:lang w:val="en-US"/>
        </w:rPr>
        <w:t>.</w:t>
      </w:r>
      <w:commentRangeEnd w:id="485"/>
      <w:r w:rsidRPr="00C31320">
        <w:rPr>
          <w:rStyle w:val="Refdecomentario"/>
          <w:rFonts w:ascii="Times New Roman" w:eastAsia="Times New Roman" w:hAnsi="Times New Roman" w:cs="Times New Roman"/>
          <w:sz w:val="24"/>
          <w:szCs w:val="24"/>
          <w:lang w:eastAsia="es-ES_tradnl"/>
        </w:rPr>
        <w:commentReference w:id="485"/>
      </w:r>
      <w:r w:rsidRPr="00C31320">
        <w:rPr>
          <w:rFonts w:ascii="Times New Roman" w:hAnsi="Times New Roman" w:cs="Times New Roman"/>
          <w:sz w:val="24"/>
          <w:szCs w:val="24"/>
          <w:lang w:val="en-US"/>
        </w:rPr>
        <w:t xml:space="preserve"> Tests such based on Schoenfeld residuals are insufficient as contrasting for the null for changes as a function of time may not be fully indicative of nonproportional </w:t>
      </w:r>
      <w:commentRangeStart w:id="486"/>
      <w:r w:rsidRPr="00C31320">
        <w:rPr>
          <w:rFonts w:ascii="Times New Roman" w:hAnsi="Times New Roman" w:cs="Times New Roman"/>
          <w:sz w:val="24"/>
          <w:szCs w:val="24"/>
          <w:lang w:val="en-US"/>
        </w:rPr>
        <w:t>hazards</w:t>
      </w:r>
      <w:commentRangeEnd w:id="486"/>
      <w:r w:rsidRPr="00C31320">
        <w:rPr>
          <w:rStyle w:val="Refdecomentario"/>
          <w:rFonts w:ascii="Times New Roman" w:eastAsia="Times New Roman" w:hAnsi="Times New Roman" w:cs="Times New Roman"/>
          <w:sz w:val="24"/>
          <w:szCs w:val="24"/>
          <w:lang w:eastAsia="es-ES_tradnl"/>
        </w:rPr>
        <w:commentReference w:id="486"/>
      </w:r>
      <w:r w:rsidRPr="00C31320">
        <w:rPr>
          <w:rFonts w:ascii="Times New Roman" w:hAnsi="Times New Roman" w:cs="Times New Roman"/>
          <w:sz w:val="24"/>
          <w:szCs w:val="24"/>
          <w:lang w:val="en-US"/>
        </w:rPr>
        <w:t>. Even small violations can become apparent due to the sample size</w:t>
      </w:r>
      <w:r w:rsidR="00303DBD">
        <w:rPr>
          <w:rFonts w:ascii="Times New Roman" w:hAnsi="Times New Roman" w:cs="Times New Roman"/>
          <w:sz w:val="24"/>
          <w:szCs w:val="24"/>
          <w:lang w:val="en-US"/>
        </w:rPr>
        <w:t xml:space="preserve"> </w:t>
      </w:r>
      <w:r w:rsidR="00F27C17">
        <w:rPr>
          <w:rFonts w:ascii="Times New Roman" w:hAnsi="Times New Roman" w:cs="Times New Roman"/>
          <w:sz w:val="24"/>
          <w:szCs w:val="24"/>
          <w:lang w:val="en-US"/>
        </w:rPr>
        <w:fldChar w:fldCharType="begin"/>
      </w:r>
      <w:r w:rsidR="00F27C17">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F27C17">
        <w:rPr>
          <w:rFonts w:ascii="Times New Roman" w:hAnsi="Times New Roman" w:cs="Times New Roman"/>
          <w:sz w:val="24"/>
          <w:szCs w:val="24"/>
          <w:lang w:val="en-US"/>
        </w:rPr>
        <w:fldChar w:fldCharType="separate"/>
      </w:r>
      <w:r w:rsidR="00F27C17" w:rsidRPr="00F27C17">
        <w:rPr>
          <w:rFonts w:ascii="Times New Roman" w:hAnsi="Times New Roman" w:cs="Times New Roman"/>
          <w:sz w:val="24"/>
        </w:rPr>
        <w:t>(Keele, 2010)</w:t>
      </w:r>
      <w:r w:rsidR="00F27C17">
        <w:rPr>
          <w:rFonts w:ascii="Times New Roman" w:hAnsi="Times New Roman" w:cs="Times New Roman"/>
          <w:sz w:val="24"/>
          <w:szCs w:val="24"/>
          <w:lang w:val="en-US"/>
        </w:rPr>
        <w:fldChar w:fldCharType="end"/>
      </w:r>
      <w:commentRangeStart w:id="487"/>
      <w:r w:rsidRPr="00C31320">
        <w:rPr>
          <w:rFonts w:ascii="Times New Roman" w:hAnsi="Times New Roman" w:cs="Times New Roman"/>
          <w:sz w:val="24"/>
          <w:szCs w:val="24"/>
          <w:lang w:val="en-US"/>
        </w:rPr>
        <w:t>.</w:t>
      </w:r>
      <w:commentRangeEnd w:id="487"/>
      <w:r w:rsidRPr="00C31320">
        <w:rPr>
          <w:rStyle w:val="Refdecomentario"/>
          <w:rFonts w:ascii="Times New Roman" w:eastAsia="Times New Roman" w:hAnsi="Times New Roman" w:cs="Times New Roman"/>
          <w:sz w:val="24"/>
          <w:szCs w:val="24"/>
          <w:lang w:eastAsia="es-ES_tradnl"/>
        </w:rPr>
        <w:commentReference w:id="487"/>
      </w:r>
      <w:r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might not be proportional</w:t>
      </w:r>
      <w:r w:rsidR="00303DBD">
        <w:rPr>
          <w:rFonts w:ascii="Times New Roman" w:hAnsi="Times New Roman" w:cs="Times New Roman"/>
          <w:sz w:val="24"/>
          <w:szCs w:val="24"/>
          <w:lang w:val="en-US"/>
        </w:rPr>
        <w:t xml:space="preserve"> </w:t>
      </w:r>
      <w:r w:rsidR="00F27C17">
        <w:rPr>
          <w:rFonts w:ascii="Times New Roman" w:hAnsi="Times New Roman" w:cs="Times New Roman"/>
          <w:sz w:val="24"/>
          <w:szCs w:val="24"/>
          <w:lang w:val="en-US"/>
        </w:rPr>
        <w:fldChar w:fldCharType="begin"/>
      </w:r>
      <w:r w:rsidR="00F27C17">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F27C17">
        <w:rPr>
          <w:rFonts w:ascii="Times New Roman" w:hAnsi="Times New Roman" w:cs="Times New Roman"/>
          <w:sz w:val="24"/>
          <w:szCs w:val="24"/>
          <w:lang w:val="en-US"/>
        </w:rPr>
        <w:fldChar w:fldCharType="separate"/>
      </w:r>
      <w:r w:rsidR="00F27C17" w:rsidRPr="00F27C17">
        <w:rPr>
          <w:rFonts w:ascii="Times New Roman" w:hAnsi="Times New Roman" w:cs="Times New Roman"/>
          <w:sz w:val="24"/>
        </w:rPr>
        <w:t>(Jardillier et al., 2022)</w:t>
      </w:r>
      <w:r w:rsidR="00F27C17">
        <w:rPr>
          <w:rFonts w:ascii="Times New Roman" w:hAnsi="Times New Roman" w:cs="Times New Roman"/>
          <w:sz w:val="24"/>
          <w:szCs w:val="24"/>
          <w:lang w:val="en-US"/>
        </w:rPr>
        <w:fldChar w:fldCharType="end"/>
      </w:r>
      <w:commentRangeStart w:id="488"/>
      <w:r w:rsidRPr="00C31320">
        <w:rPr>
          <w:rFonts w:ascii="Times New Roman" w:hAnsi="Times New Roman" w:cs="Times New Roman"/>
          <w:sz w:val="24"/>
          <w:szCs w:val="24"/>
          <w:lang w:val="en-US"/>
        </w:rPr>
        <w:t>.</w:t>
      </w:r>
      <w:commentRangeEnd w:id="488"/>
      <w:r w:rsidRPr="00C31320">
        <w:rPr>
          <w:rStyle w:val="Refdecomentario"/>
          <w:rFonts w:ascii="Times New Roman" w:eastAsia="Times New Roman" w:hAnsi="Times New Roman" w:cs="Times New Roman"/>
          <w:sz w:val="24"/>
          <w:szCs w:val="24"/>
          <w:lang w:eastAsia="es-ES_tradnl"/>
        </w:rPr>
        <w:commentReference w:id="488"/>
      </w:r>
    </w:p>
    <w:p w14:paraId="0E609D92" w14:textId="491D8B7E" w:rsidR="00C31320" w:rsidRPr="00C31320" w:rsidRDefault="00C31320" w:rsidP="00C31320">
      <w:pPr>
        <w:spacing w:line="480" w:lineRule="auto"/>
        <w:ind w:firstLine="567"/>
        <w:rPr>
          <w:rFonts w:ascii="Times New Roman" w:hAnsi="Times New Roman" w:cs="Times New Roman"/>
          <w:sz w:val="24"/>
          <w:szCs w:val="24"/>
          <w:lang w:val="en-US"/>
        </w:rPr>
      </w:pPr>
      <w:del w:id="489" w:author="Mariel Mateo" w:date="2024-06-25T16:26:00Z" w16du:dateUtc="2024-06-25T06:26:00Z">
        <w:r w:rsidRPr="00C31320" w:rsidDel="00B8472E">
          <w:rPr>
            <w:rFonts w:ascii="Times New Roman" w:hAnsi="Times New Roman" w:cs="Times New Roman"/>
            <w:sz w:val="24"/>
            <w:szCs w:val="24"/>
            <w:lang w:val="en-US"/>
          </w:rPr>
          <w:delText>Although</w:delText>
        </w:r>
      </w:del>
      <w:ins w:id="490" w:author="Mariel Mateo" w:date="2024-06-25T16:26:00Z" w16du:dateUtc="2024-06-25T06:26:00Z">
        <w:del w:id="491" w:author="Andrés González Santa Cruz" w:date="2024-06-27T13:58:00Z" w16du:dateUtc="2024-06-27T17:58:00Z">
          <w:r w:rsidR="00B8472E" w:rsidDel="002D289A">
            <w:rPr>
              <w:rFonts w:ascii="Times New Roman" w:hAnsi="Times New Roman" w:cs="Times New Roman"/>
              <w:sz w:val="24"/>
              <w:szCs w:val="24"/>
              <w:lang w:val="en-US"/>
            </w:rPr>
            <w:delText xml:space="preserve"> </w:delText>
          </w:r>
        </w:del>
        <w:r w:rsidR="00B8472E">
          <w:rPr>
            <w:rFonts w:ascii="Times New Roman" w:hAnsi="Times New Roman" w:cs="Times New Roman"/>
            <w:sz w:val="24"/>
            <w:szCs w:val="24"/>
            <w:lang w:val="en-US"/>
          </w:rPr>
          <w:t>However</w:t>
        </w:r>
      </w:ins>
      <w:r w:rsidRPr="00C31320">
        <w:rPr>
          <w:rFonts w:ascii="Times New Roman" w:hAnsi="Times New Roman" w:cs="Times New Roman"/>
          <w:sz w:val="24"/>
          <w:szCs w:val="24"/>
          <w:lang w:val="en-US"/>
        </w:rPr>
        <w:t xml:space="preserve">, the association described here </w:t>
      </w:r>
      <w:ins w:id="492" w:author="Andrés González Santa Cruz" w:date="2024-06-25T16:24:00Z" w16du:dateUtc="2024-06-25T20:24:00Z">
        <w:r w:rsidR="00765A31">
          <w:rPr>
            <w:rFonts w:ascii="Times New Roman" w:hAnsi="Times New Roman" w:cs="Times New Roman"/>
            <w:sz w:val="24"/>
            <w:szCs w:val="24"/>
            <w:lang w:val="en-US"/>
          </w:rPr>
          <w:t xml:space="preserve">may </w:t>
        </w:r>
      </w:ins>
      <w:r w:rsidRPr="00C31320">
        <w:rPr>
          <w:rFonts w:ascii="Times New Roman" w:hAnsi="Times New Roman" w:cs="Times New Roman"/>
          <w:sz w:val="24"/>
          <w:szCs w:val="24"/>
          <w:lang w:val="en-US"/>
        </w:rPr>
        <w:t>lack</w:t>
      </w:r>
      <w:del w:id="493" w:author="Andrés González Santa Cruz" w:date="2024-06-25T16:23:00Z" w16du:dateUtc="2024-06-25T20:23:00Z">
        <w:r w:rsidRPr="00C31320" w:rsidDel="00765A31">
          <w:rPr>
            <w:rFonts w:ascii="Times New Roman" w:hAnsi="Times New Roman" w:cs="Times New Roman"/>
            <w:sz w:val="24"/>
            <w:szCs w:val="24"/>
            <w:lang w:val="en-US"/>
          </w:rPr>
          <w:delText>s</w:delText>
        </w:r>
      </w:del>
      <w:r w:rsidRPr="00C31320">
        <w:rPr>
          <w:rFonts w:ascii="Times New Roman" w:hAnsi="Times New Roman" w:cs="Times New Roman"/>
          <w:sz w:val="24"/>
          <w:szCs w:val="24"/>
          <w:lang w:val="en-US"/>
        </w:rPr>
        <w:t xml:space="preserve"> a causal interpretation</w:t>
      </w:r>
      <w:ins w:id="494" w:author="Mariel Mateo" w:date="2024-06-25T16:26:00Z" w16du:dateUtc="2024-06-25T06:26:00Z">
        <w:r w:rsidR="00B8472E">
          <w:rPr>
            <w:rFonts w:ascii="Times New Roman" w:hAnsi="Times New Roman" w:cs="Times New Roman"/>
            <w:sz w:val="24"/>
            <w:szCs w:val="24"/>
            <w:lang w:val="en-US"/>
          </w:rPr>
          <w:t>,</w:t>
        </w:r>
      </w:ins>
      <w:r w:rsidRPr="00C31320">
        <w:rPr>
          <w:rFonts w:ascii="Times New Roman" w:hAnsi="Times New Roman" w:cs="Times New Roman"/>
          <w:sz w:val="24"/>
          <w:szCs w:val="24"/>
          <w:lang w:val="en-US"/>
        </w:rPr>
        <w:t xml:space="preserve"> given that the recurrent event process might be associated with </w:t>
      </w:r>
      <w:ins w:id="495" w:author="Mariel Mateo" w:date="2024-06-25T16:26:00Z" w16du:dateUtc="2024-06-25T06:26:00Z">
        <w:r w:rsidR="00B8472E">
          <w:rPr>
            <w:rFonts w:ascii="Times New Roman" w:hAnsi="Times New Roman" w:cs="Times New Roman"/>
            <w:sz w:val="24"/>
            <w:szCs w:val="24"/>
            <w:lang w:val="en-US"/>
          </w:rPr>
          <w:t xml:space="preserve">the </w:t>
        </w:r>
      </w:ins>
      <w:r w:rsidRPr="00C31320">
        <w:rPr>
          <w:rFonts w:ascii="Times New Roman" w:hAnsi="Times New Roman" w:cs="Times New Roman"/>
          <w:sz w:val="24"/>
          <w:szCs w:val="24"/>
          <w:lang w:val="en-US"/>
        </w:rPr>
        <w:t xml:space="preserve">right censoring mechanism. For example, patients admitted to treatment </w:t>
      </w:r>
      <w:del w:id="496" w:author="Mariel Mateo" w:date="2024-06-25T16:27:00Z" w16du:dateUtc="2024-06-25T06:27:00Z">
        <w:r w:rsidRPr="00C31320" w:rsidDel="00B8472E">
          <w:rPr>
            <w:rFonts w:ascii="Times New Roman" w:hAnsi="Times New Roman" w:cs="Times New Roman"/>
            <w:sz w:val="24"/>
            <w:szCs w:val="24"/>
            <w:lang w:val="en-US"/>
          </w:rPr>
          <w:delText>i</w:delText>
        </w:r>
      </w:del>
      <w:ins w:id="497" w:author="Mariel Mateo" w:date="2024-06-25T16:27:00Z" w16du:dateUtc="2024-06-25T06:27:00Z">
        <w:r w:rsidR="00B8472E">
          <w:rPr>
            <w:rFonts w:ascii="Times New Roman" w:hAnsi="Times New Roman" w:cs="Times New Roman"/>
            <w:sz w:val="24"/>
            <w:szCs w:val="24"/>
            <w:lang w:val="en-US"/>
          </w:rPr>
          <w:t>o</w:t>
        </w:r>
      </w:ins>
      <w:r w:rsidRPr="00C31320">
        <w:rPr>
          <w:rFonts w:ascii="Times New Roman" w:hAnsi="Times New Roman" w:cs="Times New Roman"/>
          <w:sz w:val="24"/>
          <w:szCs w:val="24"/>
          <w:lang w:val="en-US"/>
        </w:rPr>
        <w:t>n dates closer to administrative censorship or in ongoing treatments might ha</w:t>
      </w:r>
      <w:ins w:id="498" w:author="Mariel Mateo" w:date="2024-06-25T16:27:00Z" w16du:dateUtc="2024-06-25T06:27:00Z">
        <w:r w:rsidR="00B8472E">
          <w:rPr>
            <w:rFonts w:ascii="Times New Roman" w:hAnsi="Times New Roman" w:cs="Times New Roman"/>
            <w:sz w:val="24"/>
            <w:szCs w:val="24"/>
            <w:lang w:val="en-US"/>
          </w:rPr>
          <w:t>ve</w:t>
        </w:r>
      </w:ins>
      <w:del w:id="499" w:author="Mariel Mateo" w:date="2024-06-25T16:27:00Z" w16du:dateUtc="2024-06-25T06:27:00Z">
        <w:r w:rsidRPr="00C31320" w:rsidDel="00B8472E">
          <w:rPr>
            <w:rFonts w:ascii="Times New Roman" w:hAnsi="Times New Roman" w:cs="Times New Roman"/>
            <w:sz w:val="24"/>
            <w:szCs w:val="24"/>
            <w:lang w:val="en-US"/>
          </w:rPr>
          <w:delText>d</w:delText>
        </w:r>
      </w:del>
      <w:r w:rsidRPr="00C31320">
        <w:rPr>
          <w:rFonts w:ascii="Times New Roman" w:hAnsi="Times New Roman" w:cs="Times New Roman"/>
          <w:sz w:val="24"/>
          <w:szCs w:val="24"/>
          <w:lang w:val="en-US"/>
        </w:rPr>
        <w:t xml:space="preserve"> different characteristics that may change the inverse of the susceptibility of having recurrent </w:t>
      </w:r>
      <w:commentRangeStart w:id="500"/>
      <w:r w:rsidRPr="00C31320">
        <w:rPr>
          <w:rFonts w:ascii="Times New Roman" w:hAnsi="Times New Roman" w:cs="Times New Roman"/>
          <w:sz w:val="24"/>
          <w:szCs w:val="24"/>
          <w:lang w:val="en-US"/>
        </w:rPr>
        <w:t>treatments</w:t>
      </w:r>
      <w:commentRangeEnd w:id="500"/>
      <w:r w:rsidRPr="00C31320">
        <w:rPr>
          <w:rStyle w:val="Refdecomentario"/>
          <w:rFonts w:ascii="Times New Roman" w:eastAsia="Times New Roman" w:hAnsi="Times New Roman" w:cs="Times New Roman"/>
          <w:sz w:val="24"/>
          <w:szCs w:val="24"/>
          <w:lang w:eastAsia="es-ES_tradnl"/>
        </w:rPr>
        <w:commentReference w:id="500"/>
      </w:r>
      <w:r w:rsidRPr="00C31320">
        <w:rPr>
          <w:rFonts w:ascii="Times New Roman" w:hAnsi="Times New Roman" w:cs="Times New Roman"/>
          <w:sz w:val="24"/>
          <w:szCs w:val="24"/>
          <w:lang w:val="en-US"/>
        </w:rPr>
        <w:t>.</w:t>
      </w:r>
      <w:del w:id="501" w:author="Andrés González Santa Cruz" w:date="2024-06-25T16:24:00Z" w16du:dateUtc="2024-06-25T20:24:00Z">
        <w:r w:rsidRPr="00C31320" w:rsidDel="00765A31">
          <w:rPr>
            <w:rFonts w:ascii="Times New Roman" w:hAnsi="Times New Roman" w:cs="Times New Roman"/>
            <w:sz w:val="24"/>
            <w:szCs w:val="24"/>
            <w:lang w:val="en-US"/>
          </w:rPr>
          <w:delText xml:space="preserve"> </w:delText>
        </w:r>
      </w:del>
    </w:p>
    <w:p w14:paraId="5D8E5F35" w14:textId="77777777" w:rsidR="00C31320" w:rsidRDefault="00C31320" w:rsidP="00C31320">
      <w:pPr>
        <w:rPr>
          <w:rFonts w:ascii="Times New Roman" w:hAnsi="Times New Roman" w:cs="Times New Roman"/>
          <w:sz w:val="24"/>
          <w:szCs w:val="24"/>
          <w:lang w:val="en-US"/>
        </w:rPr>
      </w:pPr>
    </w:p>
    <w:p w14:paraId="5CDDA260" w14:textId="05CA91E3" w:rsidR="000135FE" w:rsidRPr="00F27C17" w:rsidRDefault="00F27C17" w:rsidP="00F27C17">
      <w:pPr>
        <w:pStyle w:val="Prrafodelista"/>
        <w:numPr>
          <w:ilvl w:val="0"/>
          <w:numId w:val="5"/>
        </w:numPr>
        <w:rPr>
          <w:rFonts w:ascii="Times New Roman" w:hAnsi="Times New Roman" w:cs="Times New Roman"/>
          <w:b/>
          <w:bCs/>
          <w:sz w:val="24"/>
          <w:szCs w:val="24"/>
          <w:lang w:val="en-US"/>
        </w:rPr>
      </w:pPr>
      <w:r w:rsidRPr="00F27C17">
        <w:rPr>
          <w:rFonts w:ascii="Times New Roman" w:hAnsi="Times New Roman" w:cs="Times New Roman"/>
          <w:b/>
          <w:bCs/>
          <w:sz w:val="24"/>
          <w:szCs w:val="24"/>
          <w:lang w:val="en-US"/>
        </w:rPr>
        <w:t>BIBLIOGRAPHY</w:t>
      </w:r>
    </w:p>
    <w:p w14:paraId="352C838A" w14:textId="77777777" w:rsidR="00F27C17" w:rsidRPr="00F27C17" w:rsidRDefault="00F27C17" w:rsidP="00F27C17">
      <w:pPr>
        <w:rPr>
          <w:rFonts w:ascii="Times New Roman" w:hAnsi="Times New Roman" w:cs="Times New Roman"/>
          <w:sz w:val="24"/>
          <w:szCs w:val="24"/>
          <w:lang w:val="en-US"/>
        </w:rPr>
      </w:pPr>
    </w:p>
    <w:p w14:paraId="6D39C50E" w14:textId="77777777" w:rsidR="00F27C17" w:rsidRPr="00F27C17" w:rsidRDefault="00F27C17" w:rsidP="00F27C17">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F27C17">
        <w:rPr>
          <w:rFonts w:ascii="Times New Roman" w:hAnsi="Times New Roman" w:cs="Times New Roman"/>
          <w:sz w:val="24"/>
        </w:rPr>
        <w:t xml:space="preserve">Andersson, H. W., Lauvsnes, A. D. F., &amp; Nordfjærn, T. (2021). Emerging Adults in Inpatient Substance Use Treatment: A Prospective Cohort Study of Patient Characteristics and Treatment Outcomes. </w:t>
      </w:r>
      <w:r w:rsidRPr="00F27C17">
        <w:rPr>
          <w:rFonts w:ascii="Times New Roman" w:hAnsi="Times New Roman" w:cs="Times New Roman"/>
          <w:i/>
          <w:iCs/>
          <w:sz w:val="24"/>
        </w:rPr>
        <w:t>European Addiction Research</w:t>
      </w:r>
      <w:r w:rsidRPr="00F27C17">
        <w:rPr>
          <w:rFonts w:ascii="Times New Roman" w:hAnsi="Times New Roman" w:cs="Times New Roman"/>
          <w:sz w:val="24"/>
        </w:rPr>
        <w:t xml:space="preserve">, </w:t>
      </w:r>
      <w:r w:rsidRPr="00F27C17">
        <w:rPr>
          <w:rFonts w:ascii="Times New Roman" w:hAnsi="Times New Roman" w:cs="Times New Roman"/>
          <w:i/>
          <w:iCs/>
          <w:sz w:val="24"/>
        </w:rPr>
        <w:t>27</w:t>
      </w:r>
      <w:r w:rsidRPr="00F27C17">
        <w:rPr>
          <w:rFonts w:ascii="Times New Roman" w:hAnsi="Times New Roman" w:cs="Times New Roman"/>
          <w:sz w:val="24"/>
        </w:rPr>
        <w:t>(3), 206–215. https://doi.org/10.1159/000512156</w:t>
      </w:r>
    </w:p>
    <w:p w14:paraId="5C499FA6"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Andersson, H. W., Steinsbekk, A., Walderhaug, E., Otterholt, E., &amp; Nordfjærn, T. (2018). Predictors of Dropout From Inpatient Substance Use Treatment: A Prospective Cohort Study. </w:t>
      </w:r>
      <w:r w:rsidRPr="00F27C17">
        <w:rPr>
          <w:rFonts w:ascii="Times New Roman" w:hAnsi="Times New Roman" w:cs="Times New Roman"/>
          <w:i/>
          <w:iCs/>
          <w:sz w:val="24"/>
        </w:rPr>
        <w:t>Substance Abuse: Research and Treatment</w:t>
      </w:r>
      <w:r w:rsidRPr="00F27C17">
        <w:rPr>
          <w:rFonts w:ascii="Times New Roman" w:hAnsi="Times New Roman" w:cs="Times New Roman"/>
          <w:sz w:val="24"/>
        </w:rPr>
        <w:t xml:space="preserve">, </w:t>
      </w:r>
      <w:r w:rsidRPr="00F27C17">
        <w:rPr>
          <w:rFonts w:ascii="Times New Roman" w:hAnsi="Times New Roman" w:cs="Times New Roman"/>
          <w:i/>
          <w:iCs/>
          <w:sz w:val="24"/>
        </w:rPr>
        <w:t>12</w:t>
      </w:r>
      <w:r w:rsidRPr="00F27C17">
        <w:rPr>
          <w:rFonts w:ascii="Times New Roman" w:hAnsi="Times New Roman" w:cs="Times New Roman"/>
          <w:sz w:val="24"/>
        </w:rPr>
        <w:t>, 1178221818760551. https://doi.org/10.1177/1178221818760551</w:t>
      </w:r>
    </w:p>
    <w:p w14:paraId="0F7E7CF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Andersson, H. W., Wenaas, M., &amp; Nordfjærn, T. (2019). Relapse after inpatient substance use treatment: A prospective cohort study among users of illicit substances. </w:t>
      </w:r>
      <w:r w:rsidRPr="00F27C17">
        <w:rPr>
          <w:rFonts w:ascii="Times New Roman" w:hAnsi="Times New Roman" w:cs="Times New Roman"/>
          <w:i/>
          <w:iCs/>
          <w:sz w:val="24"/>
        </w:rPr>
        <w:t>Addictive Behaviors</w:t>
      </w:r>
      <w:r w:rsidRPr="00F27C17">
        <w:rPr>
          <w:rFonts w:ascii="Times New Roman" w:hAnsi="Times New Roman" w:cs="Times New Roman"/>
          <w:sz w:val="24"/>
        </w:rPr>
        <w:t xml:space="preserve">, </w:t>
      </w:r>
      <w:r w:rsidRPr="00F27C17">
        <w:rPr>
          <w:rFonts w:ascii="Times New Roman" w:hAnsi="Times New Roman" w:cs="Times New Roman"/>
          <w:i/>
          <w:iCs/>
          <w:sz w:val="24"/>
        </w:rPr>
        <w:t>90</w:t>
      </w:r>
      <w:r w:rsidRPr="00F27C17">
        <w:rPr>
          <w:rFonts w:ascii="Times New Roman" w:hAnsi="Times New Roman" w:cs="Times New Roman"/>
          <w:sz w:val="24"/>
        </w:rPr>
        <w:t>, 222–228. https://doi.org/10.1016/j.addbeh.2018.11.008</w:t>
      </w:r>
    </w:p>
    <w:p w14:paraId="028E0660"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Babor, T. F. (2021). Treatment Systems for Population Management of Substance Use Disorders: Requirements and Priorities from a Public Health Perspective. In N. el-Guebaly, G. Carrà, M. Galanter, &amp; A. M. Baldacchino (Eds.), </w:t>
      </w:r>
      <w:r w:rsidRPr="00F27C17">
        <w:rPr>
          <w:rFonts w:ascii="Times New Roman" w:hAnsi="Times New Roman" w:cs="Times New Roman"/>
          <w:i/>
          <w:iCs/>
          <w:sz w:val="24"/>
        </w:rPr>
        <w:t>Textbook of Addiction Treatment: International Perspectives</w:t>
      </w:r>
      <w:r w:rsidRPr="00F27C17">
        <w:rPr>
          <w:rFonts w:ascii="Times New Roman" w:hAnsi="Times New Roman" w:cs="Times New Roman"/>
          <w:sz w:val="24"/>
        </w:rPr>
        <w:t xml:space="preserve"> (pp. 553–567). Springer International Publishing. https://doi.org/10.1007/978-3-030-36391-8_39</w:t>
      </w:r>
    </w:p>
    <w:p w14:paraId="1D974C2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Basu, D., Ghosh, A., Sarkar, S., Patra, B. N., Subodh, B. N., &amp; Mattoo, S. K. (2017). Initial treatment dropout in patients with substance use disorders attending a tertiary care de-addiction centre in north India. </w:t>
      </w:r>
      <w:r w:rsidRPr="00F27C17">
        <w:rPr>
          <w:rFonts w:ascii="Times New Roman" w:hAnsi="Times New Roman" w:cs="Times New Roman"/>
          <w:i/>
          <w:iCs/>
          <w:sz w:val="24"/>
        </w:rPr>
        <w:t>The Indian Journal of Medical Research</w:t>
      </w:r>
      <w:r w:rsidRPr="00F27C17">
        <w:rPr>
          <w:rFonts w:ascii="Times New Roman" w:hAnsi="Times New Roman" w:cs="Times New Roman"/>
          <w:sz w:val="24"/>
        </w:rPr>
        <w:t xml:space="preserve">, </w:t>
      </w:r>
      <w:r w:rsidRPr="00F27C17">
        <w:rPr>
          <w:rFonts w:ascii="Times New Roman" w:hAnsi="Times New Roman" w:cs="Times New Roman"/>
          <w:i/>
          <w:iCs/>
          <w:sz w:val="24"/>
        </w:rPr>
        <w:t>146</w:t>
      </w:r>
      <w:r w:rsidRPr="00F27C17">
        <w:rPr>
          <w:rFonts w:ascii="Times New Roman" w:hAnsi="Times New Roman" w:cs="Times New Roman"/>
          <w:sz w:val="24"/>
        </w:rPr>
        <w:t>(Supplement), S77–S84. https://doi.org/10.4103/ijmr.IJMR_1309_15</w:t>
      </w:r>
    </w:p>
    <w:p w14:paraId="5050F4EB"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Beaulieu, M., Tremblay, J., &amp; Bertrand, K. (2022). Adjustments to Service Organization in Specialized Addiction Services and Clinical Strategies for Better Meeting the Needs </w:t>
      </w:r>
      <w:r w:rsidRPr="00F27C17">
        <w:rPr>
          <w:rFonts w:ascii="Times New Roman" w:hAnsi="Times New Roman" w:cs="Times New Roman"/>
          <w:sz w:val="24"/>
        </w:rPr>
        <w:lastRenderedPageBreak/>
        <w:t xml:space="preserve">of People with a Persistent Substance Use Disorder. </w:t>
      </w:r>
      <w:r w:rsidRPr="00F27C17">
        <w:rPr>
          <w:rFonts w:ascii="Times New Roman" w:hAnsi="Times New Roman" w:cs="Times New Roman"/>
          <w:i/>
          <w:iCs/>
          <w:sz w:val="24"/>
        </w:rPr>
        <w:t>International Journal of Mental Health and Addiction</w:t>
      </w:r>
      <w:r w:rsidRPr="00F27C17">
        <w:rPr>
          <w:rFonts w:ascii="Times New Roman" w:hAnsi="Times New Roman" w:cs="Times New Roman"/>
          <w:sz w:val="24"/>
        </w:rPr>
        <w:t>. https://doi.org/10.1007/s11469-022-00982-z</w:t>
      </w:r>
    </w:p>
    <w:p w14:paraId="4CD0C52B"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sidRPr="00F27C17">
        <w:rPr>
          <w:rFonts w:ascii="Times New Roman" w:hAnsi="Times New Roman" w:cs="Times New Roman"/>
          <w:i/>
          <w:iCs/>
          <w:sz w:val="24"/>
        </w:rPr>
        <w:t>Addictive Behaviors Reports</w:t>
      </w:r>
      <w:r w:rsidRPr="00F27C17">
        <w:rPr>
          <w:rFonts w:ascii="Times New Roman" w:hAnsi="Times New Roman" w:cs="Times New Roman"/>
          <w:sz w:val="24"/>
        </w:rPr>
        <w:t xml:space="preserve">, </w:t>
      </w:r>
      <w:r w:rsidRPr="00F27C17">
        <w:rPr>
          <w:rFonts w:ascii="Times New Roman" w:hAnsi="Times New Roman" w:cs="Times New Roman"/>
          <w:i/>
          <w:iCs/>
          <w:sz w:val="24"/>
        </w:rPr>
        <w:t>18</w:t>
      </w:r>
      <w:r w:rsidRPr="00F27C17">
        <w:rPr>
          <w:rFonts w:ascii="Times New Roman" w:hAnsi="Times New Roman" w:cs="Times New Roman"/>
          <w:sz w:val="24"/>
        </w:rPr>
        <w:t>, 100512. https://doi.org/10.1016/j.abrep.2023.100512</w:t>
      </w:r>
    </w:p>
    <w:p w14:paraId="0028EEB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Bonfiglio, N. S., Portoghese, I., Renati, R., Mascia, M. L., &amp; Penna, M. P. (2022). Polysubstance Use Patterns among Outpatients Undergoing Substance Use Disorder Treatment: A Latent Class Analysis. </w:t>
      </w:r>
      <w:r w:rsidRPr="00F27C17">
        <w:rPr>
          <w:rFonts w:ascii="Times New Roman" w:hAnsi="Times New Roman" w:cs="Times New Roman"/>
          <w:i/>
          <w:iCs/>
          <w:sz w:val="24"/>
        </w:rPr>
        <w:t>International Journal of Environmental Research and Public Health</w:t>
      </w:r>
      <w:r w:rsidRPr="00F27C17">
        <w:rPr>
          <w:rFonts w:ascii="Times New Roman" w:hAnsi="Times New Roman" w:cs="Times New Roman"/>
          <w:sz w:val="24"/>
        </w:rPr>
        <w:t xml:space="preserve">, </w:t>
      </w:r>
      <w:r w:rsidRPr="00F27C17">
        <w:rPr>
          <w:rFonts w:ascii="Times New Roman" w:hAnsi="Times New Roman" w:cs="Times New Roman"/>
          <w:i/>
          <w:iCs/>
          <w:sz w:val="24"/>
        </w:rPr>
        <w:t>19</w:t>
      </w:r>
      <w:r w:rsidRPr="00F27C17">
        <w:rPr>
          <w:rFonts w:ascii="Times New Roman" w:hAnsi="Times New Roman" w:cs="Times New Roman"/>
          <w:sz w:val="24"/>
        </w:rPr>
        <w:t>(24), Article 24. https://doi.org/10.3390/ijerph192416759</w:t>
      </w:r>
    </w:p>
    <w:p w14:paraId="3D5BCCF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Bórquez, I., Cerdá, M., González-Santa Cruz, A., Krawczyk, N., &amp; Castillo-Carniglia, Á. (2024). </w:t>
      </w:r>
      <w:r w:rsidRPr="00F27C17">
        <w:rPr>
          <w:rFonts w:ascii="Times New Roman" w:hAnsi="Times New Roman" w:cs="Times New Roman"/>
          <w:sz w:val="24"/>
        </w:rPr>
        <w:t xml:space="preserve">Longitudinal trajectories of substance use disorder treatment use: A latent class growth analysis using a national cohort in Chile. </w:t>
      </w:r>
      <w:r w:rsidRPr="00F27C17">
        <w:rPr>
          <w:rFonts w:ascii="Times New Roman" w:hAnsi="Times New Roman" w:cs="Times New Roman"/>
          <w:i/>
          <w:iCs/>
          <w:sz w:val="24"/>
        </w:rPr>
        <w:t>Addiction (Abingdon, England)</w:t>
      </w:r>
      <w:r w:rsidRPr="00F27C17">
        <w:rPr>
          <w:rFonts w:ascii="Times New Roman" w:hAnsi="Times New Roman" w:cs="Times New Roman"/>
          <w:sz w:val="24"/>
        </w:rPr>
        <w:t xml:space="preserve">, </w:t>
      </w:r>
      <w:r w:rsidRPr="00F27C17">
        <w:rPr>
          <w:rFonts w:ascii="Times New Roman" w:hAnsi="Times New Roman" w:cs="Times New Roman"/>
          <w:i/>
          <w:iCs/>
          <w:sz w:val="24"/>
        </w:rPr>
        <w:t>119</w:t>
      </w:r>
      <w:r w:rsidRPr="00F27C17">
        <w:rPr>
          <w:rFonts w:ascii="Times New Roman" w:hAnsi="Times New Roman" w:cs="Times New Roman"/>
          <w:sz w:val="24"/>
        </w:rPr>
        <w:t>(4), 753–765. https://doi.org/10.1111/add.16412</w:t>
      </w:r>
    </w:p>
    <w:p w14:paraId="05D3B0D9"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Bunting, A. M., Shearer, R., Linden-Carmichael, A. N., Williams, A. R., Comer, S. D., Cerdá, M., &amp; Lorvick, J. (2023). Are you thinking what I’m thinking? Defining what we mean by “polysubstance use.” </w:t>
      </w:r>
      <w:r w:rsidRPr="00F27C17">
        <w:rPr>
          <w:rFonts w:ascii="Times New Roman" w:hAnsi="Times New Roman" w:cs="Times New Roman"/>
          <w:i/>
          <w:iCs/>
          <w:sz w:val="24"/>
        </w:rPr>
        <w:t>The American Journal of Drug and Alcohol Abuse</w:t>
      </w:r>
      <w:r w:rsidRPr="00F27C17">
        <w:rPr>
          <w:rFonts w:ascii="Times New Roman" w:hAnsi="Times New Roman" w:cs="Times New Roman"/>
          <w:sz w:val="24"/>
        </w:rPr>
        <w:t xml:space="preserve">, </w:t>
      </w:r>
      <w:r w:rsidRPr="00F27C17">
        <w:rPr>
          <w:rFonts w:ascii="Times New Roman" w:hAnsi="Times New Roman" w:cs="Times New Roman"/>
          <w:i/>
          <w:iCs/>
          <w:sz w:val="24"/>
        </w:rPr>
        <w:t>0</w:t>
      </w:r>
      <w:r w:rsidRPr="00F27C17">
        <w:rPr>
          <w:rFonts w:ascii="Times New Roman" w:hAnsi="Times New Roman" w:cs="Times New Roman"/>
          <w:sz w:val="24"/>
        </w:rPr>
        <w:t>(0), 1–7. https://doi.org/10.1080/00952990.2023.2248360</w:t>
      </w:r>
    </w:p>
    <w:p w14:paraId="253439C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w:t>
      </w:r>
      <w:r w:rsidRPr="00F27C17">
        <w:rPr>
          <w:rFonts w:ascii="Times New Roman" w:hAnsi="Times New Roman" w:cs="Times New Roman"/>
          <w:sz w:val="24"/>
        </w:rPr>
        <w:lastRenderedPageBreak/>
        <w:t xml:space="preserve">function in observational studies using routine health care data: Methodological and reporting considerations. </w:t>
      </w:r>
      <w:r w:rsidRPr="00F27C17">
        <w:rPr>
          <w:rFonts w:ascii="Times New Roman" w:hAnsi="Times New Roman" w:cs="Times New Roman"/>
          <w:i/>
          <w:iCs/>
          <w:sz w:val="24"/>
        </w:rPr>
        <w:t>Kidney International</w:t>
      </w:r>
      <w:r w:rsidRPr="00F27C17">
        <w:rPr>
          <w:rFonts w:ascii="Times New Roman" w:hAnsi="Times New Roman" w:cs="Times New Roman"/>
          <w:sz w:val="24"/>
        </w:rPr>
        <w:t xml:space="preserve">, </w:t>
      </w:r>
      <w:r w:rsidRPr="00F27C17">
        <w:rPr>
          <w:rFonts w:ascii="Times New Roman" w:hAnsi="Times New Roman" w:cs="Times New Roman"/>
          <w:i/>
          <w:iCs/>
          <w:sz w:val="24"/>
        </w:rPr>
        <w:t>103</w:t>
      </w:r>
      <w:r w:rsidRPr="00F27C17">
        <w:rPr>
          <w:rFonts w:ascii="Times New Roman" w:hAnsi="Times New Roman" w:cs="Times New Roman"/>
          <w:sz w:val="24"/>
        </w:rPr>
        <w:t>(1), 53–69. https://doi.org/10.1016/j.kint.2022.09.020</w:t>
      </w:r>
    </w:p>
    <w:p w14:paraId="5F98F23D"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sidRPr="00F27C17">
        <w:rPr>
          <w:rFonts w:ascii="Times New Roman" w:hAnsi="Times New Roman" w:cs="Times New Roman"/>
          <w:i/>
          <w:iCs/>
          <w:sz w:val="24"/>
        </w:rPr>
        <w:t>The Lancet Psychiatry</w:t>
      </w:r>
      <w:r w:rsidRPr="00F27C17">
        <w:rPr>
          <w:rFonts w:ascii="Times New Roman" w:hAnsi="Times New Roman" w:cs="Times New Roman"/>
          <w:sz w:val="24"/>
        </w:rPr>
        <w:t xml:space="preserve">, </w:t>
      </w:r>
      <w:r w:rsidRPr="00F27C17">
        <w:rPr>
          <w:rFonts w:ascii="Times New Roman" w:hAnsi="Times New Roman" w:cs="Times New Roman"/>
          <w:i/>
          <w:iCs/>
          <w:sz w:val="24"/>
        </w:rPr>
        <w:t>10</w:t>
      </w:r>
      <w:r w:rsidRPr="00F27C17">
        <w:rPr>
          <w:rFonts w:ascii="Times New Roman" w:hAnsi="Times New Roman" w:cs="Times New Roman"/>
          <w:sz w:val="24"/>
        </w:rPr>
        <w:t>(2), 85–97. https://doi.org/10.1016/S2215-0366(22)00339-X</w:t>
      </w:r>
    </w:p>
    <w:p w14:paraId="0991E66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Chen, T., Zhong, N., Du, J., Li, Z., Zhao, Y., Sun, H., Chen, Z., Jiang, H., &amp; Zhao, M. (2019). Polydrug use patterns and their impact on relapse among heroin-dependent patients in Shanghai, China. </w:t>
      </w:r>
      <w:r w:rsidRPr="00F27C17">
        <w:rPr>
          <w:rFonts w:ascii="Times New Roman" w:hAnsi="Times New Roman" w:cs="Times New Roman"/>
          <w:i/>
          <w:iCs/>
          <w:sz w:val="24"/>
        </w:rPr>
        <w:t>Addiction</w:t>
      </w:r>
      <w:r w:rsidRPr="00F27C17">
        <w:rPr>
          <w:rFonts w:ascii="Times New Roman" w:hAnsi="Times New Roman" w:cs="Times New Roman"/>
          <w:sz w:val="24"/>
        </w:rPr>
        <w:t xml:space="preserve">, </w:t>
      </w:r>
      <w:r w:rsidRPr="00F27C17">
        <w:rPr>
          <w:rFonts w:ascii="Times New Roman" w:hAnsi="Times New Roman" w:cs="Times New Roman"/>
          <w:i/>
          <w:iCs/>
          <w:sz w:val="24"/>
        </w:rPr>
        <w:t>114</w:t>
      </w:r>
      <w:r w:rsidRPr="00F27C17">
        <w:rPr>
          <w:rFonts w:ascii="Times New Roman" w:hAnsi="Times New Roman" w:cs="Times New Roman"/>
          <w:sz w:val="24"/>
        </w:rPr>
        <w:t>(2), 259–267. https://doi.org/10.1111/add.14451</w:t>
      </w:r>
    </w:p>
    <w:p w14:paraId="3D41BC63"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Choi, H. J., Grigorian, H., Garner, A., Stuart, G. L., &amp; Temple, J. R. (2022). Polydrug Use and Dating Violence Among Emerging Adults. </w:t>
      </w:r>
      <w:r w:rsidRPr="00F27C17">
        <w:rPr>
          <w:rFonts w:ascii="Times New Roman" w:hAnsi="Times New Roman" w:cs="Times New Roman"/>
          <w:i/>
          <w:iCs/>
          <w:sz w:val="24"/>
        </w:rPr>
        <w:t>Journal of Interpersonal Violence</w:t>
      </w:r>
      <w:r w:rsidRPr="00F27C17">
        <w:rPr>
          <w:rFonts w:ascii="Times New Roman" w:hAnsi="Times New Roman" w:cs="Times New Roman"/>
          <w:sz w:val="24"/>
        </w:rPr>
        <w:t xml:space="preserve">, </w:t>
      </w:r>
      <w:r w:rsidRPr="00F27C17">
        <w:rPr>
          <w:rFonts w:ascii="Times New Roman" w:hAnsi="Times New Roman" w:cs="Times New Roman"/>
          <w:i/>
          <w:iCs/>
          <w:sz w:val="24"/>
        </w:rPr>
        <w:t>37</w:t>
      </w:r>
      <w:r w:rsidRPr="00F27C17">
        <w:rPr>
          <w:rFonts w:ascii="Times New Roman" w:hAnsi="Times New Roman" w:cs="Times New Roman"/>
          <w:sz w:val="24"/>
        </w:rPr>
        <w:t>(5–6), 2190–2217. https://doi.org/10.1177/0886260520934427</w:t>
      </w:r>
    </w:p>
    <w:p w14:paraId="1DE5052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Choi, N. G., &amp; DiNitto, D. M. (2020). Older-Adult Marijuana Users in Substance Use Treatment: Characteristics Associated with Treatment Completion. </w:t>
      </w:r>
      <w:r w:rsidRPr="00F27C17">
        <w:rPr>
          <w:rFonts w:ascii="Times New Roman" w:hAnsi="Times New Roman" w:cs="Times New Roman"/>
          <w:i/>
          <w:iCs/>
          <w:sz w:val="24"/>
        </w:rPr>
        <w:t>Journal of Psychoactive Drugs</w:t>
      </w:r>
      <w:r w:rsidRPr="00F27C17">
        <w:rPr>
          <w:rFonts w:ascii="Times New Roman" w:hAnsi="Times New Roman" w:cs="Times New Roman"/>
          <w:sz w:val="24"/>
        </w:rPr>
        <w:t xml:space="preserve">, </w:t>
      </w:r>
      <w:r w:rsidRPr="00F27C17">
        <w:rPr>
          <w:rFonts w:ascii="Times New Roman" w:hAnsi="Times New Roman" w:cs="Times New Roman"/>
          <w:i/>
          <w:iCs/>
          <w:sz w:val="24"/>
        </w:rPr>
        <w:t>52</w:t>
      </w:r>
      <w:r w:rsidRPr="00F27C17">
        <w:rPr>
          <w:rFonts w:ascii="Times New Roman" w:hAnsi="Times New Roman" w:cs="Times New Roman"/>
          <w:sz w:val="24"/>
        </w:rPr>
        <w:t>(3), 218–227. https://doi.org/10.1080/02791072.2020.1745966</w:t>
      </w:r>
    </w:p>
    <w:p w14:paraId="76042F57"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Cole, S. R., &amp; Hernán, M. A. (2008). Constructing Inverse Probability Weights for Marginal Structural Models. </w:t>
      </w:r>
      <w:r w:rsidRPr="00F27C17">
        <w:rPr>
          <w:rFonts w:ascii="Times New Roman" w:hAnsi="Times New Roman" w:cs="Times New Roman"/>
          <w:i/>
          <w:iCs/>
          <w:sz w:val="24"/>
        </w:rPr>
        <w:t>American Journal of Epidemiology</w:t>
      </w:r>
      <w:r w:rsidRPr="00F27C17">
        <w:rPr>
          <w:rFonts w:ascii="Times New Roman" w:hAnsi="Times New Roman" w:cs="Times New Roman"/>
          <w:sz w:val="24"/>
        </w:rPr>
        <w:t xml:space="preserve">, </w:t>
      </w:r>
      <w:r w:rsidRPr="00F27C17">
        <w:rPr>
          <w:rFonts w:ascii="Times New Roman" w:hAnsi="Times New Roman" w:cs="Times New Roman"/>
          <w:i/>
          <w:iCs/>
          <w:sz w:val="24"/>
        </w:rPr>
        <w:t>168</w:t>
      </w:r>
      <w:r w:rsidRPr="00F27C17">
        <w:rPr>
          <w:rFonts w:ascii="Times New Roman" w:hAnsi="Times New Roman" w:cs="Times New Roman"/>
          <w:sz w:val="24"/>
        </w:rPr>
        <w:t>(6), 656–664. https://doi.org/10.1093/aje/kwn164</w:t>
      </w:r>
    </w:p>
    <w:p w14:paraId="19990BF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Connor, J. P., Gullo, M. J., White, A., &amp; Kelly, A. B. (2014). Polysubstance use: Diagnostic challenges, patterns of use and health. </w:t>
      </w:r>
      <w:r w:rsidRPr="00F27C17">
        <w:rPr>
          <w:rFonts w:ascii="Times New Roman" w:hAnsi="Times New Roman" w:cs="Times New Roman"/>
          <w:i/>
          <w:iCs/>
          <w:sz w:val="24"/>
        </w:rPr>
        <w:t>Current Opinion in Psychiatry</w:t>
      </w:r>
      <w:r w:rsidRPr="00F27C17">
        <w:rPr>
          <w:rFonts w:ascii="Times New Roman" w:hAnsi="Times New Roman" w:cs="Times New Roman"/>
          <w:sz w:val="24"/>
        </w:rPr>
        <w:t xml:space="preserve">, </w:t>
      </w:r>
      <w:r w:rsidRPr="00F27C17">
        <w:rPr>
          <w:rFonts w:ascii="Times New Roman" w:hAnsi="Times New Roman" w:cs="Times New Roman"/>
          <w:i/>
          <w:iCs/>
          <w:sz w:val="24"/>
        </w:rPr>
        <w:t>27</w:t>
      </w:r>
      <w:r w:rsidRPr="00F27C17">
        <w:rPr>
          <w:rFonts w:ascii="Times New Roman" w:hAnsi="Times New Roman" w:cs="Times New Roman"/>
          <w:sz w:val="24"/>
        </w:rPr>
        <w:t>(4), 269. https://doi.org/10.1097/YCO.0000000000000069</w:t>
      </w:r>
    </w:p>
    <w:p w14:paraId="1F6C401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Crummy, E. A., O’Neal, T. J., Baskin, B. M., &amp; Ferguson, S. M. (2020). One Is Not Enough: Understanding and Modeling Polysubstance Use. </w:t>
      </w:r>
      <w:r w:rsidRPr="00F27C17">
        <w:rPr>
          <w:rFonts w:ascii="Times New Roman" w:hAnsi="Times New Roman" w:cs="Times New Roman"/>
          <w:i/>
          <w:iCs/>
          <w:sz w:val="24"/>
        </w:rPr>
        <w:t>Frontiers in Neuroscience</w:t>
      </w:r>
      <w:r w:rsidRPr="00F27C17">
        <w:rPr>
          <w:rFonts w:ascii="Times New Roman" w:hAnsi="Times New Roman" w:cs="Times New Roman"/>
          <w:sz w:val="24"/>
        </w:rPr>
        <w:t xml:space="preserve">, </w:t>
      </w:r>
      <w:r w:rsidRPr="00F27C17">
        <w:rPr>
          <w:rFonts w:ascii="Times New Roman" w:hAnsi="Times New Roman" w:cs="Times New Roman"/>
          <w:i/>
          <w:iCs/>
          <w:sz w:val="24"/>
        </w:rPr>
        <w:t>14</w:t>
      </w:r>
      <w:r w:rsidRPr="00F27C17">
        <w:rPr>
          <w:rFonts w:ascii="Times New Roman" w:hAnsi="Times New Roman" w:cs="Times New Roman"/>
          <w:sz w:val="24"/>
        </w:rPr>
        <w:t>. https://www.frontiersin.org/articles/10.3389/fnins.2020.00569</w:t>
      </w:r>
    </w:p>
    <w:p w14:paraId="16E4ACBF"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sidRPr="00F27C17">
        <w:rPr>
          <w:rFonts w:ascii="Times New Roman" w:hAnsi="Times New Roman" w:cs="Times New Roman"/>
          <w:i/>
          <w:iCs/>
          <w:sz w:val="24"/>
          <w:lang w:val="es-CL"/>
        </w:rPr>
        <w:t>The Lancet HIV</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1</w:t>
      </w:r>
      <w:r w:rsidRPr="00F27C17">
        <w:rPr>
          <w:rFonts w:ascii="Times New Roman" w:hAnsi="Times New Roman" w:cs="Times New Roman"/>
          <w:sz w:val="24"/>
          <w:lang w:val="es-CL"/>
        </w:rPr>
        <w:t>(1), e22–e31. https://doi.org/10.1016/S2352-3018(14)70001-3</w:t>
      </w:r>
    </w:p>
    <w:p w14:paraId="5DC3D9CD"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lang w:val="es-CL"/>
        </w:rPr>
        <w:t xml:space="preserve">DIPRES. (2017). </w:t>
      </w:r>
      <w:r w:rsidRPr="00F27C17">
        <w:rPr>
          <w:rFonts w:ascii="Times New Roman" w:hAnsi="Times New Roman" w:cs="Times New Roman"/>
          <w:i/>
          <w:iCs/>
          <w:sz w:val="24"/>
          <w:lang w:val="es-CL"/>
        </w:rPr>
        <w:t>Informe Final: Evaluación de resultados de los programas de tratamiento y rehabilitación del Servicio Nacional para la Prevención y Rehabilitación del Consumo de Drogas y Alcohol, SENDA.</w:t>
      </w:r>
    </w:p>
    <w:p w14:paraId="3D877313"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lang w:val="es-CL"/>
        </w:rPr>
        <w:t xml:space="preserve">Fiestas, F., &amp; Ponce, J. (2012). Eficacia de las comunidades terapéuticas en el tratamiento de problemas por uso de sustancias psicoactivas: Una revisión sistemática. </w:t>
      </w:r>
      <w:r w:rsidRPr="00F27C17">
        <w:rPr>
          <w:rFonts w:ascii="Times New Roman" w:hAnsi="Times New Roman" w:cs="Times New Roman"/>
          <w:i/>
          <w:iCs/>
          <w:sz w:val="24"/>
          <w:lang w:val="es-CL"/>
        </w:rPr>
        <w:t>Revista Peruana de Medicina Experimental y Salud Publica</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29</w:t>
      </w:r>
      <w:r w:rsidRPr="00F27C17">
        <w:rPr>
          <w:rFonts w:ascii="Times New Roman" w:hAnsi="Times New Roman" w:cs="Times New Roman"/>
          <w:sz w:val="24"/>
          <w:lang w:val="es-CL"/>
        </w:rPr>
        <w:t>(1), 12–20.</w:t>
      </w:r>
    </w:p>
    <w:p w14:paraId="1056856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Fleury, M.-J., Djouini, A., Huỳnh, C., Tremblay, J., Ferland, F., Ménard, J.-M., &amp; Belleville, G. (2016). </w:t>
      </w:r>
      <w:r w:rsidRPr="00F27C17">
        <w:rPr>
          <w:rFonts w:ascii="Times New Roman" w:hAnsi="Times New Roman" w:cs="Times New Roman"/>
          <w:sz w:val="24"/>
        </w:rPr>
        <w:t xml:space="preserve">Remission from substance use disorders: A systematic review and meta-analysis.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168</w:t>
      </w:r>
      <w:r w:rsidRPr="00F27C17">
        <w:rPr>
          <w:rFonts w:ascii="Times New Roman" w:hAnsi="Times New Roman" w:cs="Times New Roman"/>
          <w:sz w:val="24"/>
        </w:rPr>
        <w:t>, 293–306. https://doi.org/10.1016/j.drugalcdep.2016.08.625</w:t>
      </w:r>
    </w:p>
    <w:p w14:paraId="6249AB8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Font-Mayolas, S., &amp; Calvo, F. (2022). Polydrug Definition and Assessment: The State of the Art. </w:t>
      </w:r>
      <w:r w:rsidRPr="00F27C17">
        <w:rPr>
          <w:rFonts w:ascii="Times New Roman" w:hAnsi="Times New Roman" w:cs="Times New Roman"/>
          <w:i/>
          <w:iCs/>
          <w:sz w:val="24"/>
        </w:rPr>
        <w:t>International Journal of Environmental Research and Public Health</w:t>
      </w:r>
      <w:r w:rsidRPr="00F27C17">
        <w:rPr>
          <w:rFonts w:ascii="Times New Roman" w:hAnsi="Times New Roman" w:cs="Times New Roman"/>
          <w:sz w:val="24"/>
        </w:rPr>
        <w:t xml:space="preserve">, </w:t>
      </w:r>
      <w:r w:rsidRPr="00F27C17">
        <w:rPr>
          <w:rFonts w:ascii="Times New Roman" w:hAnsi="Times New Roman" w:cs="Times New Roman"/>
          <w:i/>
          <w:iCs/>
          <w:sz w:val="24"/>
        </w:rPr>
        <w:t>19</w:t>
      </w:r>
      <w:r w:rsidRPr="00F27C17">
        <w:rPr>
          <w:rFonts w:ascii="Times New Roman" w:hAnsi="Times New Roman" w:cs="Times New Roman"/>
          <w:sz w:val="24"/>
        </w:rPr>
        <w:t>(20), Article 20. https://doi.org/10.3390/ijerph192013542</w:t>
      </w:r>
    </w:p>
    <w:p w14:paraId="3F45EFF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Gjersing, L., &amp; Bretteville-Jensen, A. L. (2018). Patterns of substance use and mortality risk in a cohort of ‘hard-to-reach’ polysubstance users. </w:t>
      </w:r>
      <w:r w:rsidRPr="00F27C17">
        <w:rPr>
          <w:rFonts w:ascii="Times New Roman" w:hAnsi="Times New Roman" w:cs="Times New Roman"/>
          <w:i/>
          <w:iCs/>
          <w:sz w:val="24"/>
        </w:rPr>
        <w:t>Addiction</w:t>
      </w:r>
      <w:r w:rsidRPr="00F27C17">
        <w:rPr>
          <w:rFonts w:ascii="Times New Roman" w:hAnsi="Times New Roman" w:cs="Times New Roman"/>
          <w:sz w:val="24"/>
        </w:rPr>
        <w:t xml:space="preserve">, </w:t>
      </w:r>
      <w:r w:rsidRPr="00F27C17">
        <w:rPr>
          <w:rFonts w:ascii="Times New Roman" w:hAnsi="Times New Roman" w:cs="Times New Roman"/>
          <w:i/>
          <w:iCs/>
          <w:sz w:val="24"/>
        </w:rPr>
        <w:t>113</w:t>
      </w:r>
      <w:r w:rsidRPr="00F27C17">
        <w:rPr>
          <w:rFonts w:ascii="Times New Roman" w:hAnsi="Times New Roman" w:cs="Times New Roman"/>
          <w:sz w:val="24"/>
        </w:rPr>
        <w:t>(4), 729–739. https://doi.org/10.1111/add.14053</w:t>
      </w:r>
    </w:p>
    <w:p w14:paraId="7914EBF1"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Grafféo, N., Latouche, A., Geskus, R. B., &amp; Chevret, S. (2018). Modeling time-varying exposure using inverse probability of treatment weights. </w:t>
      </w:r>
      <w:r w:rsidRPr="00F27C17">
        <w:rPr>
          <w:rFonts w:ascii="Times New Roman" w:hAnsi="Times New Roman" w:cs="Times New Roman"/>
          <w:i/>
          <w:iCs/>
          <w:sz w:val="24"/>
        </w:rPr>
        <w:t>Biometrical Journal</w:t>
      </w:r>
      <w:r w:rsidRPr="00F27C17">
        <w:rPr>
          <w:rFonts w:ascii="Times New Roman" w:hAnsi="Times New Roman" w:cs="Times New Roman"/>
          <w:sz w:val="24"/>
        </w:rPr>
        <w:t xml:space="preserve">, </w:t>
      </w:r>
      <w:r w:rsidRPr="00F27C17">
        <w:rPr>
          <w:rFonts w:ascii="Times New Roman" w:hAnsi="Times New Roman" w:cs="Times New Roman"/>
          <w:i/>
          <w:iCs/>
          <w:sz w:val="24"/>
        </w:rPr>
        <w:t>60</w:t>
      </w:r>
      <w:r w:rsidRPr="00F27C17">
        <w:rPr>
          <w:rFonts w:ascii="Times New Roman" w:hAnsi="Times New Roman" w:cs="Times New Roman"/>
          <w:sz w:val="24"/>
        </w:rPr>
        <w:t>(2), 323–332. https://doi.org/10.1002/bimj.201600223</w:t>
      </w:r>
    </w:p>
    <w:p w14:paraId="32AC6261"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Griffin, B. A., Ramchand, R., Almirall, D., Slaughter, M. E., Burgette, L. F., &amp; McCaffery, D. F. (2014). Estimating the causal effects of cumulative treatment episodes for adolescents using marginal structural models and inverse probability of treatment weighting.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136</w:t>
      </w:r>
      <w:r w:rsidRPr="00F27C17">
        <w:rPr>
          <w:rFonts w:ascii="Times New Roman" w:hAnsi="Times New Roman" w:cs="Times New Roman"/>
          <w:sz w:val="24"/>
        </w:rPr>
        <w:t>, 69–78. https://doi.org/10.1016/j.drugalcdep.2013.12.017</w:t>
      </w:r>
    </w:p>
    <w:p w14:paraId="1A46F763"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Hansen, E. M., Mejldal, A., &amp; Nielsen, A. S. (2020). Predictors of Readmission Following Outpatient Treatment for Alcohol Use Disorder. </w:t>
      </w:r>
      <w:r w:rsidRPr="00F27C17">
        <w:rPr>
          <w:rFonts w:ascii="Times New Roman" w:hAnsi="Times New Roman" w:cs="Times New Roman"/>
          <w:i/>
          <w:iCs/>
          <w:sz w:val="24"/>
        </w:rPr>
        <w:t>Alcohol and Alcoholism</w:t>
      </w:r>
      <w:r w:rsidRPr="00F27C17">
        <w:rPr>
          <w:rFonts w:ascii="Times New Roman" w:hAnsi="Times New Roman" w:cs="Times New Roman"/>
          <w:sz w:val="24"/>
        </w:rPr>
        <w:t xml:space="preserve">, </w:t>
      </w:r>
      <w:r w:rsidRPr="00F27C17">
        <w:rPr>
          <w:rFonts w:ascii="Times New Roman" w:hAnsi="Times New Roman" w:cs="Times New Roman"/>
          <w:i/>
          <w:iCs/>
          <w:sz w:val="24"/>
        </w:rPr>
        <w:t>55</w:t>
      </w:r>
      <w:r w:rsidRPr="00F27C17">
        <w:rPr>
          <w:rFonts w:ascii="Times New Roman" w:hAnsi="Times New Roman" w:cs="Times New Roman"/>
          <w:sz w:val="24"/>
        </w:rPr>
        <w:t>(3), 291–298. https://doi.org/10.1093/alcalc/agaa018</w:t>
      </w:r>
    </w:p>
    <w:p w14:paraId="2F8D43C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Hassan, A. N., &amp; Le Foll, B. (2019). Polydrug use disorders in individuals with opioid use disorder.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198</w:t>
      </w:r>
      <w:r w:rsidRPr="00F27C17">
        <w:rPr>
          <w:rFonts w:ascii="Times New Roman" w:hAnsi="Times New Roman" w:cs="Times New Roman"/>
          <w:sz w:val="24"/>
        </w:rPr>
        <w:t>, 28–33. https://doi.org/10.1016/j.drugalcdep.2019.01.031</w:t>
      </w:r>
    </w:p>
    <w:p w14:paraId="596D95E3"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Hong, S., &amp; Lynn, H. S. (2020). Accuracy of random-forest-based imputation of missing data in the presence of non-normality, non-linearity, and interaction. </w:t>
      </w:r>
      <w:r w:rsidRPr="00F27C17">
        <w:rPr>
          <w:rFonts w:ascii="Times New Roman" w:hAnsi="Times New Roman" w:cs="Times New Roman"/>
          <w:i/>
          <w:iCs/>
          <w:sz w:val="24"/>
        </w:rPr>
        <w:t>BMC Medical Research Methodology</w:t>
      </w:r>
      <w:r w:rsidRPr="00F27C17">
        <w:rPr>
          <w:rFonts w:ascii="Times New Roman" w:hAnsi="Times New Roman" w:cs="Times New Roman"/>
          <w:sz w:val="24"/>
        </w:rPr>
        <w:t xml:space="preserve">, </w:t>
      </w:r>
      <w:r w:rsidRPr="00F27C17">
        <w:rPr>
          <w:rFonts w:ascii="Times New Roman" w:hAnsi="Times New Roman" w:cs="Times New Roman"/>
          <w:i/>
          <w:iCs/>
          <w:sz w:val="24"/>
        </w:rPr>
        <w:t>20</w:t>
      </w:r>
      <w:r w:rsidRPr="00F27C17">
        <w:rPr>
          <w:rFonts w:ascii="Times New Roman" w:hAnsi="Times New Roman" w:cs="Times New Roman"/>
          <w:sz w:val="24"/>
        </w:rPr>
        <w:t>(1), 199. https://doi.org/10.1186/s12874-020-01080-1</w:t>
      </w:r>
    </w:p>
    <w:p w14:paraId="5C1BFD9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Jardillier, R., Koca, D., Chatelain, F., &amp; Guyon, L. (2022). Prognosis of lasso-like penalized Cox models with tumor profiling improves prediction over clinical data alone and benefits from bi-dimensional pre-screening. </w:t>
      </w:r>
      <w:r w:rsidRPr="00F27C17">
        <w:rPr>
          <w:rFonts w:ascii="Times New Roman" w:hAnsi="Times New Roman" w:cs="Times New Roman"/>
          <w:i/>
          <w:iCs/>
          <w:sz w:val="24"/>
        </w:rPr>
        <w:t>BMC Cancer</w:t>
      </w:r>
      <w:r w:rsidRPr="00F27C17">
        <w:rPr>
          <w:rFonts w:ascii="Times New Roman" w:hAnsi="Times New Roman" w:cs="Times New Roman"/>
          <w:sz w:val="24"/>
        </w:rPr>
        <w:t xml:space="preserve">, </w:t>
      </w:r>
      <w:r w:rsidRPr="00F27C17">
        <w:rPr>
          <w:rFonts w:ascii="Times New Roman" w:hAnsi="Times New Roman" w:cs="Times New Roman"/>
          <w:i/>
          <w:iCs/>
          <w:sz w:val="24"/>
        </w:rPr>
        <w:t>22</w:t>
      </w:r>
      <w:r w:rsidRPr="00F27C17">
        <w:rPr>
          <w:rFonts w:ascii="Times New Roman" w:hAnsi="Times New Roman" w:cs="Times New Roman"/>
          <w:sz w:val="24"/>
        </w:rPr>
        <w:t>(1), 1045. https://doi.org/10.1186/s12885-022-10117-1</w:t>
      </w:r>
    </w:p>
    <w:p w14:paraId="38DC07F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Karamouzian, M., Cui, Z., Hayashi, K., DeBeck, K., Reddon, H., Buxton, J. A., &amp; Kerr, T. (2024). Longitudinal polysubstance use patterns and non-fatal overdose: A repeated measures latent class analysis. </w:t>
      </w:r>
      <w:r w:rsidRPr="00F27C17">
        <w:rPr>
          <w:rFonts w:ascii="Times New Roman" w:hAnsi="Times New Roman" w:cs="Times New Roman"/>
          <w:i/>
          <w:iCs/>
          <w:sz w:val="24"/>
        </w:rPr>
        <w:t>The International Journal on Drug Policy</w:t>
      </w:r>
      <w:r w:rsidRPr="00F27C17">
        <w:rPr>
          <w:rFonts w:ascii="Times New Roman" w:hAnsi="Times New Roman" w:cs="Times New Roman"/>
          <w:sz w:val="24"/>
        </w:rPr>
        <w:t>, 104301. https://doi.org/10.1016/j.drugpo.2023.104301</w:t>
      </w:r>
    </w:p>
    <w:p w14:paraId="6C2B13A1"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Keele, L. (2010). Proportionally Difficult: Testing for Nonproportional Hazards in Cox Models. </w:t>
      </w:r>
      <w:r w:rsidRPr="00F27C17">
        <w:rPr>
          <w:rFonts w:ascii="Times New Roman" w:hAnsi="Times New Roman" w:cs="Times New Roman"/>
          <w:i/>
          <w:iCs/>
          <w:sz w:val="24"/>
        </w:rPr>
        <w:t>Political Analysis</w:t>
      </w:r>
      <w:r w:rsidRPr="00F27C17">
        <w:rPr>
          <w:rFonts w:ascii="Times New Roman" w:hAnsi="Times New Roman" w:cs="Times New Roman"/>
          <w:sz w:val="24"/>
        </w:rPr>
        <w:t xml:space="preserve">, </w:t>
      </w:r>
      <w:r w:rsidRPr="00F27C17">
        <w:rPr>
          <w:rFonts w:ascii="Times New Roman" w:hAnsi="Times New Roman" w:cs="Times New Roman"/>
          <w:i/>
          <w:iCs/>
          <w:sz w:val="24"/>
        </w:rPr>
        <w:t>18</w:t>
      </w:r>
      <w:r w:rsidRPr="00F27C17">
        <w:rPr>
          <w:rFonts w:ascii="Times New Roman" w:hAnsi="Times New Roman" w:cs="Times New Roman"/>
          <w:sz w:val="24"/>
        </w:rPr>
        <w:t>(2), 189–205. https://doi.org/10.1093/pan/mpp044</w:t>
      </w:r>
    </w:p>
    <w:p w14:paraId="4B9CF376"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Körkel, J. (2021). Treating patients with multiple substance use in accordance with their personal treatment goals: A new paradigm for addiction treatment. </w:t>
      </w:r>
      <w:r w:rsidRPr="00F27C17">
        <w:rPr>
          <w:rFonts w:ascii="Times New Roman" w:hAnsi="Times New Roman" w:cs="Times New Roman"/>
          <w:i/>
          <w:iCs/>
          <w:sz w:val="24"/>
        </w:rPr>
        <w:t>Drugs and Alcohol Today</w:t>
      </w:r>
      <w:r w:rsidRPr="00F27C17">
        <w:rPr>
          <w:rFonts w:ascii="Times New Roman" w:hAnsi="Times New Roman" w:cs="Times New Roman"/>
          <w:sz w:val="24"/>
        </w:rPr>
        <w:t xml:space="preserve">, </w:t>
      </w:r>
      <w:r w:rsidRPr="00F27C17">
        <w:rPr>
          <w:rFonts w:ascii="Times New Roman" w:hAnsi="Times New Roman" w:cs="Times New Roman"/>
          <w:i/>
          <w:iCs/>
          <w:sz w:val="24"/>
        </w:rPr>
        <w:t>21</w:t>
      </w:r>
      <w:r w:rsidRPr="00F27C17">
        <w:rPr>
          <w:rFonts w:ascii="Times New Roman" w:hAnsi="Times New Roman" w:cs="Times New Roman"/>
          <w:sz w:val="24"/>
        </w:rPr>
        <w:t>(1), 15–30. https://doi.org/10.1108/DAT-10-2020-0065</w:t>
      </w:r>
    </w:p>
    <w:p w14:paraId="5F34C5F7"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Lalwani, K., Whitehorne-Smith, P., Walcott, G., McLeary, J.-G., Mitchell, G., &amp; Abel, W. (2022). Prevalence and sociodemographic factors associated with polysubstance use: Analysis of a population-based survey in Jamaica. </w:t>
      </w:r>
      <w:r w:rsidRPr="00F27C17">
        <w:rPr>
          <w:rFonts w:ascii="Times New Roman" w:hAnsi="Times New Roman" w:cs="Times New Roman"/>
          <w:i/>
          <w:iCs/>
          <w:sz w:val="24"/>
        </w:rPr>
        <w:t>BMC Psychiatry</w:t>
      </w:r>
      <w:r w:rsidRPr="00F27C17">
        <w:rPr>
          <w:rFonts w:ascii="Times New Roman" w:hAnsi="Times New Roman" w:cs="Times New Roman"/>
          <w:sz w:val="24"/>
        </w:rPr>
        <w:t xml:space="preserve">, </w:t>
      </w:r>
      <w:r w:rsidRPr="00F27C17">
        <w:rPr>
          <w:rFonts w:ascii="Times New Roman" w:hAnsi="Times New Roman" w:cs="Times New Roman"/>
          <w:i/>
          <w:iCs/>
          <w:sz w:val="24"/>
        </w:rPr>
        <w:t>22</w:t>
      </w:r>
      <w:r w:rsidRPr="00F27C17">
        <w:rPr>
          <w:rFonts w:ascii="Times New Roman" w:hAnsi="Times New Roman" w:cs="Times New Roman"/>
          <w:sz w:val="24"/>
        </w:rPr>
        <w:t>(1), 513. https://doi.org/10.1186/s12888-022-04160-2</w:t>
      </w:r>
    </w:p>
    <w:p w14:paraId="069B753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Levola, J., Aranko, A., &amp; Pitkänen, T. (2021). Psychosocial difficulties and treatment retention in inpatient detoxification programmes. </w:t>
      </w:r>
      <w:r w:rsidRPr="00F27C17">
        <w:rPr>
          <w:rFonts w:ascii="Times New Roman" w:hAnsi="Times New Roman" w:cs="Times New Roman"/>
          <w:i/>
          <w:iCs/>
          <w:sz w:val="24"/>
        </w:rPr>
        <w:t>Nordisk Alkohol- &amp; Narkotikatidskrift : NAT</w:t>
      </w:r>
      <w:r w:rsidRPr="00F27C17">
        <w:rPr>
          <w:rFonts w:ascii="Times New Roman" w:hAnsi="Times New Roman" w:cs="Times New Roman"/>
          <w:sz w:val="24"/>
        </w:rPr>
        <w:t xml:space="preserve">, </w:t>
      </w:r>
      <w:r w:rsidRPr="00F27C17">
        <w:rPr>
          <w:rFonts w:ascii="Times New Roman" w:hAnsi="Times New Roman" w:cs="Times New Roman"/>
          <w:i/>
          <w:iCs/>
          <w:sz w:val="24"/>
        </w:rPr>
        <w:t>38</w:t>
      </w:r>
      <w:r w:rsidRPr="00F27C17">
        <w:rPr>
          <w:rFonts w:ascii="Times New Roman" w:hAnsi="Times New Roman" w:cs="Times New Roman"/>
          <w:sz w:val="24"/>
        </w:rPr>
        <w:t>(5), 434–449. https://doi.org/10.1177/14550725211021263</w:t>
      </w:r>
    </w:p>
    <w:p w14:paraId="14ED7D3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Liu, Y., Williamson, V. G., Setlow, B., Cottler, L. B., &amp; Knackstedt, L. A. (2018). The importance of considering polysubstance use: Lessons from cocaine research. </w:t>
      </w:r>
      <w:r w:rsidRPr="00F27C17">
        <w:rPr>
          <w:rFonts w:ascii="Times New Roman" w:hAnsi="Times New Roman" w:cs="Times New Roman"/>
          <w:i/>
          <w:iCs/>
          <w:sz w:val="24"/>
        </w:rPr>
        <w:t xml:space="preserve">Drug </w:t>
      </w:r>
      <w:r w:rsidRPr="00F27C17">
        <w:rPr>
          <w:rFonts w:ascii="Times New Roman" w:hAnsi="Times New Roman" w:cs="Times New Roman"/>
          <w:i/>
          <w:iCs/>
          <w:sz w:val="24"/>
        </w:rPr>
        <w:lastRenderedPageBreak/>
        <w:t>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192</w:t>
      </w:r>
      <w:r w:rsidRPr="00F27C17">
        <w:rPr>
          <w:rFonts w:ascii="Times New Roman" w:hAnsi="Times New Roman" w:cs="Times New Roman"/>
          <w:sz w:val="24"/>
        </w:rPr>
        <w:t>, 16–28. https://doi.org/10.1016/j.drugalcdep.2018.07.025</w:t>
      </w:r>
    </w:p>
    <w:p w14:paraId="75E8F7C6" w14:textId="77777777" w:rsidR="00F27C17" w:rsidRPr="00F27C17" w:rsidRDefault="00F27C17" w:rsidP="00F27C17">
      <w:pPr>
        <w:pStyle w:val="Bibliografa"/>
        <w:rPr>
          <w:rFonts w:ascii="Times New Roman" w:hAnsi="Times New Roman" w:cs="Times New Roman"/>
          <w:sz w:val="24"/>
          <w:lang w:val="es-CL"/>
        </w:rPr>
      </w:pPr>
      <w:bookmarkStart w:id="502" w:name="_Hlk170244217"/>
      <w:r w:rsidRPr="00F27C17">
        <w:rPr>
          <w:rFonts w:ascii="Times New Roman" w:hAnsi="Times New Roman" w:cs="Times New Roman"/>
          <w:sz w:val="24"/>
        </w:rPr>
        <w:t xml:space="preserve">Lokku, A., Lim, L. S., Birken, C. S., Pullenayegum, E. M., &amp; on behalf of the TARGet Kids! Collaboration. (2020). Summarizing the extent of visit irregularity in longitudinal data. </w:t>
      </w:r>
      <w:r w:rsidRPr="00F27C17">
        <w:rPr>
          <w:rFonts w:ascii="Times New Roman" w:hAnsi="Times New Roman" w:cs="Times New Roman"/>
          <w:i/>
          <w:iCs/>
          <w:sz w:val="24"/>
          <w:lang w:val="es-CL"/>
        </w:rPr>
        <w:t>BMC Medical Research Methodology</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20</w:t>
      </w:r>
      <w:r w:rsidRPr="00F27C17">
        <w:rPr>
          <w:rFonts w:ascii="Times New Roman" w:hAnsi="Times New Roman" w:cs="Times New Roman"/>
          <w:sz w:val="24"/>
          <w:lang w:val="es-CL"/>
        </w:rPr>
        <w:t>(1), 135. https://doi.org/10.1186/s12874-020-01023-w</w:t>
      </w:r>
    </w:p>
    <w:bookmarkEnd w:id="502"/>
    <w:p w14:paraId="05765680"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Mateo Pinones, M., González-Santa Cruz, A., Portilla Huidobro, R., &amp; Castillo-Carniglia, A. (2022). </w:t>
      </w:r>
      <w:r w:rsidRPr="00F27C17">
        <w:rPr>
          <w:rFonts w:ascii="Times New Roman" w:hAnsi="Times New Roman" w:cs="Times New Roman"/>
          <w:sz w:val="24"/>
        </w:rPr>
        <w:t xml:space="preserve">Evidence-based policymaking: Lessons from the Chilean Substance Use Treatment Policy. </w:t>
      </w:r>
      <w:r w:rsidRPr="00F27C17">
        <w:rPr>
          <w:rFonts w:ascii="Times New Roman" w:hAnsi="Times New Roman" w:cs="Times New Roman"/>
          <w:i/>
          <w:iCs/>
          <w:sz w:val="24"/>
        </w:rPr>
        <w:t>International Journal of Drug Policy</w:t>
      </w:r>
      <w:r w:rsidRPr="00F27C17">
        <w:rPr>
          <w:rFonts w:ascii="Times New Roman" w:hAnsi="Times New Roman" w:cs="Times New Roman"/>
          <w:sz w:val="24"/>
        </w:rPr>
        <w:t xml:space="preserve">, </w:t>
      </w:r>
      <w:r w:rsidRPr="00F27C17">
        <w:rPr>
          <w:rFonts w:ascii="Times New Roman" w:hAnsi="Times New Roman" w:cs="Times New Roman"/>
          <w:i/>
          <w:iCs/>
          <w:sz w:val="24"/>
        </w:rPr>
        <w:t>109</w:t>
      </w:r>
      <w:r w:rsidRPr="00F27C17">
        <w:rPr>
          <w:rFonts w:ascii="Times New Roman" w:hAnsi="Times New Roman" w:cs="Times New Roman"/>
          <w:sz w:val="24"/>
        </w:rPr>
        <w:t>, 103860. https://doi.org/10.1016/j.drugpo.2022.103860</w:t>
      </w:r>
    </w:p>
    <w:p w14:paraId="27E131C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McPherson, C., Boyne, H., &amp; Waseem, R. (2017). Understanding the Factors that Impact Relapse Post-residential Addiction Treatment, a Six Month Follow-up from a Canadian Treatment Centre. </w:t>
      </w:r>
      <w:r w:rsidRPr="00F27C17">
        <w:rPr>
          <w:rFonts w:ascii="Times New Roman" w:hAnsi="Times New Roman" w:cs="Times New Roman"/>
          <w:i/>
          <w:iCs/>
          <w:sz w:val="24"/>
        </w:rPr>
        <w:t>Journal of Alcoholism &amp; Drug Dependence</w:t>
      </w:r>
      <w:r w:rsidRPr="00F27C17">
        <w:rPr>
          <w:rFonts w:ascii="Times New Roman" w:hAnsi="Times New Roman" w:cs="Times New Roman"/>
          <w:sz w:val="24"/>
        </w:rPr>
        <w:t xml:space="preserve">, </w:t>
      </w:r>
      <w:r w:rsidRPr="00F27C17">
        <w:rPr>
          <w:rFonts w:ascii="Times New Roman" w:hAnsi="Times New Roman" w:cs="Times New Roman"/>
          <w:i/>
          <w:iCs/>
          <w:sz w:val="24"/>
        </w:rPr>
        <w:t>05</w:t>
      </w:r>
      <w:r w:rsidRPr="00F27C17">
        <w:rPr>
          <w:rFonts w:ascii="Times New Roman" w:hAnsi="Times New Roman" w:cs="Times New Roman"/>
          <w:sz w:val="24"/>
        </w:rPr>
        <w:t>(03). https://doi.org/10.4172/2329-6488.1000268</w:t>
      </w:r>
    </w:p>
    <w:p w14:paraId="0540ACB7"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 xml:space="preserve">Mefodeva, V., Carlyle, M., Walter, Z., Chan, G., &amp; Hides, L. (2022). Polysubstance use in young people accessing residential and day-treatment services for substance use: Substance use profiles, psychiatric comorbidity and treatment completion. </w:t>
      </w:r>
      <w:r w:rsidRPr="00F27C17">
        <w:rPr>
          <w:rFonts w:ascii="Times New Roman" w:hAnsi="Times New Roman" w:cs="Times New Roman"/>
          <w:i/>
          <w:iCs/>
          <w:sz w:val="24"/>
          <w:lang w:val="es-CL"/>
        </w:rPr>
        <w:t>Addiction (Abingdon, England)</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117</w:t>
      </w:r>
      <w:r w:rsidRPr="00F27C17">
        <w:rPr>
          <w:rFonts w:ascii="Times New Roman" w:hAnsi="Times New Roman" w:cs="Times New Roman"/>
          <w:sz w:val="24"/>
          <w:lang w:val="es-CL"/>
        </w:rPr>
        <w:t>(12), 3110–3120. https://doi.org/10.1111/add.16008</w:t>
      </w:r>
    </w:p>
    <w:p w14:paraId="1D2EAC2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Olivari, C. F., Gaete, J., Rodriguez, N., Pizarro, E., Del Villar, P., Calvo, E., &amp; Castillo-Carniglia, A. (2022). </w:t>
      </w:r>
      <w:r w:rsidRPr="00F27C17">
        <w:rPr>
          <w:rFonts w:ascii="Times New Roman" w:hAnsi="Times New Roman" w:cs="Times New Roman"/>
          <w:sz w:val="24"/>
        </w:rPr>
        <w:t xml:space="preserve">Polydrug Use and Co-occurring Substance Use Disorders in a Respondent Driven Sampling of Cocaine Base Paste Users in Santiago, Chile. </w:t>
      </w:r>
      <w:r w:rsidRPr="00F27C17">
        <w:rPr>
          <w:rFonts w:ascii="Times New Roman" w:hAnsi="Times New Roman" w:cs="Times New Roman"/>
          <w:i/>
          <w:iCs/>
          <w:sz w:val="24"/>
        </w:rPr>
        <w:t>Journal of Psychoactive Drugs</w:t>
      </w:r>
      <w:r w:rsidRPr="00F27C17">
        <w:rPr>
          <w:rFonts w:ascii="Times New Roman" w:hAnsi="Times New Roman" w:cs="Times New Roman"/>
          <w:sz w:val="24"/>
        </w:rPr>
        <w:t xml:space="preserve">, </w:t>
      </w:r>
      <w:r w:rsidRPr="00F27C17">
        <w:rPr>
          <w:rFonts w:ascii="Times New Roman" w:hAnsi="Times New Roman" w:cs="Times New Roman"/>
          <w:i/>
          <w:iCs/>
          <w:sz w:val="24"/>
        </w:rPr>
        <w:t>54</w:t>
      </w:r>
      <w:r w:rsidRPr="00F27C17">
        <w:rPr>
          <w:rFonts w:ascii="Times New Roman" w:hAnsi="Times New Roman" w:cs="Times New Roman"/>
          <w:sz w:val="24"/>
        </w:rPr>
        <w:t>(4), 348–357. https://doi.org/10.1080/02791072.2021.1976886</w:t>
      </w:r>
    </w:p>
    <w:p w14:paraId="228EBBB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Olivari, C. F., González-Santa Cruz, A., Mauro, P. M., Martins, S. S., Sapag, J., Gaete, J., Cerdá, M., &amp; Castillo-Carniglia, A. (2022). Treatment outcome and readmission risk among women in women-only versus mixed-gender drug treatment programs in Chile. </w:t>
      </w:r>
      <w:r w:rsidRPr="00F27C17">
        <w:rPr>
          <w:rFonts w:ascii="Times New Roman" w:hAnsi="Times New Roman" w:cs="Times New Roman"/>
          <w:i/>
          <w:iCs/>
          <w:sz w:val="24"/>
        </w:rPr>
        <w:t>Journal of Substance Abuse Treatment</w:t>
      </w:r>
      <w:r w:rsidRPr="00F27C17">
        <w:rPr>
          <w:rFonts w:ascii="Times New Roman" w:hAnsi="Times New Roman" w:cs="Times New Roman"/>
          <w:sz w:val="24"/>
        </w:rPr>
        <w:t xml:space="preserve">, </w:t>
      </w:r>
      <w:r w:rsidRPr="00F27C17">
        <w:rPr>
          <w:rFonts w:ascii="Times New Roman" w:hAnsi="Times New Roman" w:cs="Times New Roman"/>
          <w:i/>
          <w:iCs/>
          <w:sz w:val="24"/>
        </w:rPr>
        <w:t>134</w:t>
      </w:r>
      <w:r w:rsidRPr="00F27C17">
        <w:rPr>
          <w:rFonts w:ascii="Times New Roman" w:hAnsi="Times New Roman" w:cs="Times New Roman"/>
          <w:sz w:val="24"/>
        </w:rPr>
        <w:t>, 108616. https://doi.org/10.1016/j.jsat.2021.108616</w:t>
      </w:r>
    </w:p>
    <w:p w14:paraId="58C5399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Price, O., Sutherland, R., Man, N., Bruno, R., Dietze, P., Salom, C., Akhurst, J., &amp; Peacock, A. (2023). Trends and psychosocial correlates of same day polysubstance use among people who inject drugs in Australia, 2012-2022. </w:t>
      </w:r>
      <w:r w:rsidRPr="00F27C17">
        <w:rPr>
          <w:rFonts w:ascii="Times New Roman" w:hAnsi="Times New Roman" w:cs="Times New Roman"/>
          <w:i/>
          <w:iCs/>
          <w:sz w:val="24"/>
        </w:rPr>
        <w:t>International Journal of Drug Policy</w:t>
      </w:r>
      <w:r w:rsidRPr="00F27C17">
        <w:rPr>
          <w:rFonts w:ascii="Times New Roman" w:hAnsi="Times New Roman" w:cs="Times New Roman"/>
          <w:sz w:val="24"/>
        </w:rPr>
        <w:t>, 104150. https://doi.org/10.1016/j.drugpo.2023.104150</w:t>
      </w:r>
    </w:p>
    <w:p w14:paraId="21405B2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P</w:t>
      </w:r>
      <w:bookmarkStart w:id="503" w:name="_Hlk170244244"/>
      <w:r w:rsidRPr="00F27C17">
        <w:rPr>
          <w:rFonts w:ascii="Times New Roman" w:hAnsi="Times New Roman" w:cs="Times New Roman"/>
          <w:sz w:val="24"/>
        </w:rPr>
        <w:t xml:space="preserve">ullenayegum, E. (2022). </w:t>
      </w:r>
      <w:r w:rsidRPr="00F27C17">
        <w:rPr>
          <w:rFonts w:ascii="Times New Roman" w:hAnsi="Times New Roman" w:cs="Times New Roman"/>
          <w:i/>
          <w:iCs/>
          <w:sz w:val="24"/>
        </w:rPr>
        <w:t>IrregLong: Analysis of Longitudinal Data with Irregular Observation Times</w:t>
      </w:r>
      <w:r w:rsidRPr="00F27C17">
        <w:rPr>
          <w:rFonts w:ascii="Times New Roman" w:hAnsi="Times New Roman" w:cs="Times New Roman"/>
          <w:sz w:val="24"/>
        </w:rPr>
        <w:t xml:space="preserve"> [Computer software]. https://cran.r-project.org/web/packages/IrregLong/index.html</w:t>
      </w:r>
    </w:p>
    <w:p w14:paraId="3CF6EC6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F27C17">
        <w:rPr>
          <w:rFonts w:ascii="Times New Roman" w:hAnsi="Times New Roman" w:cs="Times New Roman"/>
          <w:i/>
          <w:iCs/>
          <w:sz w:val="24"/>
        </w:rPr>
        <w:t>Statistics in Medicine</w:t>
      </w:r>
      <w:r w:rsidRPr="00F27C17">
        <w:rPr>
          <w:rFonts w:ascii="Times New Roman" w:hAnsi="Times New Roman" w:cs="Times New Roman"/>
          <w:sz w:val="24"/>
        </w:rPr>
        <w:t xml:space="preserve">, </w:t>
      </w:r>
      <w:r w:rsidRPr="00F27C17">
        <w:rPr>
          <w:rFonts w:ascii="Times New Roman" w:hAnsi="Times New Roman" w:cs="Times New Roman"/>
          <w:i/>
          <w:iCs/>
          <w:sz w:val="24"/>
        </w:rPr>
        <w:t>42</w:t>
      </w:r>
      <w:r w:rsidRPr="00F27C17">
        <w:rPr>
          <w:rFonts w:ascii="Times New Roman" w:hAnsi="Times New Roman" w:cs="Times New Roman"/>
          <w:sz w:val="24"/>
        </w:rPr>
        <w:t>(14), 2361–2393. https://doi.org/10.1002/sim.9727</w:t>
      </w:r>
    </w:p>
    <w:bookmarkEnd w:id="503"/>
    <w:p w14:paraId="67D8B69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Quek, L.-H., Chan, G., White, A., Connor, J., Baker, P., Saunders, J., &amp; Kelly, A. (2013). Concurrent and Simultaneous Polydrug Use: Latent Class Analysis of an Australian Nationally Representative Sample of Young Adults. </w:t>
      </w:r>
      <w:r w:rsidRPr="00F27C17">
        <w:rPr>
          <w:rFonts w:ascii="Times New Roman" w:hAnsi="Times New Roman" w:cs="Times New Roman"/>
          <w:i/>
          <w:iCs/>
          <w:sz w:val="24"/>
        </w:rPr>
        <w:t>Frontiers in Public Health</w:t>
      </w:r>
      <w:r w:rsidRPr="00F27C17">
        <w:rPr>
          <w:rFonts w:ascii="Times New Roman" w:hAnsi="Times New Roman" w:cs="Times New Roman"/>
          <w:sz w:val="24"/>
        </w:rPr>
        <w:t xml:space="preserve">, </w:t>
      </w:r>
      <w:r w:rsidRPr="00F27C17">
        <w:rPr>
          <w:rFonts w:ascii="Times New Roman" w:hAnsi="Times New Roman" w:cs="Times New Roman"/>
          <w:i/>
          <w:iCs/>
          <w:sz w:val="24"/>
        </w:rPr>
        <w:t>1</w:t>
      </w:r>
      <w:r w:rsidRPr="00F27C17">
        <w:rPr>
          <w:rFonts w:ascii="Times New Roman" w:hAnsi="Times New Roman" w:cs="Times New Roman"/>
          <w:sz w:val="24"/>
        </w:rPr>
        <w:t>. https://www.frontiersin.org/articles/10.3389/fpubh.2013.00061</w:t>
      </w:r>
    </w:p>
    <w:p w14:paraId="7FE27488"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Reif, S., Stewart, M. T., Torres, M. E., Davis, M. T., Dana, B. M., &amp; Ritter, G. A. (2021). Effectiveness of value-based purchasing for substance use treatment engagement and retention. </w:t>
      </w:r>
      <w:r w:rsidRPr="00F27C17">
        <w:rPr>
          <w:rFonts w:ascii="Times New Roman" w:hAnsi="Times New Roman" w:cs="Times New Roman"/>
          <w:i/>
          <w:iCs/>
          <w:sz w:val="24"/>
        </w:rPr>
        <w:t>Journal of Substance Abuse Treatment</w:t>
      </w:r>
      <w:r w:rsidRPr="00F27C17">
        <w:rPr>
          <w:rFonts w:ascii="Times New Roman" w:hAnsi="Times New Roman" w:cs="Times New Roman"/>
          <w:sz w:val="24"/>
        </w:rPr>
        <w:t xml:space="preserve">, </w:t>
      </w:r>
      <w:r w:rsidRPr="00F27C17">
        <w:rPr>
          <w:rFonts w:ascii="Times New Roman" w:hAnsi="Times New Roman" w:cs="Times New Roman"/>
          <w:i/>
          <w:iCs/>
          <w:sz w:val="24"/>
        </w:rPr>
        <w:t>122</w:t>
      </w:r>
      <w:r w:rsidRPr="00F27C17">
        <w:rPr>
          <w:rFonts w:ascii="Times New Roman" w:hAnsi="Times New Roman" w:cs="Times New Roman"/>
          <w:sz w:val="24"/>
        </w:rPr>
        <w:t>, 108217. https://doi.org/10.1016/j.jsat.2020.108217</w:t>
      </w:r>
    </w:p>
    <w:p w14:paraId="2D9D7AE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lastRenderedPageBreak/>
        <w:t xml:space="preserve">Reyes, J., Perez, C., Colon, H., Dowell, M., &amp; Cumsille, F. (2013). </w:t>
      </w:r>
      <w:r w:rsidRPr="00F27C17">
        <w:rPr>
          <w:rFonts w:ascii="Times New Roman" w:hAnsi="Times New Roman" w:cs="Times New Roman"/>
          <w:sz w:val="24"/>
        </w:rPr>
        <w:t xml:space="preserve">Prevalence and Patterns of Polydrug Use in Latin America: Analysis of Population-based Surveys in Six Countries. </w:t>
      </w:r>
      <w:r w:rsidRPr="00F27C17">
        <w:rPr>
          <w:rFonts w:ascii="Times New Roman" w:hAnsi="Times New Roman" w:cs="Times New Roman"/>
          <w:i/>
          <w:iCs/>
          <w:sz w:val="24"/>
        </w:rPr>
        <w:t>Review of European Studies</w:t>
      </w:r>
      <w:r w:rsidRPr="00F27C17">
        <w:rPr>
          <w:rFonts w:ascii="Times New Roman" w:hAnsi="Times New Roman" w:cs="Times New Roman"/>
          <w:sz w:val="24"/>
        </w:rPr>
        <w:t xml:space="preserve">, </w:t>
      </w:r>
      <w:r w:rsidRPr="00F27C17">
        <w:rPr>
          <w:rFonts w:ascii="Times New Roman" w:hAnsi="Times New Roman" w:cs="Times New Roman"/>
          <w:i/>
          <w:iCs/>
          <w:sz w:val="24"/>
        </w:rPr>
        <w:t>5</w:t>
      </w:r>
      <w:r w:rsidRPr="00F27C17">
        <w:rPr>
          <w:rFonts w:ascii="Times New Roman" w:hAnsi="Times New Roman" w:cs="Times New Roman"/>
          <w:sz w:val="24"/>
        </w:rPr>
        <w:t>(1), Article 1. https://doi.org/10.5539/res.v5n1p10</w:t>
      </w:r>
    </w:p>
    <w:p w14:paraId="0D8075D7"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 xml:space="preserve">Royston, P., &amp; Altman, D. G. (2013). External validation of a Cox prognostic model: Principles and methods. </w:t>
      </w:r>
      <w:r w:rsidRPr="00F27C17">
        <w:rPr>
          <w:rFonts w:ascii="Times New Roman" w:hAnsi="Times New Roman" w:cs="Times New Roman"/>
          <w:i/>
          <w:iCs/>
          <w:sz w:val="24"/>
          <w:lang w:val="es-CL"/>
        </w:rPr>
        <w:t>BMC Medical Research Methodology</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13</w:t>
      </w:r>
      <w:r w:rsidRPr="00F27C17">
        <w:rPr>
          <w:rFonts w:ascii="Times New Roman" w:hAnsi="Times New Roman" w:cs="Times New Roman"/>
          <w:sz w:val="24"/>
          <w:lang w:val="es-CL"/>
        </w:rPr>
        <w:t>(1), 33. https://doi.org/10.1186/1471-2288-13-33</w:t>
      </w:r>
    </w:p>
    <w:p w14:paraId="143579FF"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lang w:val="es-CL"/>
        </w:rPr>
        <w:t xml:space="preserve">Ruiz-Tagle Maturana, J., González-Santa Cruz, A., Rocha-Jiménez, T., &amp; Castillo-Carniglia, Á. (2023). </w:t>
      </w:r>
      <w:r w:rsidRPr="00F27C17">
        <w:rPr>
          <w:rFonts w:ascii="Times New Roman" w:hAnsi="Times New Roman" w:cs="Times New Roman"/>
          <w:sz w:val="24"/>
        </w:rPr>
        <w:t xml:space="preserve">Does substance use disorder treatment completion reduce the risk of treatment readmission in Chile? </w:t>
      </w:r>
      <w:r w:rsidRPr="00F27C17">
        <w:rPr>
          <w:rFonts w:ascii="Times New Roman" w:hAnsi="Times New Roman" w:cs="Times New Roman"/>
          <w:i/>
          <w:iCs/>
          <w:sz w:val="24"/>
          <w:lang w:val="es-CL"/>
        </w:rPr>
        <w:t>Drug and Alcohol Dependence</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248</w:t>
      </w:r>
      <w:r w:rsidRPr="00F27C17">
        <w:rPr>
          <w:rFonts w:ascii="Times New Roman" w:hAnsi="Times New Roman" w:cs="Times New Roman"/>
          <w:sz w:val="24"/>
          <w:lang w:val="es-CL"/>
        </w:rPr>
        <w:t>, 109907. https://doi.org/10.1016/j.drugalcdep.2023.109907</w:t>
      </w:r>
    </w:p>
    <w:p w14:paraId="6295EAA6"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sidRPr="00F27C17">
        <w:rPr>
          <w:rFonts w:ascii="Times New Roman" w:hAnsi="Times New Roman" w:cs="Times New Roman"/>
          <w:i/>
          <w:iCs/>
          <w:sz w:val="24"/>
        </w:rPr>
        <w:t>Revista Médica de Chile</w:t>
      </w:r>
      <w:r w:rsidRPr="00F27C17">
        <w:rPr>
          <w:rFonts w:ascii="Times New Roman" w:hAnsi="Times New Roman" w:cs="Times New Roman"/>
          <w:sz w:val="24"/>
        </w:rPr>
        <w:t xml:space="preserve">, </w:t>
      </w:r>
      <w:r w:rsidRPr="00F27C17">
        <w:rPr>
          <w:rFonts w:ascii="Times New Roman" w:hAnsi="Times New Roman" w:cs="Times New Roman"/>
          <w:i/>
          <w:iCs/>
          <w:sz w:val="24"/>
        </w:rPr>
        <w:t>135</w:t>
      </w:r>
      <w:r w:rsidRPr="00F27C17">
        <w:rPr>
          <w:rFonts w:ascii="Times New Roman" w:hAnsi="Times New Roman" w:cs="Times New Roman"/>
          <w:sz w:val="24"/>
        </w:rPr>
        <w:t>(1), 45–53. https://doi.org/10.4067/S0034-98872007000100007</w:t>
      </w:r>
    </w:p>
    <w:p w14:paraId="2C57D94B"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sidRPr="00F27C17">
        <w:rPr>
          <w:rFonts w:ascii="Times New Roman" w:hAnsi="Times New Roman" w:cs="Times New Roman"/>
          <w:i/>
          <w:iCs/>
          <w:sz w:val="24"/>
        </w:rPr>
        <w:t>International Journal of Drug Policy</w:t>
      </w:r>
      <w:r w:rsidRPr="00F27C17">
        <w:rPr>
          <w:rFonts w:ascii="Times New Roman" w:hAnsi="Times New Roman" w:cs="Times New Roman"/>
          <w:sz w:val="24"/>
        </w:rPr>
        <w:t xml:space="preserve">, </w:t>
      </w:r>
      <w:r w:rsidRPr="00F27C17">
        <w:rPr>
          <w:rFonts w:ascii="Times New Roman" w:hAnsi="Times New Roman" w:cs="Times New Roman"/>
          <w:i/>
          <w:iCs/>
          <w:sz w:val="24"/>
        </w:rPr>
        <w:t>43</w:t>
      </w:r>
      <w:r w:rsidRPr="00F27C17">
        <w:rPr>
          <w:rFonts w:ascii="Times New Roman" w:hAnsi="Times New Roman" w:cs="Times New Roman"/>
          <w:sz w:val="24"/>
        </w:rPr>
        <w:t>, 33–43. https://doi.org/10.1016/j.drugpo.2017.01.001</w:t>
      </w:r>
    </w:p>
    <w:p w14:paraId="4137D6C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Sheetal, A., Jiang, Z., &amp; Di Milia, L. (2023). Using machine learning to analyze longitudinal data: A tutorial guide and best-practice recommendations for social science </w:t>
      </w:r>
      <w:r w:rsidRPr="00F27C17">
        <w:rPr>
          <w:rFonts w:ascii="Times New Roman" w:hAnsi="Times New Roman" w:cs="Times New Roman"/>
          <w:sz w:val="24"/>
        </w:rPr>
        <w:lastRenderedPageBreak/>
        <w:t xml:space="preserve">researchers. </w:t>
      </w:r>
      <w:r w:rsidRPr="00F27C17">
        <w:rPr>
          <w:rFonts w:ascii="Times New Roman" w:hAnsi="Times New Roman" w:cs="Times New Roman"/>
          <w:i/>
          <w:iCs/>
          <w:sz w:val="24"/>
        </w:rPr>
        <w:t>Applied Psychology</w:t>
      </w:r>
      <w:r w:rsidRPr="00F27C17">
        <w:rPr>
          <w:rFonts w:ascii="Times New Roman" w:hAnsi="Times New Roman" w:cs="Times New Roman"/>
          <w:sz w:val="24"/>
        </w:rPr>
        <w:t xml:space="preserve">, </w:t>
      </w:r>
      <w:r w:rsidRPr="00F27C17">
        <w:rPr>
          <w:rFonts w:ascii="Times New Roman" w:hAnsi="Times New Roman" w:cs="Times New Roman"/>
          <w:i/>
          <w:iCs/>
          <w:sz w:val="24"/>
        </w:rPr>
        <w:t>72</w:t>
      </w:r>
      <w:r w:rsidRPr="00F27C17">
        <w:rPr>
          <w:rFonts w:ascii="Times New Roman" w:hAnsi="Times New Roman" w:cs="Times New Roman"/>
          <w:sz w:val="24"/>
        </w:rPr>
        <w:t>(3), 1339–1364. https://doi.org/10.1111/apps.12435</w:t>
      </w:r>
    </w:p>
    <w:p w14:paraId="16387E6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Steele, J. L., &amp; Peralta, R. L. (2020). Are Polydrug Users More Physically and Verbally Aggressive? An Assessment of Aggression Among Mono- Versus Polydrug Users in a University Sample. </w:t>
      </w:r>
      <w:r w:rsidRPr="00F27C17">
        <w:rPr>
          <w:rFonts w:ascii="Times New Roman" w:hAnsi="Times New Roman" w:cs="Times New Roman"/>
          <w:i/>
          <w:iCs/>
          <w:sz w:val="24"/>
        </w:rPr>
        <w:t>Journal of Interpersonal Violence</w:t>
      </w:r>
      <w:r w:rsidRPr="00F27C17">
        <w:rPr>
          <w:rFonts w:ascii="Times New Roman" w:hAnsi="Times New Roman" w:cs="Times New Roman"/>
          <w:sz w:val="24"/>
        </w:rPr>
        <w:t xml:space="preserve">, </w:t>
      </w:r>
      <w:r w:rsidRPr="00F27C17">
        <w:rPr>
          <w:rFonts w:ascii="Times New Roman" w:hAnsi="Times New Roman" w:cs="Times New Roman"/>
          <w:i/>
          <w:iCs/>
          <w:sz w:val="24"/>
        </w:rPr>
        <w:t>35</w:t>
      </w:r>
      <w:r w:rsidRPr="00F27C17">
        <w:rPr>
          <w:rFonts w:ascii="Times New Roman" w:hAnsi="Times New Roman" w:cs="Times New Roman"/>
          <w:sz w:val="24"/>
        </w:rPr>
        <w:t>(21–22), 4444–4467. https://doi.org/10.1177/0886260517715024</w:t>
      </w:r>
    </w:p>
    <w:p w14:paraId="1055AF3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Tiet, Q. Q., Ilgen, M. A., Byrnes, H. F., Harris, A. H. S., &amp; Finney, J. W. (2007). Treatment setting and baseline substance use severity interact to predict patients’ outcomes. </w:t>
      </w:r>
      <w:r w:rsidRPr="00F27C17">
        <w:rPr>
          <w:rFonts w:ascii="Times New Roman" w:hAnsi="Times New Roman" w:cs="Times New Roman"/>
          <w:i/>
          <w:iCs/>
          <w:sz w:val="24"/>
        </w:rPr>
        <w:t>Addiction (Abingdon, England)</w:t>
      </w:r>
      <w:r w:rsidRPr="00F27C17">
        <w:rPr>
          <w:rFonts w:ascii="Times New Roman" w:hAnsi="Times New Roman" w:cs="Times New Roman"/>
          <w:sz w:val="24"/>
        </w:rPr>
        <w:t xml:space="preserve">, </w:t>
      </w:r>
      <w:r w:rsidRPr="00F27C17">
        <w:rPr>
          <w:rFonts w:ascii="Times New Roman" w:hAnsi="Times New Roman" w:cs="Times New Roman"/>
          <w:i/>
          <w:iCs/>
          <w:sz w:val="24"/>
        </w:rPr>
        <w:t>102</w:t>
      </w:r>
      <w:r w:rsidRPr="00F27C17">
        <w:rPr>
          <w:rFonts w:ascii="Times New Roman" w:hAnsi="Times New Roman" w:cs="Times New Roman"/>
          <w:sz w:val="24"/>
        </w:rPr>
        <w:t>(3), 432–440. https://doi.org/10.1111/j.1360-0443.2006.01717.x</w:t>
      </w:r>
    </w:p>
    <w:p w14:paraId="422F0E72"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 xml:space="preserve">Vázquez-Real, M., Talero-Barrientos, E. M., &amp; Franco-Fernández, M. D. (2022). Sociodemographic, clinical and pharmacological factors influencing early readmission in mental health settings. </w:t>
      </w:r>
      <w:r w:rsidRPr="00F27C17">
        <w:rPr>
          <w:rFonts w:ascii="Times New Roman" w:hAnsi="Times New Roman" w:cs="Times New Roman"/>
          <w:i/>
          <w:iCs/>
          <w:sz w:val="24"/>
          <w:lang w:val="es-CL"/>
        </w:rPr>
        <w:t>Actas Espanolas De Psiquiatria</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50</w:t>
      </w:r>
      <w:r w:rsidRPr="00F27C17">
        <w:rPr>
          <w:rFonts w:ascii="Times New Roman" w:hAnsi="Times New Roman" w:cs="Times New Roman"/>
          <w:sz w:val="24"/>
          <w:lang w:val="es-CL"/>
        </w:rPr>
        <w:t>(6), 248–255.</w:t>
      </w:r>
    </w:p>
    <w:p w14:paraId="2249F9D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sidRPr="00F27C17">
        <w:rPr>
          <w:rFonts w:ascii="Times New Roman" w:hAnsi="Times New Roman" w:cs="Times New Roman"/>
          <w:i/>
          <w:iCs/>
          <w:sz w:val="24"/>
        </w:rPr>
        <w:t>Revista Médica de Chile</w:t>
      </w:r>
      <w:r w:rsidRPr="00F27C17">
        <w:rPr>
          <w:rFonts w:ascii="Times New Roman" w:hAnsi="Times New Roman" w:cs="Times New Roman"/>
          <w:sz w:val="24"/>
        </w:rPr>
        <w:t xml:space="preserve">, </w:t>
      </w:r>
      <w:r w:rsidRPr="00F27C17">
        <w:rPr>
          <w:rFonts w:ascii="Times New Roman" w:hAnsi="Times New Roman" w:cs="Times New Roman"/>
          <w:i/>
          <w:iCs/>
          <w:sz w:val="24"/>
        </w:rPr>
        <w:t>150</w:t>
      </w:r>
      <w:r w:rsidRPr="00F27C17">
        <w:rPr>
          <w:rFonts w:ascii="Times New Roman" w:hAnsi="Times New Roman" w:cs="Times New Roman"/>
          <w:sz w:val="24"/>
        </w:rPr>
        <w:t>(5), 584–596. https://doi.org/10.4067/s0034-98872022000500584</w:t>
      </w:r>
    </w:p>
    <w:p w14:paraId="6C6A2469" w14:textId="40FD7F0D" w:rsidR="000135FE" w:rsidRDefault="00F27C17" w:rsidP="00C31320">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73CD77D5" w14:textId="77777777" w:rsidR="00F406BA" w:rsidRDefault="00F406BA" w:rsidP="00C31320">
      <w:pPr>
        <w:rPr>
          <w:rFonts w:ascii="Times New Roman" w:hAnsi="Times New Roman" w:cs="Times New Roman"/>
          <w:sz w:val="24"/>
          <w:szCs w:val="24"/>
          <w:lang w:val="en-US"/>
        </w:rPr>
      </w:pPr>
    </w:p>
    <w:p w14:paraId="1247E6A0" w14:textId="77777777" w:rsidR="00F406BA" w:rsidRPr="00C31320" w:rsidRDefault="00F406BA" w:rsidP="00C31320">
      <w:pPr>
        <w:rPr>
          <w:rFonts w:ascii="Times New Roman" w:hAnsi="Times New Roman" w:cs="Times New Roman"/>
          <w:sz w:val="24"/>
          <w:szCs w:val="24"/>
          <w:lang w:val="en-US"/>
        </w:rPr>
      </w:pPr>
    </w:p>
    <w:sectPr w:rsidR="00F406BA"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Andrés González Santa Cruz" w:date="2024-06-25T14:32:00Z" w:initials="AG">
    <w:p w14:paraId="723637FB" w14:textId="03FBF8E3" w:rsidR="0087291E" w:rsidRPr="0087291E" w:rsidRDefault="0087291E">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63" w:author="Andrés González Santa Cruz" w:date="2024-06-25T14:55:00Z" w:initials="AG">
    <w:p w14:paraId="7A3F5902" w14:textId="0CFE846F" w:rsidR="00AF1EB1" w:rsidRPr="00AF1EB1" w:rsidRDefault="00AF1EB1">
      <w:pPr>
        <w:pStyle w:val="Textocomentario"/>
        <w:rPr>
          <w:lang w:val="es-CL"/>
        </w:rPr>
      </w:pPr>
      <w:r>
        <w:rPr>
          <w:rStyle w:val="Refdecomentario"/>
        </w:rPr>
        <w:annotationRef/>
      </w:r>
      <w:r w:rsidRPr="00AF1EB1">
        <w:rPr>
          <w:lang w:val="es-CL"/>
        </w:rPr>
        <w:t>Creo que bastaría con e</w:t>
      </w:r>
      <w:r>
        <w:rPr>
          <w:lang w:val="es-CL"/>
        </w:rPr>
        <w:t>l objetivo 3 q es el medular y por el cual se des</w:t>
      </w:r>
      <w:r w:rsidR="005C12B8">
        <w:rPr>
          <w:lang w:val="es-CL"/>
        </w:rPr>
        <w:t>p</w:t>
      </w:r>
      <w:r>
        <w:rPr>
          <w:lang w:val="es-CL"/>
        </w:rPr>
        <w:t>renden los otros dos</w:t>
      </w:r>
      <w:r w:rsidR="005C12B8">
        <w:rPr>
          <w:lang w:val="es-CL"/>
        </w:rPr>
        <w:t xml:space="preserve"> (el primero más descriptivo)</w:t>
      </w:r>
      <w:r>
        <w:rPr>
          <w:lang w:val="es-CL"/>
        </w:rPr>
        <w:t>, que son más de carácter metodológico, no? Creo que en la bajada se pueden explicar</w:t>
      </w:r>
      <w:r>
        <w:rPr>
          <w:lang w:val="es-CL"/>
        </w:rPr>
        <w:br/>
        <w:t>también saqué lo de informative observation times porque también es una minucia metodológica q no va a lo medular</w:t>
      </w:r>
    </w:p>
  </w:comment>
  <w:comment w:id="4" w:author="jose antonio ruiz-tagle" w:date="2024-06-14T09:33:00Z" w:initials="jr">
    <w:p w14:paraId="0AB10A18" w14:textId="77777777" w:rsidR="00090B7C" w:rsidRPr="00AB67F7" w:rsidRDefault="00090B7C" w:rsidP="00090B7C">
      <w:pPr>
        <w:pStyle w:val="Textocomentario"/>
        <w:rPr>
          <w:lang w:val="es-CL"/>
        </w:rPr>
      </w:pPr>
      <w:r>
        <w:rPr>
          <w:rStyle w:val="Refdecomentario"/>
        </w:rPr>
        <w:annotationRef/>
      </w:r>
      <w:r w:rsidRPr="00AB67F7">
        <w:rPr>
          <w:lang w:val="es-CL"/>
        </w:rPr>
        <w:t>Hay que agregar un background, tenemos 70 palabras para agregar</w:t>
      </w:r>
    </w:p>
  </w:comment>
  <w:comment w:id="5" w:author="Mariel Mateo" w:date="2024-06-25T14:51:00Z" w:initials="MM">
    <w:p w14:paraId="112D1AB6" w14:textId="77777777" w:rsidR="009F17AD" w:rsidRPr="00AB67F7" w:rsidRDefault="009F17AD" w:rsidP="009F17AD">
      <w:pPr>
        <w:pStyle w:val="Textocomentario"/>
        <w:rPr>
          <w:lang w:val="es-CL"/>
        </w:rPr>
      </w:pPr>
      <w:r>
        <w:rPr>
          <w:rStyle w:val="Refdecomentario"/>
        </w:rPr>
        <w:annotationRef/>
      </w:r>
      <w:r w:rsidRPr="00AB67F7">
        <w:rPr>
          <w:lang w:val="es-CL"/>
        </w:rPr>
        <w:t>Done</w:t>
      </w:r>
    </w:p>
  </w:comment>
  <w:comment w:id="86" w:author="Andrés González Santa Cruz" w:date="2024-06-25T14:40:00Z" w:initials="AG">
    <w:p w14:paraId="1FB14C80" w14:textId="78D6F6A7" w:rsidR="007F797E" w:rsidRDefault="007F797E">
      <w:pPr>
        <w:pStyle w:val="Textocomentario"/>
      </w:pPr>
      <w:r>
        <w:rPr>
          <w:rStyle w:val="Refdecomentario"/>
        </w:rPr>
        <w:annotationRef/>
      </w:r>
      <w:r>
        <w:t>Poner 95 IC</w:t>
      </w:r>
    </w:p>
  </w:comment>
  <w:comment w:id="87" w:author="Andrés González Santa Cruz" w:date="2024-06-25T14:40:00Z" w:initials="AG">
    <w:p w14:paraId="5BB339E0" w14:textId="05C01E7F" w:rsidR="007F797E" w:rsidRDefault="007F797E">
      <w:pPr>
        <w:pStyle w:val="Textocomentario"/>
      </w:pPr>
      <w:r>
        <w:rPr>
          <w:rStyle w:val="Refdecomentario"/>
        </w:rPr>
        <w:annotationRef/>
      </w:r>
    </w:p>
  </w:comment>
  <w:comment w:id="74" w:author="Mariel Mateo" w:date="2024-06-25T14:40:00Z" w:initials="MM">
    <w:p w14:paraId="59656F07" w14:textId="4A2A3099" w:rsidR="00146332" w:rsidRPr="00AB67F7" w:rsidRDefault="00146332" w:rsidP="00146332">
      <w:pPr>
        <w:pStyle w:val="Textocomentario"/>
        <w:rPr>
          <w:lang w:val="es-CL"/>
        </w:rPr>
      </w:pPr>
      <w:r>
        <w:rPr>
          <w:rStyle w:val="Refdecomentario"/>
        </w:rPr>
        <w:annotationRef/>
      </w:r>
      <w:r w:rsidRPr="00AB67F7">
        <w:rPr>
          <w:lang w:val="es-CL"/>
        </w:rPr>
        <w:t>Aca entiendo que habria que ponder los resultados para cada uno de los 3 objetivos especificos.</w:t>
      </w:r>
    </w:p>
  </w:comment>
  <w:comment w:id="75" w:author="Andrés González Santa Cruz" w:date="2024-06-25T14:56:00Z" w:initials="AG">
    <w:p w14:paraId="765BCC32" w14:textId="3C7F55E3" w:rsidR="00AF1EB1" w:rsidRPr="00AF1EB1" w:rsidRDefault="00AF1EB1">
      <w:pPr>
        <w:pStyle w:val="Textocomentario"/>
        <w:rPr>
          <w:lang w:val="es-CL"/>
        </w:rPr>
      </w:pPr>
      <w:r>
        <w:rPr>
          <w:rStyle w:val="Refdecomentario"/>
        </w:rPr>
        <w:annotationRef/>
      </w:r>
      <w:r w:rsidRPr="00AF1EB1">
        <w:rPr>
          <w:lang w:val="es-CL"/>
        </w:rPr>
        <w:t>Si nos limitamos a re</w:t>
      </w:r>
      <w:r>
        <w:rPr>
          <w:lang w:val="es-CL"/>
        </w:rPr>
        <w:t>sponder el ppal, creo que queda claro pa un abstract, no?</w:t>
      </w:r>
    </w:p>
  </w:comment>
  <w:comment w:id="117" w:author="Andrés González Santa Cruz" w:date="2024-06-25T14:42:00Z" w:initials="AG">
    <w:p w14:paraId="4F730419" w14:textId="56DF97D1" w:rsidR="007F797E" w:rsidRPr="007F797E" w:rsidRDefault="007F797E">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119" w:author="Andrés González Santa Cruz" w:date="2024-06-25T15:06:00Z" w:initials="AG">
    <w:p w14:paraId="2FAF042F" w14:textId="38DC1DC5" w:rsidR="00A13FCC" w:rsidRPr="00A13FCC" w:rsidRDefault="00A13FCC">
      <w:pPr>
        <w:pStyle w:val="Textocomentario"/>
        <w:rPr>
          <w:lang w:val="es-CL"/>
        </w:rPr>
      </w:pPr>
      <w:r>
        <w:rPr>
          <w:rStyle w:val="Refdecomentario"/>
        </w:rPr>
        <w:annotationRef/>
      </w:r>
      <w:r w:rsidRPr="00A13FCC">
        <w:rPr>
          <w:lang w:val="es-CL"/>
        </w:rPr>
        <w:t>Revisar referencia de N.G</w:t>
      </w:r>
      <w:r>
        <w:rPr>
          <w:lang w:val="es-CL"/>
        </w:rPr>
        <w:t>. Choi?</w:t>
      </w:r>
    </w:p>
  </w:comment>
  <w:comment w:id="125" w:author="Andrés González Santa Cruz" w:date="2024-06-23T21:05:00Z" w:initials="AG">
    <w:p w14:paraId="4BD33D6A" w14:textId="77777777" w:rsidR="00C273FE" w:rsidRDefault="00C273FE"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60" w:author="Mariel Mateo" w:date="2024-06-25T15:24:00Z" w:initials="MM">
    <w:p w14:paraId="3EA7D27D" w14:textId="77777777" w:rsidR="002E32F9" w:rsidRPr="00AB67F7" w:rsidRDefault="002E32F9" w:rsidP="002E32F9">
      <w:pPr>
        <w:pStyle w:val="Textocomentario"/>
        <w:rPr>
          <w:lang w:val="es-CL"/>
        </w:rPr>
      </w:pPr>
      <w:r>
        <w:rPr>
          <w:rStyle w:val="Refdecomentario"/>
        </w:rPr>
        <w:annotationRef/>
      </w:r>
      <w:r w:rsidRPr="00AB67F7">
        <w:rPr>
          <w:lang w:val="es-CL"/>
        </w:rPr>
        <w:t>No estoy tan convencida de que el vinculo entre PSU y social inequalities and vulnerabilities este claro para el lector...</w:t>
      </w:r>
    </w:p>
  </w:comment>
  <w:comment w:id="161" w:author="Mariel Mateo" w:date="2024-06-25T15:29:00Z" w:initials="MM">
    <w:p w14:paraId="4C513496" w14:textId="77777777" w:rsidR="005B0775" w:rsidRPr="00AB67F7" w:rsidRDefault="005B0775" w:rsidP="005B0775">
      <w:pPr>
        <w:pStyle w:val="Textocomentario"/>
        <w:rPr>
          <w:lang w:val="es-CL"/>
        </w:rPr>
      </w:pPr>
      <w:r>
        <w:rPr>
          <w:rStyle w:val="Refdecomentario"/>
        </w:rPr>
        <w:annotationRef/>
      </w:r>
      <w:r w:rsidRPr="00AB67F7">
        <w:rPr>
          <w:lang w:val="es-CL"/>
        </w:rPr>
        <w:t>Quizas es mas coherente con este estudio dejarlo en patients needs and inequalities en el acceso a salud...</w:t>
      </w:r>
    </w:p>
  </w:comment>
  <w:comment w:id="173" w:author="Mariel Mateo" w:date="2024-06-25T15:21:00Z" w:initials="MM">
    <w:p w14:paraId="0AAE5CB0" w14:textId="1DF97B8B" w:rsidR="002E32F9" w:rsidRPr="00AB67F7" w:rsidRDefault="002E32F9" w:rsidP="002E32F9">
      <w:pPr>
        <w:pStyle w:val="Textocomentario"/>
        <w:rPr>
          <w:lang w:val="es-CL"/>
        </w:rPr>
      </w:pPr>
      <w:r>
        <w:rPr>
          <w:rStyle w:val="Refdecomentario"/>
        </w:rPr>
        <w:annotationRef/>
      </w:r>
      <w:r w:rsidRPr="00AB67F7">
        <w:rPr>
          <w:lang w:val="es-CL"/>
        </w:rPr>
        <w:t>Este objetivo debiera ser el mismo que en el abstract. No se cual/es dejar.</w:t>
      </w:r>
    </w:p>
  </w:comment>
  <w:comment w:id="181" w:author="Mariel Mateo" w:date="2024-06-25T15:32:00Z" w:initials="MM">
    <w:p w14:paraId="4457E804" w14:textId="77777777" w:rsidR="00A56D29" w:rsidRPr="00AB67F7" w:rsidRDefault="00A56D29" w:rsidP="00A56D29">
      <w:pPr>
        <w:pStyle w:val="Textocomentario"/>
        <w:rPr>
          <w:lang w:val="es-CL"/>
        </w:rPr>
      </w:pPr>
      <w:r>
        <w:rPr>
          <w:rStyle w:val="Refdecomentario"/>
        </w:rPr>
        <w:annotationRef/>
      </w:r>
      <w:r w:rsidRPr="00AB67F7">
        <w:rPr>
          <w:lang w:val="es-CL"/>
        </w:rPr>
        <w:t>No entiendo la sigla</w:t>
      </w:r>
    </w:p>
  </w:comment>
  <w:comment w:id="182" w:author="Andrés González Santa Cruz" w:date="2024-06-25T15:44:00Z" w:initials="AG">
    <w:p w14:paraId="137B7F84" w14:textId="19740BF7" w:rsidR="007E3CC9" w:rsidRPr="007E3CC9" w:rsidRDefault="007E3CC9">
      <w:pPr>
        <w:pStyle w:val="Textocomentario"/>
        <w:rPr>
          <w:lang w:val="es-CL"/>
        </w:rPr>
      </w:pPr>
      <w:r>
        <w:rPr>
          <w:rStyle w:val="Refdecomentario"/>
        </w:rPr>
        <w:annotationRef/>
      </w:r>
      <w:r w:rsidRPr="007E3CC9">
        <w:rPr>
          <w:lang w:val="es-CL"/>
        </w:rPr>
        <w:t>Espero h</w:t>
      </w:r>
      <w:r>
        <w:rPr>
          <w:lang w:val="es-CL"/>
        </w:rPr>
        <w:t>aberla aclarado</w:t>
      </w:r>
    </w:p>
  </w:comment>
  <w:comment w:id="205" w:author="Mariel Mateo" w:date="2024-06-25T15:38:00Z" w:initials="MM">
    <w:p w14:paraId="1568F2F2" w14:textId="77777777" w:rsidR="00B722A3" w:rsidRDefault="00B722A3" w:rsidP="00B722A3">
      <w:pPr>
        <w:pStyle w:val="Textocomentario"/>
      </w:pPr>
      <w:r>
        <w:rPr>
          <w:rStyle w:val="Refdecomentario"/>
        </w:rPr>
        <w:annotationRef/>
      </w:r>
      <w:r w:rsidRPr="00AB67F7">
        <w:rPr>
          <w:lang w:val="es-CL"/>
        </w:rPr>
        <w:t xml:space="preserve">Mis supervisores criticaron eta etiqueta porque no se entiende. </w:t>
      </w:r>
      <w:r>
        <w:rPr>
          <w:lang w:val="en-AU"/>
        </w:rPr>
        <w:t>En su lugar, ellos propusieron: ‘assessment incomplete’. It refers to cases under examination, so no information is available to confirm or rule out a diagnosis.</w:t>
      </w:r>
    </w:p>
  </w:comment>
  <w:comment w:id="206" w:author="Andrés González Santa Cruz" w:date="2024-06-25T15:45:00Z" w:initials="AG">
    <w:p w14:paraId="36D516D6" w14:textId="00862830" w:rsidR="007E3CC9" w:rsidRPr="007E3CC9" w:rsidRDefault="007E3CC9">
      <w:pPr>
        <w:pStyle w:val="Textocomentario"/>
        <w:rPr>
          <w:lang w:val="es-CL"/>
        </w:rPr>
      </w:pPr>
      <w:r>
        <w:rPr>
          <w:rStyle w:val="Refdecomentario"/>
        </w:rPr>
        <w:annotationRef/>
      </w:r>
      <w:r w:rsidRPr="007E3CC9">
        <w:rPr>
          <w:lang w:val="es-CL"/>
        </w:rPr>
        <w:t>Creo que lo agregaré</w:t>
      </w:r>
      <w:r>
        <w:rPr>
          <w:lang w:val="es-CL"/>
        </w:rPr>
        <w:t xml:space="preserve"> a la sección suplementaria</w:t>
      </w:r>
    </w:p>
  </w:comment>
  <w:comment w:id="214" w:author="Mariel Mateo" w:date="2024-06-25T15:39:00Z" w:initials="MM">
    <w:p w14:paraId="67444F4B" w14:textId="77777777" w:rsidR="00B722A3" w:rsidRPr="00AB67F7" w:rsidRDefault="00B722A3" w:rsidP="00B722A3">
      <w:pPr>
        <w:pStyle w:val="Textocomentario"/>
        <w:rPr>
          <w:lang w:val="es-CL"/>
        </w:rPr>
      </w:pPr>
      <w:r>
        <w:rPr>
          <w:rStyle w:val="Refdecomentario"/>
        </w:rPr>
        <w:annotationRef/>
      </w:r>
      <w:r w:rsidRPr="00AB67F7">
        <w:rPr>
          <w:lang w:val="es-CL"/>
        </w:rPr>
        <w:t>idem</w:t>
      </w:r>
    </w:p>
  </w:comment>
  <w:comment w:id="230" w:author="Andrés González Santa Cruz" w:date="2024-06-27T12:14:00Z" w:initials="AG">
    <w:p w14:paraId="6F9E2CFC" w14:textId="77777777" w:rsidR="00FE4FE6" w:rsidRPr="00FE4FE6" w:rsidRDefault="00FE4FE6" w:rsidP="00FE4FE6">
      <w:pPr>
        <w:pStyle w:val="Textocomentario"/>
        <w:rPr>
          <w:lang w:val="es-CL"/>
        </w:rPr>
      </w:pPr>
      <w:r>
        <w:rPr>
          <w:rStyle w:val="Refdecomentario"/>
        </w:rPr>
        <w:annotationRef/>
      </w:r>
      <w:r w:rsidRPr="00FE4FE6">
        <w:t xml:space="preserve">Kaufman, J. S., &amp; MacLehose, R. F. (2013). Which of these things is not like the others? </w:t>
      </w:r>
      <w:r w:rsidRPr="00FE4FE6">
        <w:rPr>
          <w:lang w:val="es-CL"/>
        </w:rPr>
        <w:t>Cancer, 119(24), 4216-4222. https://doi.org/10.1002/cncr.28359</w:t>
      </w:r>
    </w:p>
  </w:comment>
  <w:comment w:id="228" w:author="Andrés González Santa Cruz" w:date="2024-06-27T12:13:00Z" w:initials="AG">
    <w:p w14:paraId="2230B928" w14:textId="77777777" w:rsidR="00FE4FE6" w:rsidRPr="00FE4FE6" w:rsidRDefault="00FE4FE6" w:rsidP="00FE4FE6">
      <w:pPr>
        <w:pStyle w:val="Textocomentario"/>
        <w:rPr>
          <w:lang w:val="es-CL"/>
        </w:rPr>
      </w:pPr>
      <w:r>
        <w:rPr>
          <w:rStyle w:val="Refdecomentario"/>
        </w:rPr>
        <w:annotationRef/>
      </w:r>
    </w:p>
  </w:comment>
  <w:comment w:id="229" w:author="Andrés González Santa Cruz" w:date="2024-06-27T12:13:00Z" w:initials="AG">
    <w:p w14:paraId="423C05E1" w14:textId="77777777" w:rsidR="00FE4FE6" w:rsidRPr="00FE4FE6" w:rsidRDefault="00FE4FE6" w:rsidP="00FE4FE6">
      <w:pPr>
        <w:pStyle w:val="Textocomentario"/>
        <w:rPr>
          <w:lang w:val="es-CL"/>
        </w:rPr>
      </w:pPr>
      <w:r>
        <w:rPr>
          <w:rStyle w:val="Refdecomentario"/>
        </w:rPr>
        <w:annotationRef/>
      </w:r>
    </w:p>
  </w:comment>
  <w:comment w:id="268" w:author="jose antonio ruiz-tagle" w:date="2024-06-14T09:43:00Z" w:initials="jr">
    <w:p w14:paraId="47D3D972" w14:textId="55498027" w:rsidR="000F254D" w:rsidRPr="00AB67F7" w:rsidRDefault="000F254D" w:rsidP="000F254D">
      <w:pPr>
        <w:pStyle w:val="Textocomentario"/>
        <w:rPr>
          <w:lang w:val="es-CL"/>
        </w:rPr>
      </w:pPr>
      <w:r>
        <w:rPr>
          <w:rStyle w:val="Refdecomentario"/>
        </w:rPr>
        <w:annotationRef/>
      </w:r>
      <w:r w:rsidRPr="00AB67F7">
        <w:rPr>
          <w:lang w:val="es-CL"/>
        </w:rPr>
        <w:t>Actualizar en la versión final</w:t>
      </w:r>
    </w:p>
  </w:comment>
  <w:comment w:id="345" w:author="Mariel Mateo" w:date="2024-06-25T15:56:00Z" w:initials="MM">
    <w:p w14:paraId="0975F531" w14:textId="77777777" w:rsidR="00421889" w:rsidRPr="00AB67F7" w:rsidRDefault="00F073A8" w:rsidP="00421889">
      <w:pPr>
        <w:pStyle w:val="Textocomentario"/>
        <w:rPr>
          <w:lang w:val="es-CL"/>
        </w:rPr>
      </w:pPr>
      <w:r>
        <w:rPr>
          <w:rStyle w:val="Refdecomentario"/>
        </w:rPr>
        <w:annotationRef/>
      </w:r>
      <w:r w:rsidR="00421889" w:rsidRPr="00AB67F7">
        <w:rPr>
          <w:lang w:val="es-CL"/>
        </w:rPr>
        <w:t xml:space="preserve">En vez de esto yo organizaria la info en torno a cada objetivo especifico. De nuevo, o modificaria los objetivos, o la redaccion de los resultados, para que ambos sean coherentes. </w:t>
      </w:r>
    </w:p>
    <w:p w14:paraId="0D4C0D54" w14:textId="77777777" w:rsidR="00421889" w:rsidRPr="00AB67F7" w:rsidRDefault="00421889" w:rsidP="00421889">
      <w:pPr>
        <w:pStyle w:val="Textocomentario"/>
        <w:rPr>
          <w:lang w:val="es-CL"/>
        </w:rPr>
      </w:pPr>
    </w:p>
    <w:p w14:paraId="12D2ADEA" w14:textId="77777777" w:rsidR="00421889" w:rsidRPr="00AB67F7" w:rsidRDefault="00421889" w:rsidP="00421889">
      <w:pPr>
        <w:pStyle w:val="Textocomentario"/>
        <w:rPr>
          <w:lang w:val="es-CL"/>
        </w:rPr>
      </w:pPr>
      <w:r w:rsidRPr="00AB67F7">
        <w:rPr>
          <w:lang w:val="es-CL"/>
        </w:rPr>
        <w:t>Creo que confunde hablar de readmission aca. Tambien seria consistente con hablar de treatment completion, non-completion en lugar de dropout/misspelling.</w:t>
      </w:r>
    </w:p>
  </w:comment>
  <w:comment w:id="346" w:author="Mariel Mateo" w:date="2024-06-25T16:04:00Z" w:initials="MM">
    <w:p w14:paraId="50F32FC5" w14:textId="7F6D6616" w:rsidR="00F073A8" w:rsidRDefault="00F073A8" w:rsidP="00F073A8">
      <w:pPr>
        <w:pStyle w:val="Textocomentario"/>
      </w:pPr>
      <w:r>
        <w:rPr>
          <w:rStyle w:val="Refdecomentario"/>
        </w:rPr>
        <w:annotationRef/>
      </w:r>
      <w:r>
        <w:t xml:space="preserve">1) To describe the incidence of PSU reports and treatment completion in the Chilean context, </w:t>
      </w:r>
    </w:p>
    <w:p w14:paraId="1C7C66B8" w14:textId="77777777" w:rsidR="00F073A8" w:rsidRDefault="00F073A8" w:rsidP="00F073A8">
      <w:pPr>
        <w:pStyle w:val="Textocomentario"/>
      </w:pPr>
      <w:r>
        <w:t xml:space="preserve">(2) to compare the association of treatment completion rates between individuals reporting PSU and single-substance use at admission, and </w:t>
      </w:r>
    </w:p>
    <w:p w14:paraId="71D75827" w14:textId="77777777" w:rsidR="00F073A8" w:rsidRDefault="00F073A8" w:rsidP="00F073A8">
      <w:pPr>
        <w:pStyle w:val="Textocomentario"/>
      </w:pPr>
      <w:r>
        <w:t>(3) to estimate the association between reporting PSU at admission and treatment completion, accounting for irregular and informative observation times</w:t>
      </w:r>
    </w:p>
  </w:comment>
  <w:comment w:id="347" w:author="Andrés González Santa Cruz" w:date="2024-06-26T12:08:00Z" w:initials="AG">
    <w:p w14:paraId="39097985" w14:textId="79F740DF" w:rsidR="008C72D9" w:rsidRPr="008C72D9" w:rsidRDefault="008C72D9">
      <w:pPr>
        <w:pStyle w:val="Textocomentario"/>
        <w:rPr>
          <w:lang w:val="es-CL"/>
        </w:rPr>
      </w:pPr>
      <w:r>
        <w:rPr>
          <w:rStyle w:val="Refdecomentario"/>
        </w:rPr>
        <w:annotationRef/>
      </w:r>
      <w:r w:rsidRPr="008C72D9">
        <w:rPr>
          <w:lang w:val="es-CL"/>
        </w:rPr>
        <w:t>Lo incorporé al</w:t>
      </w:r>
      <w:r>
        <w:rPr>
          <w:lang w:val="es-CL"/>
        </w:rPr>
        <w:t xml:space="preserve"> material suplementario y reemplacé los conceptos no abordados</w:t>
      </w:r>
    </w:p>
  </w:comment>
  <w:comment w:id="407" w:author="Mariel Mateo" w:date="2024-06-25T16:08:00Z" w:initials="MM">
    <w:p w14:paraId="3D312DD0" w14:textId="77777777" w:rsidR="00421889" w:rsidRPr="00AB67F7" w:rsidRDefault="00421889" w:rsidP="00421889">
      <w:pPr>
        <w:pStyle w:val="Textocomentario"/>
        <w:rPr>
          <w:lang w:val="es-CL"/>
        </w:rPr>
      </w:pPr>
      <w:r>
        <w:rPr>
          <w:rStyle w:val="Refdecomentario"/>
        </w:rPr>
        <w:annotationRef/>
      </w:r>
      <w:r w:rsidRPr="00AB67F7">
        <w:rPr>
          <w:lang w:val="es-CL"/>
        </w:rPr>
        <w:t>Yo incluiria tambien una section de sensitivity analysis en la seccion de metodos...</w:t>
      </w:r>
    </w:p>
  </w:comment>
  <w:comment w:id="450" w:author="Andrés González Santa Cruz" w:date="2024-06-27T13:38:00Z" w:initials="AG">
    <w:p w14:paraId="4EC5DE24" w14:textId="57D7BFA1" w:rsidR="00705200" w:rsidRPr="00705200" w:rsidRDefault="00705200">
      <w:pPr>
        <w:pStyle w:val="Textocomentario"/>
        <w:rPr>
          <w:lang w:val="es-CL"/>
        </w:rPr>
      </w:pPr>
      <w:r>
        <w:rPr>
          <w:rStyle w:val="Refdecomentario"/>
        </w:rPr>
        <w:annotationRef/>
      </w:r>
      <w:r w:rsidR="00000000" w:rsidRPr="00705200">
        <w:rPr>
          <w:noProof/>
          <w:lang w:val="es-CL"/>
        </w:rPr>
        <w:t>c</w:t>
      </w:r>
      <w:r w:rsidR="00000000">
        <w:rPr>
          <w:noProof/>
          <w:lang w:val="es-CL"/>
        </w:rPr>
        <w:t>orresponderá a la discusión</w:t>
      </w:r>
      <w:r w:rsidR="00000000">
        <w:rPr>
          <w:noProof/>
          <w:lang w:val="es-CL"/>
        </w:rPr>
        <w:t>??</w:t>
      </w:r>
    </w:p>
  </w:comment>
  <w:comment w:id="474" w:author="Mariel Mateo" w:date="2024-06-25T16:12:00Z" w:initials="MM">
    <w:p w14:paraId="65290390" w14:textId="77777777" w:rsidR="00421889" w:rsidRPr="00AB67F7" w:rsidRDefault="00421889" w:rsidP="00421889">
      <w:pPr>
        <w:pStyle w:val="Textocomentario"/>
        <w:rPr>
          <w:lang w:val="es-CL"/>
        </w:rPr>
      </w:pPr>
      <w:r>
        <w:rPr>
          <w:rStyle w:val="Refdecomentario"/>
        </w:rPr>
        <w:annotationRef/>
      </w:r>
      <w:r w:rsidRPr="00AB67F7">
        <w:rPr>
          <w:lang w:val="es-CL"/>
        </w:rPr>
        <w:t>Me choca un poco partir por esto, en lugar de partir por cuales son los findings respecto a los objetivos del estudio.</w:t>
      </w:r>
    </w:p>
  </w:comment>
  <w:comment w:id="475" w:author="Mariel Mateo" w:date="2024-06-25T16:23:00Z" w:initials="MM">
    <w:p w14:paraId="5729CA12" w14:textId="77777777" w:rsidR="00B8472E" w:rsidRPr="00AB67F7" w:rsidRDefault="00467745" w:rsidP="00B8472E">
      <w:pPr>
        <w:pStyle w:val="Textocomentario"/>
        <w:rPr>
          <w:lang w:val="es-CL"/>
        </w:rPr>
      </w:pPr>
      <w:r>
        <w:rPr>
          <w:rStyle w:val="Refdecomentario"/>
        </w:rPr>
        <w:annotationRef/>
      </w:r>
      <w:r w:rsidR="00B8472E" w:rsidRPr="00AB67F7">
        <w:rPr>
          <w:lang w:val="es-CL"/>
        </w:rPr>
        <w:t>Tambien me confunde la centralidad dada a las readmisiones dado la definicion de los objetivos del estudio. Por esto, de nuevo, me parece que hay que decidir si modificar los objetivos -para incluir la asociacion ente readmision y PSU - o bien, la sacaria de los resultados...</w:t>
      </w:r>
    </w:p>
  </w:comment>
  <w:comment w:id="478" w:author="Mariel Mateo" w:date="2024-06-25T16:13:00Z" w:initials="MM">
    <w:p w14:paraId="3AFF84DE" w14:textId="64BA2736" w:rsidR="00421889" w:rsidRDefault="00421889" w:rsidP="00421889">
      <w:pPr>
        <w:pStyle w:val="Textocomentario"/>
      </w:pPr>
      <w:r>
        <w:rPr>
          <w:rStyle w:val="Refdecomentario"/>
        </w:rPr>
        <w:annotationRef/>
      </w:r>
      <w:r>
        <w:rPr>
          <w:lang w:val="en-AU"/>
        </w:rPr>
        <w:t>Supply?</w:t>
      </w:r>
    </w:p>
  </w:comment>
  <w:comment w:id="479" w:author="Andrés González Santa Cruz" w:date="2024-05-19T22:01:00Z" w:initials="AG">
    <w:p w14:paraId="2D4B6D73" w14:textId="02D6BDC4" w:rsidR="00C31320" w:rsidRDefault="00C31320" w:rsidP="00C31320">
      <w:pPr>
        <w:pStyle w:val="Textocomentario"/>
      </w:pPr>
      <w:r>
        <w:rPr>
          <w:rStyle w:val="Refdecomentario"/>
          <w:rFonts w:eastAsiaTheme="majorEastAsia"/>
        </w:rPr>
        <w:annotationRef/>
      </w:r>
      <w:r>
        <w:t>The main reasons for abandonment of TCs were "not accepting the rules of the institution",</w:t>
      </w:r>
    </w:p>
    <w:p w14:paraId="41B296F0" w14:textId="77777777" w:rsidR="00C31320" w:rsidRDefault="00C31320" w:rsidP="00C31320">
      <w:pPr>
        <w:pStyle w:val="Textocomentario"/>
      </w:pPr>
      <w:r>
        <w:t>"lack of money" and "not feeling comfortable with the facilities".</w:t>
      </w:r>
      <w:r>
        <w:br/>
        <w:t>-Gómez-Restrepo C, Maldonado P, Rodríguez N, Ruiz-Gaviria R, Escalante MÁ, Gómez RÁ, de Araujo</w:t>
      </w:r>
    </w:p>
    <w:p w14:paraId="7B555DEF" w14:textId="77777777" w:rsidR="00C31320" w:rsidRDefault="00C31320" w:rsidP="00C31320">
      <w:pPr>
        <w:pStyle w:val="Textocomentario"/>
      </w:pPr>
      <w:r>
        <w:t>MR, de Oliveira ACS, Rivera JSC, García JAG, Ferrand MP, Blitchtein-Winicki D. Quality measurers of therapeutic communities for substance dependence: an international collaborative study survey in Latin America. Subst Abuse Treat Prev Policy. 2017 Dec 20;12(1):53. doi: 10.1186/s13011-017-0129-y.</w:t>
      </w:r>
    </w:p>
    <w:p w14:paraId="1501977B" w14:textId="77777777" w:rsidR="00C31320" w:rsidRDefault="00C31320" w:rsidP="00C31320">
      <w:pPr>
        <w:pStyle w:val="Textocomentario"/>
      </w:pPr>
      <w:r>
        <w:t>PMID: 29262838; PMCID: PMC5738167.</w:t>
      </w:r>
    </w:p>
  </w:comment>
  <w:comment w:id="480" w:author="Andrés González Santa Cruz" w:date="2024-05-19T22:02:00Z" w:initials="AG">
    <w:p w14:paraId="791D14AF" w14:textId="77777777" w:rsidR="00C31320" w:rsidRDefault="00C31320" w:rsidP="00C31320">
      <w:pPr>
        <w:pStyle w:val="Textocomentario"/>
      </w:pPr>
      <w:r>
        <w:rPr>
          <w:rStyle w:val="Refdecomentario"/>
          <w:rFonts w:eastAsiaTheme="majorEastAsia"/>
        </w:rPr>
        <w:annotationRef/>
      </w:r>
      <w:r>
        <w:t>Passos SR, Camacho LA. Factors associated with immediate dropout of outpatient treatment for drug</w:t>
      </w:r>
    </w:p>
    <w:p w14:paraId="6BAF76F5" w14:textId="77777777" w:rsidR="00C31320" w:rsidRDefault="00C31320" w:rsidP="00C31320">
      <w:pPr>
        <w:pStyle w:val="Textocomentario"/>
      </w:pPr>
      <w:r>
        <w:t>abuse in Rio de Janeiro. Soc Psychiatry Psychiatr Epidemiol. 2000 Nov;35(11):513-7. doi:</w:t>
      </w:r>
    </w:p>
    <w:p w14:paraId="457378BC" w14:textId="77777777" w:rsidR="00C31320" w:rsidRDefault="00C31320" w:rsidP="00C31320">
      <w:pPr>
        <w:pStyle w:val="Textocomentario"/>
        <w:rPr>
          <w:lang w:val="es-CL"/>
        </w:rPr>
      </w:pPr>
      <w:r w:rsidRPr="00AB67F7">
        <w:rPr>
          <w:lang w:val="es-CL"/>
        </w:rPr>
        <w:t>10.1007/s001270050273. PMID: 11197927.</w:t>
      </w:r>
      <w:r w:rsidRPr="00AB67F7">
        <w:rPr>
          <w:lang w:val="es-CL"/>
        </w:rPr>
        <w:br/>
      </w:r>
      <w:r w:rsidRPr="00AB67F7">
        <w:rPr>
          <w:lang w:val="es-CL"/>
        </w:rPr>
        <w:br/>
        <w:t>pacientes con una historia de enfermdedad mental abandonadban 1.5 más; quienes tenían una historia con al ley,</w:t>
      </w:r>
    </w:p>
  </w:comment>
  <w:comment w:id="482" w:author="Andrés González Santa Cruz" w:date="2024-05-19T19:43:00Z" w:initials="AG">
    <w:p w14:paraId="79EB9524" w14:textId="77777777" w:rsidR="00C31320" w:rsidRPr="00AB67F7" w:rsidRDefault="00C31320" w:rsidP="00C31320">
      <w:pPr>
        <w:pStyle w:val="Textocomentario"/>
        <w:rPr>
          <w:lang w:val="es-CL"/>
        </w:rPr>
      </w:pPr>
      <w:r>
        <w:rPr>
          <w:rStyle w:val="Refdecomentario"/>
          <w:rFonts w:eastAsiaTheme="majorEastAsia"/>
        </w:rPr>
        <w:annotationRef/>
      </w:r>
      <w:r w:rsidRPr="00AB67F7">
        <w:rPr>
          <w:lang w:val="es-CL"/>
        </w:rPr>
        <w:t xml:space="preserve">Plan de acción 2024-2030, </w:t>
      </w:r>
      <w:r w:rsidRPr="00AB67F7">
        <w:rPr>
          <w:lang w:val="es-CL"/>
        </w:rPr>
        <w:br/>
        <w:t>ampliar oferta socioeducativa, personas cesantes e inactivas</w:t>
      </w:r>
      <w:r w:rsidRPr="00AB67F7">
        <w:rPr>
          <w:lang w:val="es-CL"/>
        </w:rPr>
        <w:br/>
        <w:t>Ampliar la cobertura para el programa de población específica de mujeres, con especial énfasis en gestantes y puérperas.</w:t>
      </w:r>
      <w:r w:rsidRPr="00AB67F7">
        <w:rPr>
          <w:lang w:val="es-CL"/>
        </w:rPr>
        <w:br/>
      </w:r>
      <w:r w:rsidRPr="00AB67F7">
        <w:rPr>
          <w:lang w:val="es-CL"/>
        </w:rPr>
        <w:br/>
        <w:t>Ampliar la participación laboral en personas en procesos de recuperación para contribuir a su autonomía económica, con especial énfasis en mujeres</w:t>
      </w:r>
      <w:r w:rsidRPr="00AB67F7">
        <w:rPr>
          <w:lang w:val="es-CL"/>
        </w:rPr>
        <w:br/>
      </w:r>
      <w:r w:rsidRPr="00AB67F7">
        <w:rPr>
          <w:lang w:val="es-CL"/>
        </w:rPr>
        <w:br/>
        <w:t>https://www.senda.gob.cl/wp-content/uploads/2024/05/Plan-de-Accion-2024-2030.pdf</w:t>
      </w:r>
    </w:p>
  </w:comment>
  <w:comment w:id="485" w:author="Andrés González Santa Cruz" w:date="2024-05-16T17:22:00Z" w:initials="AG">
    <w:p w14:paraId="5DC585E8" w14:textId="77777777" w:rsidR="00C31320" w:rsidRDefault="00C31320"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7DAEEA9F" w14:textId="77777777" w:rsidR="00C31320" w:rsidRDefault="00C31320" w:rsidP="00C31320">
      <w:pPr>
        <w:pStyle w:val="Textocomentario"/>
        <w:rPr>
          <w:lang w:eastAsia="es-ES_tradnl"/>
        </w:rPr>
      </w:pPr>
    </w:p>
  </w:comment>
  <w:comment w:id="486" w:author="Andrés González Santa Cruz" w:date="2024-05-16T17:53:00Z" w:initials="AG">
    <w:p w14:paraId="3A6BD1B2" w14:textId="77777777" w:rsidR="00C31320" w:rsidRDefault="00C31320" w:rsidP="00C31320">
      <w:pPr>
        <w:pStyle w:val="Textocomentario"/>
      </w:pPr>
      <w:r>
        <w:rPr>
          <w:rStyle w:val="Refdecomentario"/>
          <w:rFonts w:eastAsiaTheme="majorEastAsia"/>
        </w:rPr>
        <w:annotationRef/>
      </w:r>
      <w:r>
        <w:t>An introduction to flexible parametric survival</w:t>
      </w:r>
    </w:p>
    <w:p w14:paraId="55585DEC" w14:textId="77777777" w:rsidR="00C31320" w:rsidRDefault="00C31320" w:rsidP="00C31320">
      <w:pPr>
        <w:pStyle w:val="Textocomentario"/>
      </w:pPr>
      <w:r>
        <w:t xml:space="preserve"> models and a discussion of the proportional</w:t>
      </w:r>
    </w:p>
    <w:p w14:paraId="3A1812C8" w14:textId="77777777" w:rsidR="00C31320" w:rsidRDefault="00C31320" w:rsidP="00C31320">
      <w:pPr>
        <w:pStyle w:val="Textocomentario"/>
      </w:pPr>
      <w:r>
        <w:t xml:space="preserve"> hazards assumption</w:t>
      </w:r>
    </w:p>
    <w:p w14:paraId="489559A6" w14:textId="77777777" w:rsidR="00C31320" w:rsidRDefault="00C31320" w:rsidP="00C31320">
      <w:pPr>
        <w:pStyle w:val="Textocomentario"/>
      </w:pPr>
      <w:r>
        <w:t xml:space="preserve"> Paul W Dickman</w:t>
      </w:r>
    </w:p>
    <w:p w14:paraId="249D0ABA" w14:textId="77777777" w:rsidR="00C31320" w:rsidRDefault="00C31320" w:rsidP="00C31320">
      <w:pPr>
        <w:pStyle w:val="Textocomentario"/>
      </w:pPr>
      <w:r>
        <w:t xml:space="preserve"> Professor of Biostatistics</w:t>
      </w:r>
    </w:p>
    <w:p w14:paraId="37B137BF" w14:textId="77777777" w:rsidR="00C31320" w:rsidRDefault="00C31320" w:rsidP="00C31320">
      <w:pPr>
        <w:pStyle w:val="Textocomentario"/>
      </w:pPr>
      <w:r>
        <w:t xml:space="preserve"> Karolinska Institutet</w:t>
      </w:r>
    </w:p>
    <w:p w14:paraId="24B45A61" w14:textId="77777777" w:rsidR="00C31320" w:rsidRDefault="00C31320" w:rsidP="00C31320">
      <w:pPr>
        <w:pStyle w:val="Textocomentario"/>
      </w:pPr>
      <w:r>
        <w:t xml:space="preserve"> Talk at: Department of Statistics and Quantitative Methods</w:t>
      </w:r>
    </w:p>
    <w:p w14:paraId="35FBF35C" w14:textId="77777777" w:rsidR="00C31320" w:rsidRDefault="00C31320" w:rsidP="00C31320">
      <w:pPr>
        <w:pStyle w:val="Textocomentario"/>
      </w:pPr>
      <w:r>
        <w:t xml:space="preserve"> University of Milano-Bicocca</w:t>
      </w:r>
    </w:p>
    <w:p w14:paraId="1DB3EC23" w14:textId="77777777" w:rsidR="00C31320" w:rsidRDefault="00C31320" w:rsidP="00C31320">
      <w:pPr>
        <w:pStyle w:val="Textocomentario"/>
      </w:pPr>
      <w:r>
        <w:t xml:space="preserve"> 31 Mar 2023</w:t>
      </w:r>
    </w:p>
    <w:p w14:paraId="1A76BAC8" w14:textId="77777777" w:rsidR="00C31320" w:rsidRDefault="00C31320" w:rsidP="00C31320">
      <w:pPr>
        <w:pStyle w:val="Textocomentario"/>
      </w:pPr>
      <w:r>
        <w:t xml:space="preserve"> http://pauldickman.com/talk/ An introduction to flexible parametric survival models and a discussion of the proportional hazards assumption Paul W Dickman Professor of Biostatistics Karolinska Institutet Talk at: Department of Statistics and Quantitative Methods University of Milano-Bicocca 31 Mar 2023 http://pauldickman.com/talk/</w:t>
      </w:r>
      <w:r>
        <w:br/>
      </w:r>
      <w:r>
        <w:br/>
        <w:t>https://www.pauldickman.com/pdf/talk-milan-mar2023.pdf</w:t>
      </w:r>
    </w:p>
  </w:comment>
  <w:comment w:id="487" w:author="Andrés González Santa Cruz" w:date="2024-05-16T17:26:00Z" w:initials="AG">
    <w:p w14:paraId="57E849BF" w14:textId="77777777" w:rsidR="00C31320" w:rsidRDefault="00C31320"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488" w:author="Andrés González Santa Cruz" w:date="2024-05-16T17:50:00Z" w:initials="AG">
    <w:p w14:paraId="0561FBFB" w14:textId="77777777" w:rsidR="00C31320" w:rsidRDefault="00C31320" w:rsidP="00C31320">
      <w:pPr>
        <w:pStyle w:val="Textocomentario"/>
      </w:pPr>
      <w:r>
        <w:rPr>
          <w:rStyle w:val="Refdecomentario"/>
          <w:rFonts w:eastAsiaTheme="majorEastAsia"/>
        </w:rPr>
        <w:annotationRef/>
      </w:r>
      <w:r>
        <w:t>•</w:t>
      </w:r>
      <w:r>
        <w:tab/>
        <w:t>Jardillier, R., Koca, D., Chatelain, F., &amp; Guyon, L. (2022). Prognosis of lasso-like penalized Cox models with tumor profiling improves prediction over clinical data alone and benefits from bi-dimensional pre-screening. BMC Cancer, 22. https://doi.org/10.1186/s12885-022-10117-1</w:t>
      </w:r>
    </w:p>
  </w:comment>
  <w:comment w:id="500" w:author="Andrés González Santa Cruz" w:date="2024-05-16T17:38:00Z" w:initials="AG">
    <w:p w14:paraId="1B0C8CA0" w14:textId="77777777" w:rsidR="00C31320" w:rsidRDefault="00C31320" w:rsidP="00C31320">
      <w:pPr>
        <w:rPr>
          <w:lang w:val="en-US"/>
        </w:rPr>
      </w:pPr>
      <w:r>
        <w:rPr>
          <w:rStyle w:val="Refdecomentario"/>
        </w:rPr>
        <w:annotationRef/>
      </w:r>
      <w:r>
        <w:t>do not allow right censoring depending on the past of the recurrent event process, nor more general time-dependent treatment interventions</w:t>
      </w:r>
    </w:p>
    <w:p w14:paraId="4B7B91B1" w14:textId="77777777" w:rsidR="00C31320" w:rsidRDefault="00C31320" w:rsidP="00C31320">
      <w:pPr>
        <w:pStyle w:val="Textocomentario"/>
      </w:pPr>
      <w:r>
        <w:br/>
        <w:t>https://arxiv.org/pdf/2404.01736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3637FB" w15:done="0"/>
  <w15:commentEx w15:paraId="7A3F5902" w15:done="0"/>
  <w15:commentEx w15:paraId="0AB10A18" w15:done="0"/>
  <w15:commentEx w15:paraId="112D1AB6" w15:paraIdParent="0AB10A18" w15:done="0"/>
  <w15:commentEx w15:paraId="1FB14C80" w15:done="0"/>
  <w15:commentEx w15:paraId="5BB339E0" w15:paraIdParent="1FB14C80" w15:done="0"/>
  <w15:commentEx w15:paraId="59656F07" w15:done="0"/>
  <w15:commentEx w15:paraId="765BCC32" w15:paraIdParent="59656F07" w15:done="0"/>
  <w15:commentEx w15:paraId="4F730419" w15:done="0"/>
  <w15:commentEx w15:paraId="2FAF042F" w15:done="0"/>
  <w15:commentEx w15:paraId="4BD33D6A" w15:done="0"/>
  <w15:commentEx w15:paraId="3EA7D27D" w15:done="0"/>
  <w15:commentEx w15:paraId="4C513496" w15:paraIdParent="3EA7D27D" w15:done="0"/>
  <w15:commentEx w15:paraId="0AAE5CB0" w15:done="0"/>
  <w15:commentEx w15:paraId="4457E804" w15:done="0"/>
  <w15:commentEx w15:paraId="137B7F84" w15:paraIdParent="4457E804" w15:done="0"/>
  <w15:commentEx w15:paraId="1568F2F2" w15:done="0"/>
  <w15:commentEx w15:paraId="36D516D6" w15:paraIdParent="1568F2F2" w15:done="0"/>
  <w15:commentEx w15:paraId="67444F4B" w15:done="0"/>
  <w15:commentEx w15:paraId="6F9E2CFC" w15:done="0"/>
  <w15:commentEx w15:paraId="2230B928" w15:done="0"/>
  <w15:commentEx w15:paraId="423C05E1" w15:done="0"/>
  <w15:commentEx w15:paraId="47D3D972" w15:done="0"/>
  <w15:commentEx w15:paraId="12D2ADEA" w15:done="0"/>
  <w15:commentEx w15:paraId="71D75827" w15:paraIdParent="12D2ADEA" w15:done="0"/>
  <w15:commentEx w15:paraId="39097985" w15:paraIdParent="12D2ADEA" w15:done="0"/>
  <w15:commentEx w15:paraId="3D312DD0" w15:done="0"/>
  <w15:commentEx w15:paraId="4EC5DE24" w15:done="0"/>
  <w15:commentEx w15:paraId="65290390" w15:done="0"/>
  <w15:commentEx w15:paraId="5729CA12" w15:paraIdParent="65290390" w15:done="0"/>
  <w15:commentEx w15:paraId="3AFF84DE" w15:done="0"/>
  <w15:commentEx w15:paraId="1501977B" w15:done="0"/>
  <w15:commentEx w15:paraId="457378BC" w15:done="0"/>
  <w15:commentEx w15:paraId="79EB9524" w15:done="0"/>
  <w15:commentEx w15:paraId="7DAEEA9F" w15:done="1"/>
  <w15:commentEx w15:paraId="1A76BAC8" w15:done="0"/>
  <w15:commentEx w15:paraId="57E849BF" w15:done="1"/>
  <w15:commentEx w15:paraId="0561FBFB" w15:done="1"/>
  <w15:commentEx w15:paraId="4B7B9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56DD78D3" w16cex:dateUtc="2024-06-25T18:55:00Z"/>
  <w16cex:commentExtensible w16cex:durableId="2CCDCEC9" w16cex:dateUtc="2024-06-14T13:33:00Z"/>
  <w16cex:commentExtensible w16cex:durableId="4DD6549B" w16cex:dateUtc="2024-06-25T04:51:00Z"/>
  <w16cex:commentExtensible w16cex:durableId="4E3ED5E5" w16cex:dateUtc="2024-06-25T18:40:00Z"/>
  <w16cex:commentExtensible w16cex:durableId="2F399FFA" w16cex:dateUtc="2024-06-25T18:40: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435E116F" w16cex:dateUtc="2024-06-24T01:05: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72E7514B" w16cex:dateUtc="2024-06-25T05:38:00Z"/>
  <w16cex:commentExtensible w16cex:durableId="7FF15943" w16cex:dateUtc="2024-06-25T19:45:00Z"/>
  <w16cex:commentExtensible w16cex:durableId="486E6DC9" w16cex:dateUtc="2024-06-25T05:39:00Z"/>
  <w16cex:commentExtensible w16cex:durableId="6A9E1EFD" w16cex:dateUtc="2024-06-27T16:14:00Z"/>
  <w16cex:commentExtensible w16cex:durableId="3A638F6B" w16cex:dateUtc="2024-06-27T16:13:00Z"/>
  <w16cex:commentExtensible w16cex:durableId="61AEA2C2" w16cex:dateUtc="2024-06-27T16:13:00Z"/>
  <w16cex:commentExtensible w16cex:durableId="391F1ECC" w16cex:dateUtc="2024-06-14T13:43:00Z"/>
  <w16cex:commentExtensible w16cex:durableId="1009EE95" w16cex:dateUtc="2024-06-25T05:56:00Z"/>
  <w16cex:commentExtensible w16cex:durableId="5D2DA2F7" w16cex:dateUtc="2024-06-25T06:04:00Z"/>
  <w16cex:commentExtensible w16cex:durableId="2AE2E1AF" w16cex:dateUtc="2024-06-26T16:08:00Z"/>
  <w16cex:commentExtensible w16cex:durableId="7F9A4E1A" w16cex:dateUtc="2024-06-25T06:08:00Z"/>
  <w16cex:commentExtensible w16cex:durableId="5FF36DFB" w16cex:dateUtc="2024-06-27T17:38:00Z"/>
  <w16cex:commentExtensible w16cex:durableId="7AD6C17A" w16cex:dateUtc="2024-06-25T06:12:00Z"/>
  <w16cex:commentExtensible w16cex:durableId="69BCE07A" w16cex:dateUtc="2024-06-25T06:23:00Z"/>
  <w16cex:commentExtensible w16cex:durableId="57685A12" w16cex:dateUtc="2024-06-25T06:13:00Z"/>
  <w16cex:commentExtensible w16cex:durableId="56C9D1B4" w16cex:dateUtc="2024-06-14T13:48:00Z"/>
  <w16cex:commentExtensible w16cex:durableId="03351211" w16cex:dateUtc="2024-06-14T13:48:00Z"/>
  <w16cex:commentExtensible w16cex:durableId="4A5FBB3B" w16cex:dateUtc="2024-06-14T13:48:00Z"/>
  <w16cex:commentExtensible w16cex:durableId="1852F2DB" w16cex:dateUtc="2024-06-14T13:48:00Z"/>
  <w16cex:commentExtensible w16cex:durableId="1C78AE14" w16cex:dateUtc="2024-06-14T13:48:00Z"/>
  <w16cex:commentExtensible w16cex:durableId="15F1B0F8" w16cex:dateUtc="2024-06-14T13:48:00Z"/>
  <w16cex:commentExtensible w16cex:durableId="71C07656" w16cex:dateUtc="2024-06-14T13:48:00Z"/>
  <w16cex:commentExtensible w16cex:durableId="7AC68318" w16cex:dateUtc="2024-06-1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3637FB" w16cid:durableId="267A881C"/>
  <w16cid:commentId w16cid:paraId="7A3F5902" w16cid:durableId="56DD78D3"/>
  <w16cid:commentId w16cid:paraId="0AB10A18" w16cid:durableId="2CCDCEC9"/>
  <w16cid:commentId w16cid:paraId="112D1AB6" w16cid:durableId="4DD6549B"/>
  <w16cid:commentId w16cid:paraId="1FB14C80" w16cid:durableId="4E3ED5E5"/>
  <w16cid:commentId w16cid:paraId="5BB339E0" w16cid:durableId="2F399FFA"/>
  <w16cid:commentId w16cid:paraId="59656F07" w16cid:durableId="291BC304"/>
  <w16cid:commentId w16cid:paraId="765BCC32" w16cid:durableId="6752A9AC"/>
  <w16cid:commentId w16cid:paraId="4F730419" w16cid:durableId="79C13B18"/>
  <w16cid:commentId w16cid:paraId="2FAF042F" w16cid:durableId="76E08139"/>
  <w16cid:commentId w16cid:paraId="4BD33D6A" w16cid:durableId="435E116F"/>
  <w16cid:commentId w16cid:paraId="3EA7D27D" w16cid:durableId="1EF2A922"/>
  <w16cid:commentId w16cid:paraId="4C513496" w16cid:durableId="036AA21A"/>
  <w16cid:commentId w16cid:paraId="0AAE5CB0" w16cid:durableId="40E3F3F5"/>
  <w16cid:commentId w16cid:paraId="4457E804" w16cid:durableId="529B27A6"/>
  <w16cid:commentId w16cid:paraId="137B7F84" w16cid:durableId="03DD06E0"/>
  <w16cid:commentId w16cid:paraId="1568F2F2" w16cid:durableId="72E7514B"/>
  <w16cid:commentId w16cid:paraId="36D516D6" w16cid:durableId="7FF15943"/>
  <w16cid:commentId w16cid:paraId="67444F4B" w16cid:durableId="486E6DC9"/>
  <w16cid:commentId w16cid:paraId="6F9E2CFC" w16cid:durableId="6A9E1EFD"/>
  <w16cid:commentId w16cid:paraId="2230B928" w16cid:durableId="3A638F6B"/>
  <w16cid:commentId w16cid:paraId="423C05E1" w16cid:durableId="61AEA2C2"/>
  <w16cid:commentId w16cid:paraId="47D3D972" w16cid:durableId="391F1ECC"/>
  <w16cid:commentId w16cid:paraId="12D2ADEA" w16cid:durableId="1009EE95"/>
  <w16cid:commentId w16cid:paraId="71D75827" w16cid:durableId="5D2DA2F7"/>
  <w16cid:commentId w16cid:paraId="39097985" w16cid:durableId="2AE2E1AF"/>
  <w16cid:commentId w16cid:paraId="3D312DD0" w16cid:durableId="7F9A4E1A"/>
  <w16cid:commentId w16cid:paraId="4EC5DE24" w16cid:durableId="5FF36DFB"/>
  <w16cid:commentId w16cid:paraId="65290390" w16cid:durableId="7AD6C17A"/>
  <w16cid:commentId w16cid:paraId="5729CA12" w16cid:durableId="69BCE07A"/>
  <w16cid:commentId w16cid:paraId="3AFF84DE" w16cid:durableId="57685A12"/>
  <w16cid:commentId w16cid:paraId="1501977B" w16cid:durableId="56C9D1B4"/>
  <w16cid:commentId w16cid:paraId="457378BC" w16cid:durableId="03351211"/>
  <w16cid:commentId w16cid:paraId="79EB9524" w16cid:durableId="4A5FBB3B"/>
  <w16cid:commentId w16cid:paraId="7DAEEA9F" w16cid:durableId="1852F2DB"/>
  <w16cid:commentId w16cid:paraId="1A76BAC8" w16cid:durableId="1C78AE14"/>
  <w16cid:commentId w16cid:paraId="57E849BF" w16cid:durableId="15F1B0F8"/>
  <w16cid:commentId w16cid:paraId="0561FBFB" w16cid:durableId="71C07656"/>
  <w16cid:commentId w16cid:paraId="4B7B91B1" w16cid:durableId="7AC683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roman"/>
    <w:pitch w:val="default"/>
  </w:font>
  <w:font w:name="Aptos Display">
    <w:altName w:val="Calibri"/>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1C02D5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35FE"/>
    <w:rsid w:val="000257E1"/>
    <w:rsid w:val="000567C3"/>
    <w:rsid w:val="000631C2"/>
    <w:rsid w:val="00090B7C"/>
    <w:rsid w:val="000F254D"/>
    <w:rsid w:val="00146332"/>
    <w:rsid w:val="0016361B"/>
    <w:rsid w:val="001777F3"/>
    <w:rsid w:val="00203861"/>
    <w:rsid w:val="002D289A"/>
    <w:rsid w:val="002E0582"/>
    <w:rsid w:val="002E32F9"/>
    <w:rsid w:val="002F1870"/>
    <w:rsid w:val="00303DBD"/>
    <w:rsid w:val="00324CFC"/>
    <w:rsid w:val="00363C3E"/>
    <w:rsid w:val="0036784A"/>
    <w:rsid w:val="00373382"/>
    <w:rsid w:val="003848C0"/>
    <w:rsid w:val="00395014"/>
    <w:rsid w:val="003A0F4E"/>
    <w:rsid w:val="003A4AF8"/>
    <w:rsid w:val="003B6E1F"/>
    <w:rsid w:val="003F4CA4"/>
    <w:rsid w:val="00421889"/>
    <w:rsid w:val="00465685"/>
    <w:rsid w:val="00467745"/>
    <w:rsid w:val="004B17FE"/>
    <w:rsid w:val="004D4F56"/>
    <w:rsid w:val="005A76AD"/>
    <w:rsid w:val="005B0775"/>
    <w:rsid w:val="005C12B8"/>
    <w:rsid w:val="005C5ACB"/>
    <w:rsid w:val="00614553"/>
    <w:rsid w:val="00614966"/>
    <w:rsid w:val="00616FB3"/>
    <w:rsid w:val="00623AE4"/>
    <w:rsid w:val="006C3029"/>
    <w:rsid w:val="006E432B"/>
    <w:rsid w:val="00705200"/>
    <w:rsid w:val="00765A31"/>
    <w:rsid w:val="0077375C"/>
    <w:rsid w:val="00781616"/>
    <w:rsid w:val="007A46CA"/>
    <w:rsid w:val="007C2C42"/>
    <w:rsid w:val="007E3CC9"/>
    <w:rsid w:val="007F797E"/>
    <w:rsid w:val="00801B47"/>
    <w:rsid w:val="0087291E"/>
    <w:rsid w:val="008A2C25"/>
    <w:rsid w:val="008C72D9"/>
    <w:rsid w:val="00937518"/>
    <w:rsid w:val="009A2F55"/>
    <w:rsid w:val="009F17AD"/>
    <w:rsid w:val="00A12E75"/>
    <w:rsid w:val="00A13FCC"/>
    <w:rsid w:val="00A56D29"/>
    <w:rsid w:val="00A82E79"/>
    <w:rsid w:val="00AA2E86"/>
    <w:rsid w:val="00AA785E"/>
    <w:rsid w:val="00AB67F7"/>
    <w:rsid w:val="00AF1EB1"/>
    <w:rsid w:val="00B3191B"/>
    <w:rsid w:val="00B479D3"/>
    <w:rsid w:val="00B66961"/>
    <w:rsid w:val="00B722A3"/>
    <w:rsid w:val="00B8472E"/>
    <w:rsid w:val="00BC078D"/>
    <w:rsid w:val="00BC7832"/>
    <w:rsid w:val="00BE0A15"/>
    <w:rsid w:val="00BF028A"/>
    <w:rsid w:val="00C273FE"/>
    <w:rsid w:val="00C31320"/>
    <w:rsid w:val="00C42B03"/>
    <w:rsid w:val="00C53F05"/>
    <w:rsid w:val="00C85D16"/>
    <w:rsid w:val="00C92025"/>
    <w:rsid w:val="00CC73A1"/>
    <w:rsid w:val="00CD38C2"/>
    <w:rsid w:val="00D67DF7"/>
    <w:rsid w:val="00DA7BB6"/>
    <w:rsid w:val="00DC5F7A"/>
    <w:rsid w:val="00EB7E90"/>
    <w:rsid w:val="00ED0D98"/>
    <w:rsid w:val="00F0399E"/>
    <w:rsid w:val="00F073A8"/>
    <w:rsid w:val="00F27C17"/>
    <w:rsid w:val="00F406BA"/>
    <w:rsid w:val="00F80ACA"/>
    <w:rsid w:val="00FA23B4"/>
    <w:rsid w:val="00FE4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81A7C2E1-0D1F-4F6C-A973-50717874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9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B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semiHidden/>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1476876555">
          <w:marLeft w:val="0"/>
          <w:marRight w:val="0"/>
          <w:marTop w:val="0"/>
          <w:marBottom w:val="0"/>
          <w:divBdr>
            <w:top w:val="none" w:sz="0" w:space="0" w:color="auto"/>
            <w:left w:val="none" w:sz="0" w:space="0" w:color="auto"/>
            <w:bottom w:val="none" w:sz="0" w:space="0" w:color="auto"/>
            <w:right w:val="none" w:sz="0" w:space="0" w:color="auto"/>
          </w:divBdr>
        </w:div>
        <w:div w:id="279338461">
          <w:marLeft w:val="0"/>
          <w:marRight w:val="0"/>
          <w:marTop w:val="0"/>
          <w:marBottom w:val="0"/>
          <w:divBdr>
            <w:top w:val="none" w:sz="0" w:space="0" w:color="auto"/>
            <w:left w:val="none" w:sz="0" w:space="0" w:color="auto"/>
            <w:bottom w:val="none" w:sz="0" w:space="0" w:color="auto"/>
            <w:right w:val="none" w:sz="0" w:space="0" w:color="auto"/>
          </w:divBdr>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1619</TotalTime>
  <Pages>24</Pages>
  <Words>27752</Words>
  <Characters>152639</Characters>
  <Application>Microsoft Office Word</Application>
  <DocSecurity>0</DocSecurity>
  <Lines>1271</Lines>
  <Paragraphs>360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24</cp:revision>
  <dcterms:created xsi:type="dcterms:W3CDTF">2024-06-25T05:08:00Z</dcterms:created>
  <dcterms:modified xsi:type="dcterms:W3CDTF">2024-06-27T18:00:00Z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id="W4QHMg0L"/&gt;&lt;style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