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0652B" w14:textId="77777777" w:rsidR="00261E63" w:rsidRDefault="00261E63" w:rsidP="00261E63">
      <w:pPr>
        <w:jc w:val="center"/>
        <w:rPr>
          <w:rFonts w:eastAsia="Times New Roman" w:cs="Times New Roman"/>
          <w:b/>
          <w:bCs/>
          <w:color w:val="44546A" w:themeColor="text2"/>
          <w:sz w:val="28"/>
          <w:szCs w:val="28"/>
          <w:lang w:eastAsia="en-AU"/>
        </w:rPr>
      </w:pPr>
    </w:p>
    <w:p w14:paraId="03EA9871" w14:textId="77777777" w:rsidR="00261E63" w:rsidRDefault="00261E63" w:rsidP="00261E63">
      <w:pPr>
        <w:jc w:val="center"/>
        <w:rPr>
          <w:rFonts w:eastAsia="Times New Roman" w:cs="Times New Roman"/>
          <w:b/>
          <w:bCs/>
          <w:color w:val="44546A" w:themeColor="text2"/>
          <w:sz w:val="28"/>
          <w:szCs w:val="28"/>
          <w:lang w:eastAsia="en-AU"/>
        </w:rPr>
      </w:pPr>
    </w:p>
    <w:p w14:paraId="079C8741" w14:textId="77777777" w:rsidR="00261E63" w:rsidRDefault="00261E63" w:rsidP="00261E63">
      <w:pPr>
        <w:jc w:val="center"/>
        <w:rPr>
          <w:rFonts w:eastAsia="Times New Roman" w:cs="Times New Roman"/>
          <w:b/>
          <w:bCs/>
          <w:color w:val="44546A" w:themeColor="text2"/>
          <w:sz w:val="28"/>
          <w:szCs w:val="28"/>
          <w:lang w:eastAsia="en-AU"/>
        </w:rPr>
      </w:pPr>
    </w:p>
    <w:p w14:paraId="0A014ADC" w14:textId="77777777" w:rsidR="00261E63" w:rsidRDefault="00261E63" w:rsidP="00261E63">
      <w:pPr>
        <w:jc w:val="center"/>
        <w:rPr>
          <w:rFonts w:eastAsia="Times New Roman" w:cs="Times New Roman"/>
          <w:b/>
          <w:bCs/>
          <w:color w:val="44546A" w:themeColor="text2"/>
          <w:sz w:val="28"/>
          <w:szCs w:val="28"/>
          <w:lang w:eastAsia="en-AU"/>
        </w:rPr>
      </w:pPr>
    </w:p>
    <w:p w14:paraId="44F42829" w14:textId="77777777" w:rsidR="00261E63" w:rsidRDefault="00261E63" w:rsidP="00261E63">
      <w:pPr>
        <w:jc w:val="center"/>
        <w:rPr>
          <w:rFonts w:eastAsia="Times New Roman" w:cs="Times New Roman"/>
          <w:b/>
          <w:bCs/>
          <w:color w:val="44546A" w:themeColor="text2"/>
          <w:sz w:val="28"/>
          <w:szCs w:val="28"/>
          <w:lang w:eastAsia="en-AU"/>
        </w:rPr>
      </w:pPr>
    </w:p>
    <w:p w14:paraId="7FC52E8D" w14:textId="77777777" w:rsidR="00261E63" w:rsidRDefault="00261E63" w:rsidP="00261E63">
      <w:pPr>
        <w:jc w:val="center"/>
        <w:rPr>
          <w:rFonts w:eastAsia="Times New Roman" w:cs="Times New Roman"/>
          <w:b/>
          <w:bCs/>
          <w:color w:val="44546A" w:themeColor="text2"/>
          <w:sz w:val="28"/>
          <w:szCs w:val="28"/>
          <w:lang w:eastAsia="en-AU"/>
        </w:rPr>
      </w:pPr>
    </w:p>
    <w:p w14:paraId="3EF9794B" w14:textId="77777777" w:rsidR="00261E63" w:rsidRDefault="00261E63" w:rsidP="00261E63">
      <w:pPr>
        <w:jc w:val="center"/>
        <w:rPr>
          <w:rFonts w:eastAsia="Times New Roman" w:cs="Times New Roman"/>
          <w:b/>
          <w:bCs/>
          <w:color w:val="44546A" w:themeColor="text2"/>
          <w:sz w:val="28"/>
          <w:szCs w:val="28"/>
          <w:lang w:eastAsia="en-AU"/>
        </w:rPr>
      </w:pPr>
    </w:p>
    <w:p w14:paraId="6B6CF0D0" w14:textId="77777777" w:rsidR="00261E63" w:rsidRDefault="00261E63" w:rsidP="00261E63">
      <w:pPr>
        <w:jc w:val="center"/>
        <w:rPr>
          <w:rFonts w:eastAsia="Times New Roman" w:cs="Times New Roman"/>
          <w:b/>
          <w:bCs/>
          <w:color w:val="44546A" w:themeColor="text2"/>
          <w:sz w:val="28"/>
          <w:szCs w:val="28"/>
          <w:lang w:eastAsia="en-AU"/>
        </w:rPr>
      </w:pPr>
    </w:p>
    <w:p w14:paraId="59CF93E2" w14:textId="77777777" w:rsidR="00261E63" w:rsidRDefault="00261E63" w:rsidP="00261E63">
      <w:pPr>
        <w:jc w:val="center"/>
        <w:rPr>
          <w:rFonts w:eastAsia="Times New Roman" w:cs="Times New Roman"/>
          <w:b/>
          <w:bCs/>
          <w:color w:val="44546A" w:themeColor="text2"/>
          <w:sz w:val="28"/>
          <w:szCs w:val="28"/>
          <w:lang w:eastAsia="en-AU"/>
        </w:rPr>
      </w:pPr>
    </w:p>
    <w:p w14:paraId="0DD7CBB1" w14:textId="4D5F3DB8" w:rsidR="00BD6BF3" w:rsidRPr="0075223D" w:rsidRDefault="00BD6BF3" w:rsidP="00261E63">
      <w:pPr>
        <w:jc w:val="center"/>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t>PROGRESS REPORT</w:t>
      </w:r>
    </w:p>
    <w:p w14:paraId="3AD97874" w14:textId="6D7B5512" w:rsidR="00261E63" w:rsidRPr="0075223D" w:rsidRDefault="00445CB6" w:rsidP="00445CB6">
      <w:pPr>
        <w:jc w:val="center"/>
        <w:rPr>
          <w:rFonts w:eastAsia="Times New Roman" w:cs="Times New Roman"/>
          <w:b/>
          <w:bCs/>
          <w:color w:val="44546A" w:themeColor="text2"/>
          <w:sz w:val="28"/>
          <w:szCs w:val="28"/>
          <w:lang w:eastAsia="en-AU"/>
        </w:rPr>
      </w:pPr>
      <w:r w:rsidRPr="00445CB6">
        <w:rPr>
          <w:rFonts w:eastAsia="Times New Roman" w:cs="Times New Roman"/>
          <w:b/>
          <w:bCs/>
          <w:color w:val="44546A" w:themeColor="text2"/>
          <w:sz w:val="28"/>
          <w:szCs w:val="28"/>
          <w:lang w:eastAsia="en-AU"/>
        </w:rPr>
        <w:t>Association between poly-substance use and substance use disorder treatment noncompletion</w:t>
      </w:r>
      <w:r w:rsidR="001C26A3" w:rsidRPr="001C26A3">
        <w:rPr>
          <w:rFonts w:eastAsia="Times New Roman" w:cs="Times New Roman"/>
          <w:b/>
          <w:bCs/>
          <w:color w:val="000000"/>
          <w:szCs w:val="20"/>
          <w:lang w:val="en-US" w:eastAsia="es-CL"/>
        </w:rPr>
        <w:t xml:space="preserve"> </w:t>
      </w:r>
      <w:r w:rsidR="001C26A3" w:rsidRPr="001C26A3">
        <w:rPr>
          <w:rFonts w:eastAsia="Times New Roman" w:cs="Times New Roman"/>
          <w:b/>
          <w:bCs/>
          <w:color w:val="44546A" w:themeColor="text2"/>
          <w:sz w:val="28"/>
          <w:szCs w:val="28"/>
          <w:lang w:val="en-US" w:eastAsia="en-AU"/>
        </w:rPr>
        <w:t>admitted to multiple treatments</w:t>
      </w:r>
      <w:r w:rsidRPr="00445CB6">
        <w:rPr>
          <w:rFonts w:eastAsia="Times New Roman" w:cs="Times New Roman"/>
          <w:b/>
          <w:bCs/>
          <w:color w:val="44546A" w:themeColor="text2"/>
          <w:sz w:val="28"/>
          <w:szCs w:val="28"/>
          <w:lang w:eastAsia="en-AU"/>
        </w:rPr>
        <w:t xml:space="preserve"> between 2010-2019 in Chile</w:t>
      </w:r>
    </w:p>
    <w:p w14:paraId="39D1922E" w14:textId="37E1B5E5" w:rsidR="00261E63" w:rsidRPr="0075223D" w:rsidRDefault="00261E63">
      <w:pPr>
        <w:jc w:val="left"/>
        <w:rPr>
          <w:rFonts w:eastAsia="Times New Roman" w:cs="Times New Roman"/>
          <w:b/>
          <w:bCs/>
          <w:color w:val="44546A" w:themeColor="text2"/>
          <w:sz w:val="28"/>
          <w:szCs w:val="28"/>
          <w:lang w:eastAsia="en-AU"/>
        </w:rPr>
      </w:pPr>
    </w:p>
    <w:p w14:paraId="690BDB18" w14:textId="06E11DCF" w:rsidR="00261E63" w:rsidRPr="0075223D" w:rsidRDefault="00261E63">
      <w:pPr>
        <w:jc w:val="left"/>
        <w:rPr>
          <w:rFonts w:eastAsia="Times New Roman" w:cs="Times New Roman"/>
          <w:b/>
          <w:bCs/>
          <w:color w:val="44546A" w:themeColor="text2"/>
          <w:sz w:val="28"/>
          <w:szCs w:val="28"/>
          <w:lang w:eastAsia="en-AU"/>
        </w:rPr>
      </w:pPr>
    </w:p>
    <w:p w14:paraId="05414BDE" w14:textId="350849EF" w:rsidR="00261E63" w:rsidRPr="0075223D" w:rsidRDefault="00261E63">
      <w:pPr>
        <w:jc w:val="left"/>
        <w:rPr>
          <w:rFonts w:eastAsia="Times New Roman" w:cs="Times New Roman"/>
          <w:b/>
          <w:bCs/>
          <w:color w:val="44546A" w:themeColor="text2"/>
          <w:sz w:val="28"/>
          <w:szCs w:val="28"/>
          <w:lang w:eastAsia="en-AU"/>
        </w:rPr>
      </w:pPr>
    </w:p>
    <w:p w14:paraId="1A0917D7" w14:textId="69E4478E" w:rsidR="00261E63" w:rsidRPr="0075223D" w:rsidRDefault="00261E63">
      <w:pPr>
        <w:jc w:val="left"/>
        <w:rPr>
          <w:rFonts w:eastAsia="Times New Roman" w:cs="Times New Roman"/>
          <w:b/>
          <w:bCs/>
          <w:color w:val="44546A" w:themeColor="text2"/>
          <w:sz w:val="28"/>
          <w:szCs w:val="28"/>
          <w:lang w:eastAsia="en-AU"/>
        </w:rPr>
      </w:pPr>
    </w:p>
    <w:p w14:paraId="7599F21E" w14:textId="2DEA5971" w:rsidR="00261E63" w:rsidRPr="0075223D" w:rsidRDefault="00261E63">
      <w:pPr>
        <w:jc w:val="left"/>
        <w:rPr>
          <w:rFonts w:eastAsia="Times New Roman" w:cs="Times New Roman"/>
          <w:b/>
          <w:bCs/>
          <w:color w:val="44546A" w:themeColor="text2"/>
          <w:sz w:val="28"/>
          <w:szCs w:val="28"/>
          <w:lang w:eastAsia="en-AU"/>
        </w:rPr>
      </w:pPr>
    </w:p>
    <w:p w14:paraId="1276174D" w14:textId="4C566161" w:rsidR="00261E63" w:rsidRPr="0075223D" w:rsidRDefault="00261E63" w:rsidP="00261E63">
      <w:pPr>
        <w:jc w:val="right"/>
        <w:rPr>
          <w:rFonts w:eastAsia="Times New Roman" w:cs="Times New Roman"/>
          <w:b/>
          <w:bCs/>
          <w:color w:val="44546A" w:themeColor="text2"/>
          <w:sz w:val="18"/>
          <w:szCs w:val="18"/>
          <w:lang w:val="es-CL" w:eastAsia="en-AU"/>
        </w:rPr>
      </w:pPr>
      <w:r w:rsidRPr="0075223D">
        <w:rPr>
          <w:rFonts w:eastAsia="Times New Roman" w:cs="Times New Roman"/>
          <w:b/>
          <w:bCs/>
          <w:color w:val="44546A" w:themeColor="text2"/>
          <w:sz w:val="18"/>
          <w:szCs w:val="18"/>
          <w:lang w:val="es-CL" w:eastAsia="en-AU"/>
        </w:rPr>
        <w:t xml:space="preserve">Research </w:t>
      </w:r>
      <w:proofErr w:type="spellStart"/>
      <w:r w:rsidRPr="0075223D">
        <w:rPr>
          <w:rFonts w:eastAsia="Times New Roman" w:cs="Times New Roman"/>
          <w:b/>
          <w:bCs/>
          <w:color w:val="44546A" w:themeColor="text2"/>
          <w:sz w:val="18"/>
          <w:szCs w:val="18"/>
          <w:lang w:val="es-CL" w:eastAsia="en-AU"/>
        </w:rPr>
        <w:t>team</w:t>
      </w:r>
      <w:proofErr w:type="spellEnd"/>
    </w:p>
    <w:p w14:paraId="5BD3C0AC" w14:textId="2B17EDF6"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Andrés</w:t>
      </w:r>
      <w:r w:rsidR="00261E63" w:rsidRPr="0075223D">
        <w:rPr>
          <w:rFonts w:eastAsia="Times New Roman" w:cs="Times New Roman"/>
          <w:color w:val="44546A" w:themeColor="text2"/>
          <w:sz w:val="18"/>
          <w:szCs w:val="18"/>
          <w:lang w:val="es-CL" w:eastAsia="en-AU"/>
        </w:rPr>
        <w:t xml:space="preserve"> </w:t>
      </w:r>
      <w:r w:rsidRPr="0075223D">
        <w:rPr>
          <w:rFonts w:eastAsia="Times New Roman" w:cs="Times New Roman"/>
          <w:color w:val="44546A" w:themeColor="text2"/>
          <w:sz w:val="18"/>
          <w:szCs w:val="18"/>
          <w:lang w:val="es-CL" w:eastAsia="en-AU"/>
        </w:rPr>
        <w:t>González</w:t>
      </w:r>
      <w:r w:rsidR="00261E63" w:rsidRPr="0075223D">
        <w:rPr>
          <w:rFonts w:eastAsia="Times New Roman" w:cs="Times New Roman"/>
          <w:color w:val="44546A" w:themeColor="text2"/>
          <w:sz w:val="18"/>
          <w:szCs w:val="18"/>
          <w:lang w:val="es-CL" w:eastAsia="en-AU"/>
        </w:rPr>
        <w:t xml:space="preserve"> Santa Cruz</w:t>
      </w:r>
    </w:p>
    <w:p w14:paraId="5B065C17" w14:textId="5A765D8F"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José Ruiz-Tagle Maturana</w:t>
      </w:r>
    </w:p>
    <w:p w14:paraId="5D8163D8" w14:textId="376940CC"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Mariel Mateo Piñones</w:t>
      </w:r>
    </w:p>
    <w:p w14:paraId="3EE1607D" w14:textId="5FDF3BE1"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Álvaro</w:t>
      </w:r>
      <w:r w:rsidR="00261E63" w:rsidRPr="0075223D">
        <w:rPr>
          <w:rFonts w:eastAsia="Times New Roman" w:cs="Times New Roman"/>
          <w:color w:val="44546A" w:themeColor="text2"/>
          <w:sz w:val="18"/>
          <w:szCs w:val="18"/>
          <w:lang w:val="es-CL" w:eastAsia="en-AU"/>
        </w:rPr>
        <w:t xml:space="preserve"> Castillo-</w:t>
      </w:r>
      <w:proofErr w:type="spellStart"/>
      <w:r w:rsidR="00261E63" w:rsidRPr="0075223D">
        <w:rPr>
          <w:rFonts w:eastAsia="Times New Roman" w:cs="Times New Roman"/>
          <w:color w:val="44546A" w:themeColor="text2"/>
          <w:sz w:val="18"/>
          <w:szCs w:val="18"/>
          <w:lang w:val="es-CL" w:eastAsia="en-AU"/>
        </w:rPr>
        <w:t>Carniglia</w:t>
      </w:r>
      <w:proofErr w:type="spellEnd"/>
    </w:p>
    <w:p w14:paraId="02050457" w14:textId="77777777" w:rsidR="00261E63" w:rsidRPr="0075223D" w:rsidRDefault="00261E63">
      <w:pPr>
        <w:jc w:val="left"/>
        <w:rPr>
          <w:rFonts w:eastAsia="Times New Roman" w:cs="Times New Roman"/>
          <w:color w:val="44546A" w:themeColor="text2"/>
          <w:sz w:val="18"/>
          <w:szCs w:val="18"/>
          <w:lang w:val="es-CL" w:eastAsia="en-AU"/>
        </w:rPr>
      </w:pPr>
    </w:p>
    <w:p w14:paraId="49A238CA" w14:textId="77777777" w:rsidR="0003668E" w:rsidRPr="0075223D" w:rsidRDefault="0003668E">
      <w:pPr>
        <w:jc w:val="left"/>
        <w:rPr>
          <w:rFonts w:eastAsia="Times New Roman" w:cs="Times New Roman"/>
          <w:color w:val="44546A" w:themeColor="text2"/>
          <w:sz w:val="18"/>
          <w:szCs w:val="18"/>
          <w:lang w:val="es-CL" w:eastAsia="en-AU"/>
        </w:rPr>
      </w:pPr>
    </w:p>
    <w:p w14:paraId="3DA20546" w14:textId="77777777" w:rsidR="0003668E" w:rsidRPr="0075223D" w:rsidRDefault="0003668E">
      <w:pPr>
        <w:jc w:val="left"/>
        <w:rPr>
          <w:rFonts w:eastAsia="Times New Roman" w:cs="Times New Roman"/>
          <w:b/>
          <w:bCs/>
          <w:color w:val="44546A" w:themeColor="text2"/>
          <w:sz w:val="28"/>
          <w:szCs w:val="28"/>
          <w:lang w:val="es-CL" w:eastAsia="en-AU"/>
        </w:rPr>
      </w:pPr>
    </w:p>
    <w:p w14:paraId="3DC5B226" w14:textId="3BAA1184" w:rsidR="004176A6" w:rsidRPr="0075223D" w:rsidRDefault="004176A6"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066EC2A7" w14:textId="622E3A5C"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81D662" w14:textId="6A0A23D9"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0E2928" w14:textId="3D72F7FF" w:rsidR="00261E63" w:rsidRPr="0075223D" w:rsidRDefault="00AC4D23" w:rsidP="00261E63">
      <w:pPr>
        <w:tabs>
          <w:tab w:val="left" w:pos="567"/>
        </w:tabs>
        <w:spacing w:after="0" w:line="240" w:lineRule="auto"/>
        <w:ind w:left="709" w:right="565"/>
        <w:jc w:val="center"/>
        <w:rPr>
          <w:rFonts w:eastAsia="Times New Roman" w:cs="Times New Roman"/>
          <w:color w:val="44546A" w:themeColor="text2"/>
          <w:sz w:val="24"/>
          <w:szCs w:val="24"/>
          <w:lang w:val="es-CL" w:eastAsia="en-AU"/>
        </w:rPr>
      </w:pPr>
      <w:r w:rsidRPr="0075223D">
        <w:rPr>
          <w:rFonts w:eastAsia="Times New Roman" w:cs="Times New Roman"/>
          <w:color w:val="44546A" w:themeColor="text2"/>
          <w:sz w:val="24"/>
          <w:szCs w:val="24"/>
          <w:lang w:val="es-CL" w:eastAsia="en-AU"/>
        </w:rPr>
        <w:t>March</w:t>
      </w:r>
      <w:r w:rsidR="00261E63" w:rsidRPr="0075223D">
        <w:rPr>
          <w:rFonts w:eastAsia="Times New Roman" w:cs="Times New Roman"/>
          <w:color w:val="44546A" w:themeColor="text2"/>
          <w:sz w:val="24"/>
          <w:szCs w:val="24"/>
          <w:lang w:val="es-CL" w:eastAsia="en-AU"/>
        </w:rPr>
        <w:t xml:space="preserve"> 202</w:t>
      </w:r>
      <w:r w:rsidR="00AB709B" w:rsidRPr="0075223D">
        <w:rPr>
          <w:rFonts w:eastAsia="Times New Roman" w:cs="Times New Roman"/>
          <w:color w:val="44546A" w:themeColor="text2"/>
          <w:sz w:val="24"/>
          <w:szCs w:val="24"/>
          <w:lang w:val="es-CL" w:eastAsia="en-AU"/>
        </w:rPr>
        <w:t>4</w:t>
      </w:r>
    </w:p>
    <w:p w14:paraId="7FBB187D"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7F66F00E"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0E28110" w14:textId="2C7E0ECB"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sdt>
      <w:sdtPr>
        <w:rPr>
          <w:rFonts w:ascii="Verdana" w:eastAsiaTheme="minorHAnsi" w:hAnsi="Verdana" w:cstheme="minorBidi"/>
          <w:color w:val="auto"/>
          <w:sz w:val="20"/>
          <w:szCs w:val="22"/>
          <w:lang w:val="en-AU"/>
        </w:rPr>
        <w:id w:val="964627996"/>
        <w:docPartObj>
          <w:docPartGallery w:val="Table of Contents"/>
          <w:docPartUnique/>
        </w:docPartObj>
      </w:sdtPr>
      <w:sdtEndPr>
        <w:rPr>
          <w:b/>
          <w:bCs/>
          <w:noProof/>
        </w:rPr>
      </w:sdtEndPr>
      <w:sdtContent>
        <w:p w14:paraId="7015E457" w14:textId="096449EA" w:rsidR="00261E63" w:rsidRPr="0075223D" w:rsidRDefault="00261E63">
          <w:pPr>
            <w:pStyle w:val="TtuloTDC"/>
            <w:rPr>
              <w:lang w:val="es-CL"/>
            </w:rPr>
          </w:pPr>
          <w:proofErr w:type="spellStart"/>
          <w:r w:rsidRPr="0075223D">
            <w:rPr>
              <w:lang w:val="es-CL"/>
            </w:rPr>
            <w:t>Contents</w:t>
          </w:r>
          <w:proofErr w:type="spellEnd"/>
        </w:p>
        <w:p w14:paraId="523D93C8" w14:textId="15F7AA96" w:rsidR="0075223D" w:rsidRPr="0075223D" w:rsidRDefault="00261E63">
          <w:pPr>
            <w:pStyle w:val="TDC1"/>
            <w:rPr>
              <w:rFonts w:asciiTheme="minorHAnsi" w:eastAsiaTheme="minorEastAsia" w:hAnsiTheme="minorHAnsi"/>
              <w:noProof/>
              <w:kern w:val="2"/>
              <w:sz w:val="24"/>
              <w:szCs w:val="24"/>
              <w:lang w:val="es-CL" w:eastAsia="es-CL"/>
              <w14:ligatures w14:val="standardContextual"/>
            </w:rPr>
          </w:pPr>
          <w:r w:rsidRPr="0075223D">
            <w:fldChar w:fldCharType="begin"/>
          </w:r>
          <w:r w:rsidRPr="0075223D">
            <w:instrText xml:space="preserve"> TOC \o "1-3" \h \z \u </w:instrText>
          </w:r>
          <w:r w:rsidRPr="0075223D">
            <w:fldChar w:fldCharType="separate"/>
          </w:r>
          <w:hyperlink w:anchor="_Toc162862594" w:history="1">
            <w:r w:rsidR="0075223D" w:rsidRPr="0075223D">
              <w:rPr>
                <w:rStyle w:val="Hipervnculo"/>
                <w:noProof/>
              </w:rPr>
              <w:t>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Project Overview</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_Toc162862594 \h </w:instrText>
            </w:r>
            <w:r w:rsidR="0075223D" w:rsidRPr="0075223D">
              <w:rPr>
                <w:noProof/>
                <w:webHidden/>
              </w:rPr>
            </w:r>
            <w:r w:rsidR="0075223D" w:rsidRPr="0075223D">
              <w:rPr>
                <w:noProof/>
                <w:webHidden/>
              </w:rPr>
              <w:fldChar w:fldCharType="separate"/>
            </w:r>
            <w:r w:rsidR="00A85632">
              <w:rPr>
                <w:noProof/>
                <w:webHidden/>
              </w:rPr>
              <w:t>3</w:t>
            </w:r>
            <w:r w:rsidR="0075223D" w:rsidRPr="0075223D">
              <w:rPr>
                <w:noProof/>
                <w:webHidden/>
              </w:rPr>
              <w:fldChar w:fldCharType="end"/>
            </w:r>
          </w:hyperlink>
        </w:p>
        <w:p w14:paraId="1F5B4317" w14:textId="5E21E7BD"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5" w:history="1">
            <w:r w:rsidR="0075223D" w:rsidRPr="0075223D">
              <w:rPr>
                <w:rStyle w:val="Hipervnculo"/>
                <w:noProof/>
              </w:rPr>
              <w:t>Current project (modified from original)</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_Toc162862595 \h </w:instrText>
            </w:r>
            <w:r w:rsidR="0075223D" w:rsidRPr="0075223D">
              <w:rPr>
                <w:noProof/>
                <w:webHidden/>
              </w:rPr>
            </w:r>
            <w:r w:rsidR="0075223D" w:rsidRPr="0075223D">
              <w:rPr>
                <w:noProof/>
                <w:webHidden/>
              </w:rPr>
              <w:fldChar w:fldCharType="separate"/>
            </w:r>
            <w:r w:rsidR="00A85632">
              <w:rPr>
                <w:noProof/>
                <w:webHidden/>
              </w:rPr>
              <w:t>4</w:t>
            </w:r>
            <w:r w:rsidR="0075223D" w:rsidRPr="0075223D">
              <w:rPr>
                <w:noProof/>
                <w:webHidden/>
              </w:rPr>
              <w:fldChar w:fldCharType="end"/>
            </w:r>
          </w:hyperlink>
        </w:p>
        <w:p w14:paraId="0B297E42" w14:textId="5F41F59C"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6" w:history="1">
            <w:r w:rsidR="0075223D" w:rsidRPr="0075223D">
              <w:rPr>
                <w:rStyle w:val="Hipervnculo"/>
                <w:noProof/>
              </w:rPr>
              <w:t>Original project (discarded)</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_Toc162862596 \h </w:instrText>
            </w:r>
            <w:r w:rsidR="0075223D" w:rsidRPr="0075223D">
              <w:rPr>
                <w:noProof/>
                <w:webHidden/>
              </w:rPr>
            </w:r>
            <w:r w:rsidR="0075223D" w:rsidRPr="0075223D">
              <w:rPr>
                <w:noProof/>
                <w:webHidden/>
              </w:rPr>
              <w:fldChar w:fldCharType="separate"/>
            </w:r>
            <w:r w:rsidR="00A85632">
              <w:rPr>
                <w:noProof/>
                <w:webHidden/>
              </w:rPr>
              <w:t>4</w:t>
            </w:r>
            <w:r w:rsidR="0075223D" w:rsidRPr="0075223D">
              <w:rPr>
                <w:noProof/>
                <w:webHidden/>
              </w:rPr>
              <w:fldChar w:fldCharType="end"/>
            </w:r>
          </w:hyperlink>
        </w:p>
        <w:p w14:paraId="51DD6698" w14:textId="21AF29D2"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7" w:history="1">
            <w:r w:rsidR="0075223D" w:rsidRPr="0075223D">
              <w:rPr>
                <w:rStyle w:val="Hipervnculo"/>
                <w:noProof/>
              </w:rPr>
              <w:t>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Progress milestones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_Toc162862597 \h </w:instrText>
            </w:r>
            <w:r w:rsidR="0075223D" w:rsidRPr="0075223D">
              <w:rPr>
                <w:noProof/>
                <w:webHidden/>
              </w:rPr>
            </w:r>
            <w:r w:rsidR="0075223D" w:rsidRPr="0075223D">
              <w:rPr>
                <w:noProof/>
                <w:webHidden/>
              </w:rPr>
              <w:fldChar w:fldCharType="separate"/>
            </w:r>
            <w:r w:rsidR="00A85632">
              <w:rPr>
                <w:noProof/>
                <w:webHidden/>
              </w:rPr>
              <w:t>5</w:t>
            </w:r>
            <w:r w:rsidR="0075223D" w:rsidRPr="0075223D">
              <w:rPr>
                <w:noProof/>
                <w:webHidden/>
              </w:rPr>
              <w:fldChar w:fldCharType="end"/>
            </w:r>
          </w:hyperlink>
        </w:p>
        <w:p w14:paraId="35B5AD09" w14:textId="6754FEFB"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8" w:history="1">
            <w:r w:rsidR="0075223D" w:rsidRPr="0075223D">
              <w:rPr>
                <w:rStyle w:val="Hipervnculo"/>
                <w:noProof/>
              </w:rPr>
              <w:t>III.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Theoretical Framework</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_Toc162862598 \h </w:instrText>
            </w:r>
            <w:r w:rsidR="0075223D" w:rsidRPr="0075223D">
              <w:rPr>
                <w:noProof/>
                <w:webHidden/>
              </w:rPr>
            </w:r>
            <w:r w:rsidR="0075223D" w:rsidRPr="0075223D">
              <w:rPr>
                <w:noProof/>
                <w:webHidden/>
              </w:rPr>
              <w:fldChar w:fldCharType="separate"/>
            </w:r>
            <w:r w:rsidR="00A85632">
              <w:rPr>
                <w:noProof/>
                <w:webHidden/>
              </w:rPr>
              <w:t>8</w:t>
            </w:r>
            <w:r w:rsidR="0075223D" w:rsidRPr="0075223D">
              <w:rPr>
                <w:noProof/>
                <w:webHidden/>
              </w:rPr>
              <w:fldChar w:fldCharType="end"/>
            </w:r>
          </w:hyperlink>
        </w:p>
        <w:p w14:paraId="15BC079E" w14:textId="612294C0"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9" w:history="1">
            <w:r w:rsidR="0075223D" w:rsidRPr="0075223D">
              <w:rPr>
                <w:rStyle w:val="Hipervnculo"/>
                <w:noProof/>
              </w:rPr>
              <w:t>IV.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Preliminary analysis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_Toc162862599 \h </w:instrText>
            </w:r>
            <w:r w:rsidR="0075223D" w:rsidRPr="0075223D">
              <w:rPr>
                <w:noProof/>
                <w:webHidden/>
              </w:rPr>
            </w:r>
            <w:r w:rsidR="0075223D" w:rsidRPr="0075223D">
              <w:rPr>
                <w:noProof/>
                <w:webHidden/>
              </w:rPr>
              <w:fldChar w:fldCharType="separate"/>
            </w:r>
            <w:r w:rsidR="00A85632">
              <w:rPr>
                <w:noProof/>
                <w:webHidden/>
              </w:rPr>
              <w:t>10</w:t>
            </w:r>
            <w:r w:rsidR="0075223D" w:rsidRPr="0075223D">
              <w:rPr>
                <w:noProof/>
                <w:webHidden/>
              </w:rPr>
              <w:fldChar w:fldCharType="end"/>
            </w:r>
          </w:hyperlink>
        </w:p>
        <w:p w14:paraId="697CE79A" w14:textId="22A0EB6D"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0" w:history="1">
            <w:r w:rsidR="0075223D" w:rsidRPr="0075223D">
              <w:rPr>
                <w:rStyle w:val="Hipervnculo"/>
                <w:noProof/>
              </w:rPr>
              <w:t>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Next steps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_Toc162862600 \h </w:instrText>
            </w:r>
            <w:r w:rsidR="0075223D" w:rsidRPr="0075223D">
              <w:rPr>
                <w:noProof/>
                <w:webHidden/>
              </w:rPr>
            </w:r>
            <w:r w:rsidR="0075223D" w:rsidRPr="0075223D">
              <w:rPr>
                <w:noProof/>
                <w:webHidden/>
              </w:rPr>
              <w:fldChar w:fldCharType="separate"/>
            </w:r>
            <w:r w:rsidR="00A85632">
              <w:rPr>
                <w:b/>
                <w:bCs/>
                <w:noProof/>
                <w:webHidden/>
                <w:lang w:val="es-ES"/>
              </w:rPr>
              <w:t>¡Error! Marcador no definido.</w:t>
            </w:r>
            <w:r w:rsidR="0075223D" w:rsidRPr="0075223D">
              <w:rPr>
                <w:noProof/>
                <w:webHidden/>
              </w:rPr>
              <w:fldChar w:fldCharType="end"/>
            </w:r>
          </w:hyperlink>
        </w:p>
        <w:p w14:paraId="77CDE96A" w14:textId="19925281"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1" w:history="1">
            <w:r w:rsidR="0075223D" w:rsidRPr="0075223D">
              <w:rPr>
                <w:rStyle w:val="Hipervnculo"/>
                <w:noProof/>
              </w:rPr>
              <w:t>VI.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References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_Toc162862601 \h </w:instrText>
            </w:r>
            <w:r w:rsidR="0075223D" w:rsidRPr="0075223D">
              <w:rPr>
                <w:noProof/>
                <w:webHidden/>
              </w:rPr>
            </w:r>
            <w:r w:rsidR="0075223D" w:rsidRPr="0075223D">
              <w:rPr>
                <w:noProof/>
                <w:webHidden/>
              </w:rPr>
              <w:fldChar w:fldCharType="separate"/>
            </w:r>
            <w:r w:rsidR="00A85632">
              <w:rPr>
                <w:noProof/>
                <w:webHidden/>
              </w:rPr>
              <w:t>13</w:t>
            </w:r>
            <w:r w:rsidR="0075223D" w:rsidRPr="0075223D">
              <w:rPr>
                <w:noProof/>
                <w:webHidden/>
              </w:rPr>
              <w:fldChar w:fldCharType="end"/>
            </w:r>
          </w:hyperlink>
        </w:p>
        <w:p w14:paraId="12E5CE4D" w14:textId="31808BFB" w:rsidR="00261E63" w:rsidRPr="0075223D" w:rsidRDefault="00261E63">
          <w:r w:rsidRPr="0075223D">
            <w:rPr>
              <w:b/>
              <w:bCs/>
              <w:noProof/>
            </w:rPr>
            <w:fldChar w:fldCharType="end"/>
          </w:r>
        </w:p>
      </w:sdtContent>
    </w:sdt>
    <w:p w14:paraId="7B0A3C43" w14:textId="5445F980" w:rsidR="00261E63" w:rsidRPr="0075223D" w:rsidRDefault="00261E63">
      <w:pPr>
        <w:jc w:val="left"/>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br w:type="page"/>
      </w:r>
    </w:p>
    <w:p w14:paraId="1B81843C" w14:textId="77777777" w:rsidR="00261E63" w:rsidRPr="0075223D" w:rsidRDefault="00261E63" w:rsidP="00F8187F">
      <w:pPr>
        <w:tabs>
          <w:tab w:val="left" w:pos="567"/>
        </w:tabs>
        <w:spacing w:after="0" w:line="276" w:lineRule="auto"/>
        <w:ind w:left="709" w:right="565"/>
        <w:jc w:val="center"/>
        <w:rPr>
          <w:rFonts w:eastAsia="Times New Roman" w:cs="Times New Roman"/>
          <w:b/>
          <w:bCs/>
          <w:color w:val="44546A" w:themeColor="text2"/>
          <w:sz w:val="28"/>
          <w:szCs w:val="28"/>
          <w:lang w:eastAsia="en-AU"/>
        </w:rPr>
      </w:pPr>
    </w:p>
    <w:p w14:paraId="2C8552F3" w14:textId="77777777" w:rsidR="008B00A4" w:rsidRPr="008B00A4" w:rsidRDefault="008B00A4">
      <w:pPr>
        <w:spacing w:after="0"/>
        <w:rPr>
          <w:ins w:id="0" w:author="Andrés González Santa Cruz" w:date="2024-05-17T23:42:00Z" w16du:dateUtc="2024-05-18T03:42:00Z"/>
          <w:b/>
          <w:bCs/>
        </w:rPr>
        <w:pPrChange w:id="1" w:author="Andrés González Santa Cruz" w:date="2024-05-19T22:05:00Z" w16du:dateUtc="2024-05-20T02:05:00Z">
          <w:pPr/>
        </w:pPrChange>
      </w:pPr>
      <w:bookmarkStart w:id="2" w:name="_Toc162862594"/>
      <w:ins w:id="3" w:author="Andrés González Santa Cruz" w:date="2024-05-17T23:42:00Z" w16du:dateUtc="2024-05-18T03:42:00Z">
        <w:r w:rsidRPr="008B00A4">
          <w:rPr>
            <w:b/>
            <w:bCs/>
          </w:rPr>
          <w:t>Association between poly-substance use and substance use disorder treatment noncompletion</w:t>
        </w:r>
        <w:r w:rsidRPr="008B00A4">
          <w:rPr>
            <w:b/>
            <w:bCs/>
            <w:lang w:val="en-US"/>
          </w:rPr>
          <w:t xml:space="preserve"> admitted to multiple treatments</w:t>
        </w:r>
        <w:r w:rsidRPr="008B00A4">
          <w:rPr>
            <w:b/>
            <w:bCs/>
          </w:rPr>
          <w:t xml:space="preserve"> between 2010-2019 in Chile</w:t>
        </w:r>
      </w:ins>
    </w:p>
    <w:p w14:paraId="71B26CEC" w14:textId="77777777" w:rsidR="008B00A4" w:rsidRPr="008B00A4" w:rsidRDefault="008B00A4">
      <w:pPr>
        <w:spacing w:after="0"/>
        <w:rPr>
          <w:ins w:id="4" w:author="Andrés González Santa Cruz" w:date="2024-05-17T23:42:00Z" w16du:dateUtc="2024-05-18T03:42:00Z"/>
          <w:lang w:val="es-CL"/>
        </w:rPr>
        <w:pPrChange w:id="5" w:author="Andrés González Santa Cruz" w:date="2024-05-19T22:05:00Z" w16du:dateUtc="2024-05-20T02:05:00Z">
          <w:pPr/>
        </w:pPrChange>
      </w:pPr>
      <w:ins w:id="6" w:author="Andrés González Santa Cruz" w:date="2024-05-17T23:42:00Z" w16du:dateUtc="2024-05-18T03:42:00Z">
        <w:r w:rsidRPr="008B00A4">
          <w:rPr>
            <w:lang w:val="es-CL"/>
          </w:rPr>
          <w:t xml:space="preserve">Andrés González-Santa Cruz </w:t>
        </w:r>
        <w:proofErr w:type="spellStart"/>
        <w:proofErr w:type="gramStart"/>
        <w:r w:rsidRPr="008B00A4">
          <w:rPr>
            <w:vertAlign w:val="superscript"/>
            <w:lang w:val="es-CL"/>
          </w:rPr>
          <w:t>a.b,c</w:t>
        </w:r>
        <w:proofErr w:type="spellEnd"/>
        <w:proofErr w:type="gramEnd"/>
        <w:r w:rsidRPr="008B00A4">
          <w:rPr>
            <w:lang w:val="es-CL"/>
          </w:rPr>
          <w:t>; José Ruiz-</w:t>
        </w:r>
        <w:proofErr w:type="spellStart"/>
        <w:r w:rsidRPr="008B00A4">
          <w:rPr>
            <w:lang w:val="es-CL"/>
          </w:rPr>
          <w:t>Tagle</w:t>
        </w:r>
        <w:r w:rsidRPr="008B00A4">
          <w:rPr>
            <w:vertAlign w:val="superscript"/>
            <w:lang w:val="es-CL"/>
          </w:rPr>
          <w:t>b,d,e</w:t>
        </w:r>
        <w:proofErr w:type="spellEnd"/>
        <w:r w:rsidRPr="008B00A4">
          <w:rPr>
            <w:lang w:val="es-CL"/>
          </w:rPr>
          <w:t xml:space="preserve"> Mariel Mateo </w:t>
        </w:r>
        <w:proofErr w:type="spellStart"/>
        <w:r w:rsidRPr="008B00A4">
          <w:rPr>
            <w:lang w:val="es-CL"/>
          </w:rPr>
          <w:t>Pinones</w:t>
        </w:r>
        <w:proofErr w:type="spellEnd"/>
        <w:r w:rsidRPr="008B00A4">
          <w:rPr>
            <w:lang w:val="es-CL"/>
          </w:rPr>
          <w:t xml:space="preserve"> </w:t>
        </w:r>
        <w:proofErr w:type="spellStart"/>
        <w:r w:rsidRPr="008B00A4">
          <w:rPr>
            <w:vertAlign w:val="superscript"/>
            <w:lang w:val="es-CL"/>
          </w:rPr>
          <w:t>b,f</w:t>
        </w:r>
        <w:proofErr w:type="spellEnd"/>
        <w:r w:rsidRPr="008B00A4">
          <w:rPr>
            <w:lang w:val="es-CL"/>
          </w:rPr>
          <w:t>; Álvaro Castillo-</w:t>
        </w:r>
        <w:proofErr w:type="spellStart"/>
        <w:r w:rsidRPr="008B00A4">
          <w:rPr>
            <w:lang w:val="es-CL"/>
          </w:rPr>
          <w:t>Carniglia</w:t>
        </w:r>
        <w:proofErr w:type="spellEnd"/>
        <w:r w:rsidRPr="008B00A4">
          <w:rPr>
            <w:lang w:val="es-CL"/>
          </w:rPr>
          <w:t xml:space="preserve"> </w:t>
        </w:r>
        <w:proofErr w:type="spellStart"/>
        <w:r w:rsidRPr="008B00A4">
          <w:rPr>
            <w:vertAlign w:val="superscript"/>
            <w:lang w:val="es-CL"/>
          </w:rPr>
          <w:t>b,c,g</w:t>
        </w:r>
        <w:proofErr w:type="spellEnd"/>
        <w:r w:rsidRPr="008B00A4">
          <w:rPr>
            <w:lang w:val="es-CL"/>
          </w:rPr>
          <w:t>;</w:t>
        </w:r>
      </w:ins>
    </w:p>
    <w:p w14:paraId="65098016" w14:textId="77777777" w:rsidR="008B00A4" w:rsidRPr="008B00A4" w:rsidRDefault="008B00A4">
      <w:pPr>
        <w:spacing w:after="0"/>
        <w:rPr>
          <w:ins w:id="7" w:author="Andrés González Santa Cruz" w:date="2024-05-17T23:42:00Z" w16du:dateUtc="2024-05-18T03:42:00Z"/>
          <w:lang w:val="es-CL"/>
        </w:rPr>
        <w:pPrChange w:id="8" w:author="Andrés González Santa Cruz" w:date="2024-05-19T22:05:00Z" w16du:dateUtc="2024-05-20T02:05:00Z">
          <w:pPr/>
        </w:pPrChange>
      </w:pPr>
    </w:p>
    <w:p w14:paraId="3883AAA1" w14:textId="77777777" w:rsidR="008B00A4" w:rsidRPr="008B00A4" w:rsidRDefault="008B00A4">
      <w:pPr>
        <w:spacing w:after="0"/>
        <w:rPr>
          <w:ins w:id="9" w:author="Andrés González Santa Cruz" w:date="2024-05-17T23:42:00Z" w16du:dateUtc="2024-05-18T03:42:00Z"/>
          <w:lang w:val="en-US"/>
          <w:rPrChange w:id="10" w:author="Andrés González Santa Cruz" w:date="2024-05-17T23:42:00Z" w16du:dateUtc="2024-05-18T03:42:00Z">
            <w:rPr>
              <w:ins w:id="11" w:author="Andrés González Santa Cruz" w:date="2024-05-17T23:42:00Z" w16du:dateUtc="2024-05-18T03:42:00Z"/>
              <w:lang w:val="es-CL"/>
            </w:rPr>
          </w:rPrChange>
        </w:rPr>
        <w:pPrChange w:id="12" w:author="Andrés González Santa Cruz" w:date="2024-05-19T22:05:00Z" w16du:dateUtc="2024-05-20T02:05:00Z">
          <w:pPr/>
        </w:pPrChange>
      </w:pPr>
      <w:ins w:id="13" w:author="Andrés González Santa Cruz" w:date="2024-05-17T23:42:00Z" w16du:dateUtc="2024-05-18T03:42:00Z">
        <w:r w:rsidRPr="008B00A4">
          <w:rPr>
            <w:vertAlign w:val="superscript"/>
            <w:lang w:val="en-US"/>
            <w:rPrChange w:id="14" w:author="Andrés González Santa Cruz" w:date="2024-05-17T23:42:00Z" w16du:dateUtc="2024-05-18T03:42:00Z">
              <w:rPr>
                <w:vertAlign w:val="superscript"/>
                <w:lang w:val="es-CL"/>
              </w:rPr>
            </w:rPrChange>
          </w:rPr>
          <w:t>a</w:t>
        </w:r>
        <w:r w:rsidRPr="008B00A4">
          <w:rPr>
            <w:lang w:val="en-US"/>
            <w:rPrChange w:id="15" w:author="Andrés González Santa Cruz" w:date="2024-05-17T23:42:00Z" w16du:dateUtc="2024-05-18T03:42:00Z">
              <w:rPr>
                <w:lang w:val="es-CL"/>
              </w:rPr>
            </w:rPrChange>
          </w:rPr>
          <w:t xml:space="preserve"> School of Public Health, Universidad de Chile, Chile</w:t>
        </w:r>
      </w:ins>
    </w:p>
    <w:p w14:paraId="2E35A5C6" w14:textId="77777777" w:rsidR="008B00A4" w:rsidRPr="008B00A4" w:rsidRDefault="008B00A4">
      <w:pPr>
        <w:spacing w:after="0"/>
        <w:rPr>
          <w:ins w:id="16" w:author="Andrés González Santa Cruz" w:date="2024-05-17T23:42:00Z" w16du:dateUtc="2024-05-18T03:42:00Z"/>
          <w:lang w:val="en-US"/>
          <w:rPrChange w:id="17" w:author="Andrés González Santa Cruz" w:date="2024-05-17T23:42:00Z" w16du:dateUtc="2024-05-18T03:42:00Z">
            <w:rPr>
              <w:ins w:id="18" w:author="Andrés González Santa Cruz" w:date="2024-05-17T23:42:00Z" w16du:dateUtc="2024-05-18T03:42:00Z"/>
              <w:lang w:val="es-CL"/>
            </w:rPr>
          </w:rPrChange>
        </w:rPr>
        <w:pPrChange w:id="19" w:author="Andrés González Santa Cruz" w:date="2024-05-19T22:05:00Z" w16du:dateUtc="2024-05-20T02:05:00Z">
          <w:pPr/>
        </w:pPrChange>
      </w:pPr>
      <w:ins w:id="20" w:author="Andrés González Santa Cruz" w:date="2024-05-17T23:42:00Z" w16du:dateUtc="2024-05-18T03:42:00Z">
        <w:r w:rsidRPr="008B00A4">
          <w:rPr>
            <w:vertAlign w:val="superscript"/>
            <w:lang w:val="en-US"/>
            <w:rPrChange w:id="21" w:author="Andrés González Santa Cruz" w:date="2024-05-17T23:42:00Z" w16du:dateUtc="2024-05-18T03:42:00Z">
              <w:rPr>
                <w:vertAlign w:val="superscript"/>
                <w:lang w:val="es-CL"/>
              </w:rPr>
            </w:rPrChange>
          </w:rPr>
          <w:t>b</w:t>
        </w:r>
        <w:r w:rsidRPr="008B00A4">
          <w:rPr>
            <w:lang w:val="en-US"/>
            <w:rPrChange w:id="22" w:author="Andrés González Santa Cruz" w:date="2024-05-17T23:42:00Z" w16du:dateUtc="2024-05-18T03:42:00Z">
              <w:rPr>
                <w:lang w:val="es-CL"/>
              </w:rPr>
            </w:rPrChange>
          </w:rPr>
          <w:t xml:space="preserve"> Millennium Nucleus for the Evaluation and Analysis of Drug Policies (</w:t>
        </w:r>
        <w:proofErr w:type="spellStart"/>
        <w:r w:rsidRPr="008B00A4">
          <w:rPr>
            <w:lang w:val="en-US"/>
            <w:rPrChange w:id="23" w:author="Andrés González Santa Cruz" w:date="2024-05-17T23:42:00Z" w16du:dateUtc="2024-05-18T03:42:00Z">
              <w:rPr>
                <w:lang w:val="es-CL"/>
              </w:rPr>
            </w:rPrChange>
          </w:rPr>
          <w:t>nDP</w:t>
        </w:r>
        <w:proofErr w:type="spellEnd"/>
        <w:r w:rsidRPr="008B00A4">
          <w:rPr>
            <w:lang w:val="en-US"/>
            <w:rPrChange w:id="24" w:author="Andrés González Santa Cruz" w:date="2024-05-17T23:42:00Z" w16du:dateUtc="2024-05-18T03:42:00Z">
              <w:rPr>
                <w:lang w:val="es-CL"/>
              </w:rPr>
            </w:rPrChange>
          </w:rPr>
          <w:t>), Chile.</w:t>
        </w:r>
      </w:ins>
    </w:p>
    <w:p w14:paraId="5B257B1D" w14:textId="38031E30" w:rsidR="008B00A4" w:rsidRPr="008B00A4" w:rsidRDefault="008B00A4">
      <w:pPr>
        <w:spacing w:after="0"/>
        <w:rPr>
          <w:ins w:id="25" w:author="Andrés González Santa Cruz" w:date="2024-05-17T23:42:00Z" w16du:dateUtc="2024-05-18T03:42:00Z"/>
          <w:lang w:val="en-US"/>
          <w:rPrChange w:id="26" w:author="Andrés González Santa Cruz" w:date="2024-05-17T23:42:00Z" w16du:dateUtc="2024-05-18T03:42:00Z">
            <w:rPr>
              <w:ins w:id="27" w:author="Andrés González Santa Cruz" w:date="2024-05-17T23:42:00Z" w16du:dateUtc="2024-05-18T03:42:00Z"/>
              <w:lang w:val="es-CL"/>
            </w:rPr>
          </w:rPrChange>
        </w:rPr>
        <w:pPrChange w:id="28" w:author="Andrés González Santa Cruz" w:date="2024-05-19T22:05:00Z" w16du:dateUtc="2024-05-20T02:05:00Z">
          <w:pPr/>
        </w:pPrChange>
      </w:pPr>
      <w:ins w:id="29" w:author="Andrés González Santa Cruz" w:date="2024-05-17T23:42:00Z" w16du:dateUtc="2024-05-18T03:42:00Z">
        <w:r w:rsidRPr="008B00A4">
          <w:rPr>
            <w:vertAlign w:val="superscript"/>
            <w:lang w:val="en-US"/>
            <w:rPrChange w:id="30" w:author="Andrés González Santa Cruz" w:date="2024-05-17T23:42:00Z" w16du:dateUtc="2024-05-18T03:42:00Z">
              <w:rPr>
                <w:vertAlign w:val="superscript"/>
                <w:lang w:val="es-CL"/>
              </w:rPr>
            </w:rPrChange>
          </w:rPr>
          <w:t>c</w:t>
        </w:r>
      </w:ins>
      <w:ins w:id="31" w:author="Andrés González Santa Cruz" w:date="2024-05-17T23:43:00Z" w16du:dateUtc="2024-05-18T03:43:00Z">
        <w:r w:rsidR="00B40E37">
          <w:rPr>
            <w:lang w:val="en-US"/>
          </w:rPr>
          <w:t xml:space="preserve"> </w:t>
        </w:r>
      </w:ins>
      <w:ins w:id="32" w:author="Andrés González Santa Cruz" w:date="2024-05-17T23:56:00Z" w16du:dateUtc="2024-05-18T03:56:00Z">
        <w:r w:rsidR="00EC7200" w:rsidRPr="00EC7200">
          <w:rPr>
            <w:lang w:val="en-US"/>
          </w:rPr>
          <w:t xml:space="preserve">Associate Professor, Department of Public Health, </w:t>
        </w:r>
        <w:proofErr w:type="spellStart"/>
        <w:r w:rsidR="00EC7200" w:rsidRPr="00EC7200">
          <w:rPr>
            <w:lang w:val="en-US"/>
          </w:rPr>
          <w:t>Facultad</w:t>
        </w:r>
        <w:proofErr w:type="spellEnd"/>
        <w:r w:rsidR="00EC7200" w:rsidRPr="00EC7200">
          <w:rPr>
            <w:lang w:val="en-US"/>
          </w:rPr>
          <w:t xml:space="preserve"> de </w:t>
        </w:r>
        <w:proofErr w:type="spellStart"/>
        <w:r w:rsidR="00EC7200" w:rsidRPr="00EC7200">
          <w:rPr>
            <w:lang w:val="en-US"/>
          </w:rPr>
          <w:t>Medicina</w:t>
        </w:r>
        <w:proofErr w:type="spellEnd"/>
        <w:r w:rsidR="00EC7200" w:rsidRPr="00EC7200">
          <w:rPr>
            <w:lang w:val="en-US"/>
          </w:rPr>
          <w:t xml:space="preserve"> y </w:t>
        </w:r>
        <w:proofErr w:type="spellStart"/>
        <w:r w:rsidR="00EC7200" w:rsidRPr="00EC7200">
          <w:rPr>
            <w:lang w:val="en-US"/>
          </w:rPr>
          <w:t>Ciencia</w:t>
        </w:r>
        <w:proofErr w:type="spellEnd"/>
        <w:r w:rsidR="00EC7200" w:rsidRPr="00EC7200">
          <w:rPr>
            <w:lang w:val="en-US"/>
          </w:rPr>
          <w:t>, Universidad San Sebastian</w:t>
        </w:r>
      </w:ins>
      <w:ins w:id="33" w:author="Andrés González Santa Cruz" w:date="2024-05-17T23:43:00Z" w16du:dateUtc="2024-05-18T03:43:00Z">
        <w:r w:rsidR="00B40E37">
          <w:rPr>
            <w:lang w:val="en-US"/>
          </w:rPr>
          <w:t>,</w:t>
        </w:r>
      </w:ins>
      <w:ins w:id="34" w:author="Andrés González Santa Cruz" w:date="2024-05-17T23:42:00Z" w16du:dateUtc="2024-05-18T03:42:00Z">
        <w:r w:rsidRPr="008B00A4">
          <w:rPr>
            <w:lang w:val="en-US"/>
            <w:rPrChange w:id="35" w:author="Andrés González Santa Cruz" w:date="2024-05-17T23:42:00Z" w16du:dateUtc="2024-05-18T03:42:00Z">
              <w:rPr>
                <w:lang w:val="es-CL"/>
              </w:rPr>
            </w:rPrChange>
          </w:rPr>
          <w:t xml:space="preserve"> Chile.</w:t>
        </w:r>
      </w:ins>
    </w:p>
    <w:p w14:paraId="47F0EDBD" w14:textId="77777777" w:rsidR="008B00A4" w:rsidRPr="00AD4367" w:rsidRDefault="008B00A4">
      <w:pPr>
        <w:spacing w:after="0"/>
        <w:rPr>
          <w:ins w:id="36" w:author="Andrés González Santa Cruz" w:date="2024-05-17T23:42:00Z" w16du:dateUtc="2024-05-18T03:42:00Z"/>
          <w:lang w:val="en-US"/>
          <w:rPrChange w:id="37" w:author="Andrés González Santa Cruz" w:date="2024-05-18T16:50:00Z" w16du:dateUtc="2024-05-18T20:50:00Z">
            <w:rPr>
              <w:ins w:id="38" w:author="Andrés González Santa Cruz" w:date="2024-05-17T23:42:00Z" w16du:dateUtc="2024-05-18T03:42:00Z"/>
              <w:lang w:val="es-CL"/>
            </w:rPr>
          </w:rPrChange>
        </w:rPr>
        <w:pPrChange w:id="39" w:author="Andrés González Santa Cruz" w:date="2024-05-19T22:05:00Z" w16du:dateUtc="2024-05-20T02:05:00Z">
          <w:pPr/>
        </w:pPrChange>
      </w:pPr>
      <w:ins w:id="40" w:author="Andrés González Santa Cruz" w:date="2024-05-17T23:42:00Z" w16du:dateUtc="2024-05-18T03:42:00Z">
        <w:r w:rsidRPr="00AD4367">
          <w:rPr>
            <w:vertAlign w:val="superscript"/>
            <w:lang w:val="en-US"/>
            <w:rPrChange w:id="41" w:author="Andrés González Santa Cruz" w:date="2024-05-18T16:50:00Z" w16du:dateUtc="2024-05-18T20:50:00Z">
              <w:rPr>
                <w:vertAlign w:val="superscript"/>
                <w:lang w:val="es-CL"/>
              </w:rPr>
            </w:rPrChange>
          </w:rPr>
          <w:t>d</w:t>
        </w:r>
        <w:r w:rsidRPr="00AD4367">
          <w:rPr>
            <w:lang w:val="en-US"/>
            <w:rPrChange w:id="42" w:author="Andrés González Santa Cruz" w:date="2024-05-18T16:50:00Z" w16du:dateUtc="2024-05-18T20:50:00Z">
              <w:rPr>
                <w:lang w:val="es-CL"/>
              </w:rPr>
            </w:rPrChange>
          </w:rPr>
          <w:t xml:space="preserve"> Fundación Instituto </w:t>
        </w:r>
        <w:proofErr w:type="spellStart"/>
        <w:r w:rsidRPr="00AD4367">
          <w:rPr>
            <w:lang w:val="en-US"/>
            <w:rPrChange w:id="43" w:author="Andrés González Santa Cruz" w:date="2024-05-18T16:50:00Z" w16du:dateUtc="2024-05-18T20:50:00Z">
              <w:rPr>
                <w:lang w:val="es-CL"/>
              </w:rPr>
            </w:rPrChange>
          </w:rPr>
          <w:t>Profesional</w:t>
        </w:r>
        <w:proofErr w:type="spellEnd"/>
        <w:r w:rsidRPr="00AD4367">
          <w:rPr>
            <w:lang w:val="en-US"/>
            <w:rPrChange w:id="44" w:author="Andrés González Santa Cruz" w:date="2024-05-18T16:50:00Z" w16du:dateUtc="2024-05-18T20:50:00Z">
              <w:rPr>
                <w:lang w:val="es-CL"/>
              </w:rPr>
            </w:rPrChange>
          </w:rPr>
          <w:t xml:space="preserve"> DUOC UC, Chile.</w:t>
        </w:r>
      </w:ins>
    </w:p>
    <w:p w14:paraId="00DD3C36" w14:textId="77777777" w:rsidR="008B00A4" w:rsidRPr="008B00A4" w:rsidRDefault="008B00A4">
      <w:pPr>
        <w:spacing w:after="0"/>
        <w:rPr>
          <w:ins w:id="45" w:author="Andrés González Santa Cruz" w:date="2024-05-17T23:42:00Z" w16du:dateUtc="2024-05-18T03:42:00Z"/>
          <w:lang w:val="es-CL"/>
        </w:rPr>
        <w:pPrChange w:id="46" w:author="Andrés González Santa Cruz" w:date="2024-05-19T22:05:00Z" w16du:dateUtc="2024-05-20T02:05:00Z">
          <w:pPr/>
        </w:pPrChange>
      </w:pPr>
      <w:proofErr w:type="spellStart"/>
      <w:ins w:id="47" w:author="Andrés González Santa Cruz" w:date="2024-05-17T23:42:00Z" w16du:dateUtc="2024-05-18T03:42:00Z">
        <w:r w:rsidRPr="008B00A4">
          <w:rPr>
            <w:vertAlign w:val="superscript"/>
            <w:lang w:val="es-CL"/>
          </w:rPr>
          <w:t>e</w:t>
        </w:r>
        <w:proofErr w:type="spellEnd"/>
        <w:r w:rsidRPr="008B00A4">
          <w:rPr>
            <w:lang w:val="es-CL"/>
          </w:rPr>
          <w:t xml:space="preserve"> Programa de Doctorado en Políticas Públicas, Universidad Mayor, Santiago, Chile.</w:t>
        </w:r>
      </w:ins>
    </w:p>
    <w:p w14:paraId="425BA135" w14:textId="77777777" w:rsidR="008B00A4" w:rsidRPr="008B00A4" w:rsidRDefault="008B00A4">
      <w:pPr>
        <w:spacing w:after="0"/>
        <w:rPr>
          <w:ins w:id="48" w:author="Andrés González Santa Cruz" w:date="2024-05-17T23:42:00Z" w16du:dateUtc="2024-05-18T03:42:00Z"/>
          <w:lang w:val="en-US"/>
          <w:rPrChange w:id="49" w:author="Andrés González Santa Cruz" w:date="2024-05-17T23:42:00Z" w16du:dateUtc="2024-05-18T03:42:00Z">
            <w:rPr>
              <w:ins w:id="50" w:author="Andrés González Santa Cruz" w:date="2024-05-17T23:42:00Z" w16du:dateUtc="2024-05-18T03:42:00Z"/>
              <w:lang w:val="es-CL"/>
            </w:rPr>
          </w:rPrChange>
        </w:rPr>
        <w:pPrChange w:id="51" w:author="Andrés González Santa Cruz" w:date="2024-05-19T22:05:00Z" w16du:dateUtc="2024-05-20T02:05:00Z">
          <w:pPr/>
        </w:pPrChange>
      </w:pPr>
      <w:ins w:id="52" w:author="Andrés González Santa Cruz" w:date="2024-05-17T23:42:00Z" w16du:dateUtc="2024-05-18T03:42:00Z">
        <w:r w:rsidRPr="008B00A4">
          <w:rPr>
            <w:vertAlign w:val="superscript"/>
            <w:lang w:val="en-US"/>
            <w:rPrChange w:id="53" w:author="Andrés González Santa Cruz" w:date="2024-05-17T23:42:00Z" w16du:dateUtc="2024-05-18T03:42:00Z">
              <w:rPr>
                <w:vertAlign w:val="superscript"/>
                <w:lang w:val="es-CL"/>
              </w:rPr>
            </w:rPrChange>
          </w:rPr>
          <w:t>f</w:t>
        </w:r>
        <w:r w:rsidRPr="008B00A4">
          <w:rPr>
            <w:lang w:val="en-US"/>
            <w:rPrChange w:id="54" w:author="Andrés González Santa Cruz" w:date="2024-05-17T23:42:00Z" w16du:dateUtc="2024-05-18T03:42:00Z">
              <w:rPr>
                <w:lang w:val="es-CL"/>
              </w:rPr>
            </w:rPrChange>
          </w:rPr>
          <w:t xml:space="preserve"> School of Criminology and Criminal Justice, Griffith University, Australia</w:t>
        </w:r>
      </w:ins>
    </w:p>
    <w:p w14:paraId="504453EF" w14:textId="77777777" w:rsidR="008B00A4" w:rsidRPr="008B00A4" w:rsidRDefault="008B00A4">
      <w:pPr>
        <w:spacing w:after="0"/>
        <w:rPr>
          <w:ins w:id="55" w:author="Andrés González Santa Cruz" w:date="2024-05-17T23:42:00Z" w16du:dateUtc="2024-05-18T03:42:00Z"/>
          <w:lang w:val="en-US"/>
          <w:rPrChange w:id="56" w:author="Andrés González Santa Cruz" w:date="2024-05-17T23:42:00Z" w16du:dateUtc="2024-05-18T03:42:00Z">
            <w:rPr>
              <w:ins w:id="57" w:author="Andrés González Santa Cruz" w:date="2024-05-17T23:42:00Z" w16du:dateUtc="2024-05-18T03:42:00Z"/>
              <w:lang w:val="es-CL"/>
            </w:rPr>
          </w:rPrChange>
        </w:rPr>
        <w:pPrChange w:id="58" w:author="Andrés González Santa Cruz" w:date="2024-05-19T22:05:00Z" w16du:dateUtc="2024-05-20T02:05:00Z">
          <w:pPr/>
        </w:pPrChange>
      </w:pPr>
      <w:ins w:id="59" w:author="Andrés González Santa Cruz" w:date="2024-05-17T23:42:00Z" w16du:dateUtc="2024-05-18T03:42:00Z">
        <w:r w:rsidRPr="008B00A4">
          <w:rPr>
            <w:vertAlign w:val="superscript"/>
            <w:lang w:val="en-US"/>
            <w:rPrChange w:id="60" w:author="Andrés González Santa Cruz" w:date="2024-05-17T23:42:00Z" w16du:dateUtc="2024-05-18T03:42:00Z">
              <w:rPr>
                <w:vertAlign w:val="superscript"/>
                <w:lang w:val="es-CL"/>
              </w:rPr>
            </w:rPrChange>
          </w:rPr>
          <w:t>g</w:t>
        </w:r>
        <w:r w:rsidRPr="008B00A4">
          <w:rPr>
            <w:lang w:val="en-US"/>
            <w:rPrChange w:id="61" w:author="Andrés González Santa Cruz" w:date="2024-05-17T23:42:00Z" w16du:dateUtc="2024-05-18T03:42:00Z">
              <w:rPr>
                <w:lang w:val="es-CL"/>
              </w:rPr>
            </w:rPrChange>
          </w:rPr>
          <w:t xml:space="preserve"> Millennium Nucleus on </w:t>
        </w:r>
        <w:proofErr w:type="spellStart"/>
        <w:r w:rsidRPr="008B00A4">
          <w:rPr>
            <w:lang w:val="en-US"/>
            <w:rPrChange w:id="62" w:author="Andrés González Santa Cruz" w:date="2024-05-17T23:42:00Z" w16du:dateUtc="2024-05-18T03:42:00Z">
              <w:rPr>
                <w:lang w:val="es-CL"/>
              </w:rPr>
            </w:rPrChange>
          </w:rPr>
          <w:t>Sociomedicine</w:t>
        </w:r>
        <w:proofErr w:type="spellEnd"/>
        <w:r w:rsidRPr="008B00A4">
          <w:rPr>
            <w:lang w:val="en-US"/>
            <w:rPrChange w:id="63" w:author="Andrés González Santa Cruz" w:date="2024-05-17T23:42:00Z" w16du:dateUtc="2024-05-18T03:42:00Z">
              <w:rPr>
                <w:lang w:val="es-CL"/>
              </w:rPr>
            </w:rPrChange>
          </w:rPr>
          <w:t xml:space="preserve"> (</w:t>
        </w:r>
        <w:proofErr w:type="spellStart"/>
        <w:r w:rsidRPr="008B00A4">
          <w:rPr>
            <w:lang w:val="en-US"/>
            <w:rPrChange w:id="64" w:author="Andrés González Santa Cruz" w:date="2024-05-17T23:42:00Z" w16du:dateUtc="2024-05-18T03:42:00Z">
              <w:rPr>
                <w:lang w:val="es-CL"/>
              </w:rPr>
            </w:rPrChange>
          </w:rPr>
          <w:t>SocioMed</w:t>
        </w:r>
        <w:proofErr w:type="spellEnd"/>
        <w:r w:rsidRPr="008B00A4">
          <w:rPr>
            <w:lang w:val="en-US"/>
            <w:rPrChange w:id="65" w:author="Andrés González Santa Cruz" w:date="2024-05-17T23:42:00Z" w16du:dateUtc="2024-05-18T03:42:00Z">
              <w:rPr>
                <w:lang w:val="es-CL"/>
              </w:rPr>
            </w:rPrChange>
          </w:rPr>
          <w:t>), Chile.</w:t>
        </w:r>
      </w:ins>
    </w:p>
    <w:p w14:paraId="461526CE" w14:textId="77777777" w:rsidR="008B00A4" w:rsidRDefault="008B00A4">
      <w:pPr>
        <w:rPr>
          <w:ins w:id="66" w:author="Andrés González Santa Cruz" w:date="2024-05-17T23:42:00Z" w16du:dateUtc="2024-05-18T03:42:00Z"/>
        </w:rPr>
        <w:pPrChange w:id="67" w:author="Andrés González Santa Cruz" w:date="2024-05-17T23:42:00Z" w16du:dateUtc="2024-05-18T03:42:00Z">
          <w:pPr>
            <w:pStyle w:val="Ttulo1"/>
            <w:tabs>
              <w:tab w:val="left" w:pos="567"/>
            </w:tabs>
            <w:spacing w:before="240" w:beforeAutospacing="0" w:after="0" w:afterAutospacing="0" w:line="276" w:lineRule="auto"/>
            <w:ind w:right="565"/>
          </w:pPr>
        </w:pPrChange>
      </w:pPr>
    </w:p>
    <w:p w14:paraId="39D3233D" w14:textId="1A298662" w:rsidR="001B79DB" w:rsidRDefault="001B79DB" w:rsidP="001B79DB">
      <w:pPr>
        <w:pStyle w:val="Ttulo1"/>
        <w:tabs>
          <w:tab w:val="left" w:pos="567"/>
        </w:tabs>
        <w:spacing w:before="240" w:beforeAutospacing="0" w:after="0" w:afterAutospacing="0" w:line="276" w:lineRule="auto"/>
        <w:ind w:right="565"/>
        <w:rPr>
          <w:rFonts w:ascii="Verdana" w:hAnsi="Verdana"/>
          <w:sz w:val="20"/>
          <w:szCs w:val="20"/>
        </w:rPr>
      </w:pPr>
      <w:r>
        <w:rPr>
          <w:rFonts w:ascii="Verdana" w:hAnsi="Verdana"/>
          <w:sz w:val="20"/>
          <w:szCs w:val="20"/>
        </w:rPr>
        <w:t>Abstract</w:t>
      </w:r>
    </w:p>
    <w:p w14:paraId="4D0B72C4" w14:textId="77777777" w:rsidR="00A85632" w:rsidRDefault="00A85632" w:rsidP="001B79DB">
      <w:pPr>
        <w:rPr>
          <w:b/>
          <w:bCs/>
          <w:lang w:val="en-US"/>
        </w:rPr>
      </w:pPr>
    </w:p>
    <w:p w14:paraId="2B994DCA" w14:textId="77777777" w:rsidR="00A85632" w:rsidRPr="00A85632" w:rsidRDefault="00A85632" w:rsidP="00A85632">
      <w:pPr>
        <w:rPr>
          <w:lang w:val="en-US"/>
        </w:rPr>
      </w:pPr>
      <w:r w:rsidRPr="00A85632">
        <w:rPr>
          <w:b/>
          <w:bCs/>
          <w:lang w:val="en-US"/>
        </w:rPr>
        <w:t>Aim</w:t>
      </w:r>
      <w:r w:rsidRPr="00A85632">
        <w:rPr>
          <w:lang w:val="en-US"/>
        </w:rPr>
        <w:t>: (1) To describe the incidence of polysubstance use (PSU) reports and treatment completion in the sample, (2) to compare the association of treatment completion rates between individuals reporting polysubstance use and single-substance use, and (3) to estimate the association between reporting PSU at admission and treatment completion, accounting for irregular and informative observation times.</w:t>
      </w:r>
    </w:p>
    <w:p w14:paraId="3C621673" w14:textId="71F5F0B8" w:rsidR="00A85632" w:rsidRPr="00A85632" w:rsidRDefault="00A85632" w:rsidP="00A85632">
      <w:pPr>
        <w:rPr>
          <w:lang w:val="en-US"/>
        </w:rPr>
      </w:pPr>
      <w:r w:rsidRPr="00A85632">
        <w:rPr>
          <w:b/>
          <w:bCs/>
          <w:lang w:val="en-US"/>
        </w:rPr>
        <w:t>Design</w:t>
      </w:r>
      <w:r w:rsidRPr="00A85632">
        <w:rPr>
          <w:lang w:val="en-US"/>
        </w:rPr>
        <w:t xml:space="preserve">: Retrospective cohort study based on </w:t>
      </w:r>
      <w:r w:rsidR="00C826B0">
        <w:rPr>
          <w:lang w:val="en-US"/>
        </w:rPr>
        <w:t xml:space="preserve">adult treatment records </w:t>
      </w:r>
      <w:r w:rsidRPr="00A85632">
        <w:rPr>
          <w:lang w:val="en-US"/>
        </w:rPr>
        <w:t xml:space="preserve">from the Chilean </w:t>
      </w:r>
      <w:r w:rsidR="00C826B0" w:rsidRPr="00C826B0">
        <w:rPr>
          <w:lang w:val="en-US"/>
        </w:rPr>
        <w:t xml:space="preserve">National Service for the Prevention and Rehabilitation of Drug and Alcohol Use </w:t>
      </w:r>
      <w:r w:rsidRPr="00A85632">
        <w:rPr>
          <w:lang w:val="en-US"/>
        </w:rPr>
        <w:t>(SENDA) from 2010 to 2019.</w:t>
      </w:r>
    </w:p>
    <w:p w14:paraId="27C23979" w14:textId="77777777" w:rsidR="00A85632" w:rsidRPr="00A85632" w:rsidRDefault="00A85632" w:rsidP="00A85632">
      <w:pPr>
        <w:rPr>
          <w:lang w:val="en-US"/>
        </w:rPr>
      </w:pPr>
      <w:r w:rsidRPr="00A85632">
        <w:rPr>
          <w:b/>
          <w:bCs/>
          <w:lang w:val="en-US"/>
        </w:rPr>
        <w:t>Setting</w:t>
      </w:r>
      <w:r w:rsidRPr="00A85632">
        <w:rPr>
          <w:lang w:val="en-US"/>
        </w:rPr>
        <w:t>: Substance use treatment (SUT) is available at no cost through Chile’s publicly funded healthcare and is provided in ambulatory and residential modalities in public and private centers.</w:t>
      </w:r>
    </w:p>
    <w:p w14:paraId="2C180F46" w14:textId="3D6A4F60" w:rsidR="00A85632" w:rsidRPr="00A85632" w:rsidRDefault="00A85632" w:rsidP="00A85632">
      <w:pPr>
        <w:rPr>
          <w:lang w:val="en-US"/>
        </w:rPr>
      </w:pPr>
      <w:r w:rsidRPr="00A85632">
        <w:rPr>
          <w:b/>
          <w:bCs/>
          <w:lang w:val="en-US"/>
        </w:rPr>
        <w:t>Participants</w:t>
      </w:r>
      <w:r w:rsidRPr="00A85632">
        <w:rPr>
          <w:lang w:val="en-US"/>
        </w:rPr>
        <w:t xml:space="preserve">: A total of 13,317 individuals with multiple treatment episodes were analyzed from the 70,854 individuals who received their first SUT </w:t>
      </w:r>
      <w:r>
        <w:rPr>
          <w:lang w:val="en-US"/>
        </w:rPr>
        <w:t>between</w:t>
      </w:r>
      <w:r w:rsidRPr="00A85632">
        <w:rPr>
          <w:lang w:val="en-US"/>
        </w:rPr>
        <w:t xml:space="preserve"> 2010 </w:t>
      </w:r>
      <w:r>
        <w:rPr>
          <w:lang w:val="en-US"/>
        </w:rPr>
        <w:t xml:space="preserve">and </w:t>
      </w:r>
      <w:r w:rsidRPr="00A85632">
        <w:rPr>
          <w:lang w:val="en-US"/>
        </w:rPr>
        <w:t>2019.</w:t>
      </w:r>
    </w:p>
    <w:p w14:paraId="7902F24F" w14:textId="77777777" w:rsidR="00A85632" w:rsidRPr="00A85632" w:rsidRDefault="00A85632" w:rsidP="00A85632">
      <w:pPr>
        <w:rPr>
          <w:lang w:val="en-US"/>
        </w:rPr>
      </w:pPr>
      <w:r w:rsidRPr="00A85632">
        <w:rPr>
          <w:b/>
          <w:bCs/>
          <w:lang w:val="en-US"/>
        </w:rPr>
        <w:t>Measurements</w:t>
      </w:r>
      <w:r w:rsidRPr="00A85632">
        <w:rPr>
          <w:lang w:val="en-US"/>
        </w:rPr>
        <w:t>: SUT completion status was categorized as completed or noncompleted. Primary outcomes focused on treatment noncompletion.</w:t>
      </w:r>
    </w:p>
    <w:p w14:paraId="602438F9" w14:textId="77777777" w:rsidR="00A85632" w:rsidRPr="00A85632" w:rsidRDefault="00A85632" w:rsidP="00A85632">
      <w:pPr>
        <w:rPr>
          <w:lang w:val="en-US"/>
        </w:rPr>
      </w:pPr>
      <w:r w:rsidRPr="00A85632">
        <w:rPr>
          <w:b/>
          <w:bCs/>
          <w:lang w:val="en-US"/>
        </w:rPr>
        <w:t>Findings</w:t>
      </w:r>
      <w:r w:rsidRPr="00A85632">
        <w:rPr>
          <w:lang w:val="en-US"/>
        </w:rPr>
        <w:t>: Higher rates of treatment noncompletion were observed in patients who reported PSU at admission. The risk of noncompletion was significantly higher in intensive ambulatory settings for the general population and in women-only residential settings, with relative risk (RR) values around 1.04 and 1.13-1.15, respectively. However, the association was not consistent across all treatment settings.</w:t>
      </w:r>
    </w:p>
    <w:p w14:paraId="75885EDD" w14:textId="66B979E6" w:rsidR="00A85632" w:rsidRPr="00A85632" w:rsidRDefault="00A85632" w:rsidP="00A85632">
      <w:pPr>
        <w:rPr>
          <w:lang w:val="en-US"/>
        </w:rPr>
      </w:pPr>
      <w:r w:rsidRPr="00A85632">
        <w:rPr>
          <w:b/>
          <w:bCs/>
          <w:lang w:val="en-US"/>
        </w:rPr>
        <w:t>Conclusions</w:t>
      </w:r>
      <w:r w:rsidRPr="00A85632">
        <w:rPr>
          <w:lang w:val="en-US"/>
        </w:rPr>
        <w:t xml:space="preserve">: Reporting PSU at admission was </w:t>
      </w:r>
      <w:r w:rsidR="00C826B0">
        <w:rPr>
          <w:lang w:val="en-US"/>
        </w:rPr>
        <w:t xml:space="preserve">modestly </w:t>
      </w:r>
      <w:r w:rsidRPr="00A85632">
        <w:rPr>
          <w:lang w:val="en-US"/>
        </w:rPr>
        <w:t xml:space="preserve">associated with a higher risk of treatment noncompletion. The analysis, adjusted for various covariates and accounting for irregular observation times, highlights the </w:t>
      </w:r>
      <w:del w:id="68" w:author="Andrés González Santa Cruz" w:date="2024-05-17T16:44:00Z" w16du:dateUtc="2024-05-17T20:44:00Z">
        <w:r w:rsidRPr="00A85632" w:rsidDel="008D0663">
          <w:rPr>
            <w:lang w:val="en-US"/>
          </w:rPr>
          <w:delText xml:space="preserve">significant impact </w:delText>
        </w:r>
      </w:del>
      <w:ins w:id="69" w:author="Andrés González Santa Cruz" w:date="2024-05-17T16:44:00Z" w16du:dateUtc="2024-05-17T20:44:00Z">
        <w:r w:rsidR="008D0663">
          <w:rPr>
            <w:lang w:val="en-US"/>
          </w:rPr>
          <w:t>association</w:t>
        </w:r>
        <w:r w:rsidR="008D0663" w:rsidRPr="00A85632">
          <w:rPr>
            <w:lang w:val="en-US"/>
          </w:rPr>
          <w:t xml:space="preserve"> </w:t>
        </w:r>
      </w:ins>
      <w:del w:id="70" w:author="Andrés González Santa Cruz" w:date="2024-05-17T16:44:00Z" w16du:dateUtc="2024-05-17T20:44:00Z">
        <w:r w:rsidRPr="00A85632" w:rsidDel="008D0663">
          <w:rPr>
            <w:lang w:val="en-US"/>
          </w:rPr>
          <w:delText xml:space="preserve">of </w:delText>
        </w:r>
      </w:del>
      <w:ins w:id="71" w:author="Andrés González Santa Cruz" w:date="2024-05-17T16:44:00Z" w16du:dateUtc="2024-05-17T20:44:00Z">
        <w:r w:rsidR="008D0663">
          <w:rPr>
            <w:lang w:val="en-US"/>
          </w:rPr>
          <w:t xml:space="preserve">between </w:t>
        </w:r>
      </w:ins>
      <w:r w:rsidRPr="00A85632">
        <w:rPr>
          <w:lang w:val="en-US"/>
        </w:rPr>
        <w:t xml:space="preserve">PSU reporting </w:t>
      </w:r>
      <w:del w:id="72" w:author="Andrés González Santa Cruz" w:date="2024-05-17T16:44:00Z" w16du:dateUtc="2024-05-17T20:44:00Z">
        <w:r w:rsidRPr="00A85632" w:rsidDel="008D0663">
          <w:rPr>
            <w:lang w:val="en-US"/>
          </w:rPr>
          <w:delText xml:space="preserve">on </w:delText>
        </w:r>
      </w:del>
      <w:ins w:id="73" w:author="Andrés González Santa Cruz" w:date="2024-05-17T16:44:00Z" w16du:dateUtc="2024-05-17T20:44:00Z">
        <w:r w:rsidR="008D0663">
          <w:rPr>
            <w:lang w:val="en-US"/>
          </w:rPr>
          <w:t>and</w:t>
        </w:r>
        <w:r w:rsidR="008D0663" w:rsidRPr="00A85632">
          <w:rPr>
            <w:lang w:val="en-US"/>
          </w:rPr>
          <w:t xml:space="preserve"> </w:t>
        </w:r>
      </w:ins>
      <w:r w:rsidRPr="00A85632">
        <w:rPr>
          <w:lang w:val="en-US"/>
        </w:rPr>
        <w:t>treatment outcomes in specific settings.</w:t>
      </w:r>
      <w:ins w:id="74" w:author="Andrés González Santa Cruz" w:date="2024-05-17T16:44:00Z" w16du:dateUtc="2024-05-17T20:44:00Z">
        <w:r w:rsidR="008D0663">
          <w:rPr>
            <w:lang w:val="en-US"/>
          </w:rPr>
          <w:t xml:space="preserve"> This </w:t>
        </w:r>
      </w:ins>
      <w:ins w:id="75" w:author="Andrés González Santa Cruz" w:date="2024-05-19T21:51:00Z" w16du:dateUtc="2024-05-20T01:51:00Z">
        <w:r w:rsidR="006C2A02">
          <w:rPr>
            <w:lang w:val="en-US"/>
          </w:rPr>
          <w:t>underscores</w:t>
        </w:r>
      </w:ins>
      <w:ins w:id="76" w:author="Andrés González Santa Cruz" w:date="2024-05-17T16:44:00Z" w16du:dateUtc="2024-05-17T20:44:00Z">
        <w:r w:rsidR="008D0663">
          <w:rPr>
            <w:lang w:val="en-US"/>
          </w:rPr>
          <w:t xml:space="preserve"> the necessity for strategies tailor</w:t>
        </w:r>
      </w:ins>
      <w:ins w:id="77" w:author="Andrés González Santa Cruz" w:date="2024-05-17T16:45:00Z" w16du:dateUtc="2024-05-17T20:45:00Z">
        <w:r w:rsidR="008D0663">
          <w:rPr>
            <w:lang w:val="en-US"/>
          </w:rPr>
          <w:t>ed to different patients in treatment settings, paving the way for more personalized interventions.</w:t>
        </w:r>
      </w:ins>
    </w:p>
    <w:p w14:paraId="2BEA26B0" w14:textId="2066E3F9" w:rsidR="001B79DB" w:rsidRPr="001B79DB" w:rsidRDefault="00A85632" w:rsidP="00C826B0">
      <w:pPr>
        <w:rPr>
          <w:lang w:val="en-US"/>
        </w:rPr>
      </w:pPr>
      <w:r w:rsidRPr="00A85632">
        <w:rPr>
          <w:b/>
          <w:bCs/>
          <w:lang w:val="en-US"/>
        </w:rPr>
        <w:t>Key Terms</w:t>
      </w:r>
      <w:r w:rsidRPr="00A85632">
        <w:rPr>
          <w:lang w:val="en-US"/>
        </w:rPr>
        <w:t>: Substance use treatment noncompletion; Irregular assessment; Polysubstance use; Chile.</w:t>
      </w:r>
      <w:r w:rsidR="001B79DB">
        <w:rPr>
          <w:lang w:val="en-US"/>
        </w:rPr>
        <w:br w:type="page"/>
      </w:r>
    </w:p>
    <w:p w14:paraId="7E936CDF" w14:textId="126EA596" w:rsidR="00BD6BF3" w:rsidRPr="0075223D" w:rsidRDefault="00BD6BF3" w:rsidP="00F8187F">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r w:rsidRPr="0075223D">
        <w:rPr>
          <w:rFonts w:ascii="Verdana" w:hAnsi="Verdana"/>
          <w:sz w:val="20"/>
          <w:szCs w:val="20"/>
        </w:rPr>
        <w:lastRenderedPageBreak/>
        <w:t>Project Overview</w:t>
      </w:r>
      <w:bookmarkEnd w:id="2"/>
    </w:p>
    <w:p w14:paraId="37793720" w14:textId="470001E8" w:rsidR="0035641C" w:rsidRPr="0075223D" w:rsidRDefault="0035641C" w:rsidP="00606783">
      <w:pPr>
        <w:spacing w:line="276" w:lineRule="auto"/>
      </w:pPr>
      <w:r w:rsidRPr="0075223D">
        <w:t>The research question and design of this project has been modified due to administrative constraints. Therefore, below is presented the current and original (discarded) project designs.</w:t>
      </w:r>
    </w:p>
    <w:p w14:paraId="3E6C3AEE" w14:textId="77777777" w:rsidR="00D45A6D" w:rsidRPr="0075223D" w:rsidRDefault="00D45A6D" w:rsidP="00F8187F">
      <w:pPr>
        <w:spacing w:line="276" w:lineRule="auto"/>
        <w:rPr>
          <w:szCs w:val="20"/>
          <w:lang w:val="en-US"/>
        </w:rPr>
      </w:pPr>
    </w:p>
    <w:p w14:paraId="60974892" w14:textId="7C3BCEC2" w:rsidR="00D45A6D" w:rsidRPr="0075223D" w:rsidRDefault="0035641C" w:rsidP="00D53D3C">
      <w:pPr>
        <w:pStyle w:val="Ttulo2"/>
        <w:spacing w:line="276" w:lineRule="auto"/>
        <w:ind w:left="142"/>
      </w:pPr>
      <w:r w:rsidRPr="0075223D">
        <w:t xml:space="preserve"> </w:t>
      </w:r>
      <w:bookmarkStart w:id="78" w:name="_Toc162862595"/>
      <w:r w:rsidRPr="0075223D">
        <w:t>Current p</w:t>
      </w:r>
      <w:r w:rsidR="00D45A6D" w:rsidRPr="0075223D">
        <w:t>roject</w:t>
      </w:r>
      <w:r w:rsidRPr="0075223D">
        <w:t xml:space="preserve"> (modified from original)</w:t>
      </w:r>
      <w:bookmarkEnd w:id="78"/>
    </w:p>
    <w:p w14:paraId="760BBF4F" w14:textId="694C271E" w:rsidR="00D45A6D" w:rsidRPr="0075223D" w:rsidRDefault="00D45A6D" w:rsidP="00F8187F">
      <w:pPr>
        <w:numPr>
          <w:ilvl w:val="0"/>
          <w:numId w:val="27"/>
        </w:numPr>
        <w:spacing w:line="276" w:lineRule="auto"/>
        <w:rPr>
          <w:szCs w:val="20"/>
          <w:lang w:val="en-US"/>
        </w:rPr>
      </w:pPr>
      <w:r w:rsidRPr="0075223D">
        <w:rPr>
          <w:b/>
          <w:bCs/>
          <w:szCs w:val="20"/>
          <w:lang w:val="en-US"/>
        </w:rPr>
        <w:t>Research question:</w:t>
      </w:r>
      <w:r w:rsidRPr="0075223D">
        <w:rPr>
          <w:szCs w:val="20"/>
          <w:lang w:val="en-US"/>
        </w:rPr>
        <w:t xml:space="preserve"> What are the effects of </w:t>
      </w:r>
      <w:r w:rsidR="00F56CF1" w:rsidRPr="0075223D">
        <w:rPr>
          <w:szCs w:val="20"/>
          <w:lang w:val="en-US"/>
        </w:rPr>
        <w:t>having</w:t>
      </w:r>
      <w:r w:rsidR="002F4D05" w:rsidRPr="0075223D">
        <w:rPr>
          <w:szCs w:val="20"/>
          <w:lang w:val="en-US"/>
        </w:rPr>
        <w:t xml:space="preserve"> reported</w:t>
      </w:r>
      <w:r w:rsidR="00F56CF1" w:rsidRPr="0075223D">
        <w:rPr>
          <w:szCs w:val="20"/>
          <w:lang w:val="en-US"/>
        </w:rPr>
        <w:t xml:space="preserve"> </w:t>
      </w:r>
      <w:r w:rsidR="00B54FB6" w:rsidRPr="0075223D">
        <w:rPr>
          <w:szCs w:val="20"/>
          <w:lang w:val="en-US"/>
        </w:rPr>
        <w:t>polysubstance use (</w:t>
      </w:r>
      <w:r w:rsidRPr="0075223D">
        <w:rPr>
          <w:szCs w:val="20"/>
          <w:lang w:val="en-US"/>
        </w:rPr>
        <w:t>PSU</w:t>
      </w:r>
      <w:r w:rsidR="00B54FB6" w:rsidRPr="0075223D">
        <w:rPr>
          <w:szCs w:val="20"/>
          <w:lang w:val="en-US"/>
        </w:rPr>
        <w:t>)</w:t>
      </w:r>
      <w:r w:rsidRPr="0075223D">
        <w:rPr>
          <w:szCs w:val="20"/>
          <w:lang w:val="en-US"/>
        </w:rPr>
        <w:t xml:space="preserve"> </w:t>
      </w:r>
      <w:r w:rsidR="00B54FB6" w:rsidRPr="0075223D">
        <w:rPr>
          <w:szCs w:val="20"/>
          <w:lang w:val="en-US"/>
        </w:rPr>
        <w:t xml:space="preserve">at admission </w:t>
      </w:r>
      <w:r w:rsidR="00F11FC6" w:rsidRPr="0075223D">
        <w:rPr>
          <w:szCs w:val="20"/>
          <w:lang w:val="en-US"/>
        </w:rPr>
        <w:t xml:space="preserve">to substance use disorder (SUD) treatments </w:t>
      </w:r>
      <w:r w:rsidR="00F56CF1" w:rsidRPr="0075223D">
        <w:rPr>
          <w:szCs w:val="20"/>
          <w:lang w:val="en-US"/>
        </w:rPr>
        <w:t xml:space="preserve">on treatment completion </w:t>
      </w:r>
      <w:r w:rsidRPr="0075223D">
        <w:rPr>
          <w:szCs w:val="20"/>
          <w:lang w:val="en-US"/>
        </w:rPr>
        <w:t>in Chile?</w:t>
      </w:r>
    </w:p>
    <w:p w14:paraId="3BB73435" w14:textId="0109EC95" w:rsidR="00D45A6D" w:rsidRPr="0075223D" w:rsidRDefault="00966AF0" w:rsidP="00F8187F">
      <w:pPr>
        <w:numPr>
          <w:ilvl w:val="0"/>
          <w:numId w:val="27"/>
        </w:numPr>
        <w:spacing w:line="276" w:lineRule="auto"/>
        <w:rPr>
          <w:szCs w:val="20"/>
          <w:lang w:val="en-US"/>
        </w:rPr>
      </w:pPr>
      <w:r w:rsidRPr="0075223D">
        <w:rPr>
          <w:b/>
          <w:bCs/>
          <w:szCs w:val="20"/>
          <w:lang w:val="en-US"/>
        </w:rPr>
        <w:t xml:space="preserve">Specific </w:t>
      </w:r>
      <w:r w:rsidR="00D45A6D" w:rsidRPr="0075223D">
        <w:rPr>
          <w:b/>
          <w:bCs/>
          <w:szCs w:val="20"/>
          <w:lang w:val="en-US"/>
        </w:rPr>
        <w:t>Aims:</w:t>
      </w:r>
      <w:r w:rsidR="00D45A6D" w:rsidRPr="0075223D">
        <w:rPr>
          <w:szCs w:val="20"/>
          <w:lang w:val="en-US"/>
        </w:rPr>
        <w:t xml:space="preserve"> (1) To describe the </w:t>
      </w:r>
      <w:r w:rsidR="00550B5D" w:rsidRPr="0075223D">
        <w:rPr>
          <w:szCs w:val="20"/>
          <w:lang w:val="en-US"/>
        </w:rPr>
        <w:t>incidence</w:t>
      </w:r>
      <w:r w:rsidR="00D45A6D" w:rsidRPr="0075223D">
        <w:rPr>
          <w:szCs w:val="20"/>
          <w:lang w:val="en-US"/>
        </w:rPr>
        <w:t xml:space="preserve"> of PSU</w:t>
      </w:r>
      <w:r w:rsidR="00F56CF1" w:rsidRPr="0075223D">
        <w:rPr>
          <w:szCs w:val="20"/>
          <w:lang w:val="en-US"/>
        </w:rPr>
        <w:t xml:space="preserve"> </w:t>
      </w:r>
      <w:r w:rsidR="00B54FB6" w:rsidRPr="0075223D">
        <w:rPr>
          <w:szCs w:val="20"/>
          <w:lang w:val="en-US"/>
        </w:rPr>
        <w:t xml:space="preserve">reports </w:t>
      </w:r>
      <w:r w:rsidR="00F56CF1" w:rsidRPr="0075223D">
        <w:rPr>
          <w:szCs w:val="20"/>
          <w:lang w:val="en-US"/>
        </w:rPr>
        <w:t>and</w:t>
      </w:r>
      <w:r w:rsidR="00D45A6D" w:rsidRPr="0075223D">
        <w:rPr>
          <w:szCs w:val="20"/>
          <w:lang w:val="en-US"/>
        </w:rPr>
        <w:t xml:space="preserve"> treatment completion in the sample, (2) to compare the </w:t>
      </w:r>
      <w:r w:rsidR="00F11FC6" w:rsidRPr="0075223D">
        <w:rPr>
          <w:szCs w:val="20"/>
          <w:lang w:val="en-US"/>
        </w:rPr>
        <w:t xml:space="preserve">occurrence rate of </w:t>
      </w:r>
      <w:r w:rsidR="00F56CF1" w:rsidRPr="0075223D">
        <w:rPr>
          <w:szCs w:val="20"/>
          <w:lang w:val="en-US"/>
        </w:rPr>
        <w:t xml:space="preserve">treatment completion </w:t>
      </w:r>
      <w:r w:rsidR="00D45A6D" w:rsidRPr="0075223D">
        <w:rPr>
          <w:szCs w:val="20"/>
          <w:lang w:val="en-US"/>
        </w:rPr>
        <w:t xml:space="preserve">between people with </w:t>
      </w:r>
      <w:r w:rsidR="00F11FC6" w:rsidRPr="0075223D">
        <w:rPr>
          <w:szCs w:val="20"/>
          <w:lang w:val="en-US"/>
        </w:rPr>
        <w:t xml:space="preserve">reporting </w:t>
      </w:r>
      <w:r w:rsidR="00D45A6D" w:rsidRPr="0075223D">
        <w:rPr>
          <w:szCs w:val="20"/>
          <w:lang w:val="en-US"/>
        </w:rPr>
        <w:t xml:space="preserve">poly and single-substance use, and (3) to estimate the </w:t>
      </w:r>
      <w:r w:rsidR="00F36973" w:rsidRPr="0075223D">
        <w:rPr>
          <w:szCs w:val="20"/>
          <w:lang w:val="en-US"/>
        </w:rPr>
        <w:t xml:space="preserve">association between </w:t>
      </w:r>
      <w:r w:rsidR="00B54FB6" w:rsidRPr="0075223D">
        <w:rPr>
          <w:szCs w:val="20"/>
          <w:lang w:val="en-US"/>
        </w:rPr>
        <w:t xml:space="preserve">reporting </w:t>
      </w:r>
      <w:r w:rsidR="00D45A6D" w:rsidRPr="0075223D">
        <w:rPr>
          <w:szCs w:val="20"/>
          <w:lang w:val="en-US"/>
        </w:rPr>
        <w:t>PSU</w:t>
      </w:r>
      <w:r w:rsidR="00F56CF1" w:rsidRPr="0075223D">
        <w:rPr>
          <w:szCs w:val="20"/>
          <w:lang w:val="en-US"/>
        </w:rPr>
        <w:t xml:space="preserve"> </w:t>
      </w:r>
      <w:r w:rsidR="00F36973" w:rsidRPr="0075223D">
        <w:rPr>
          <w:szCs w:val="20"/>
          <w:lang w:val="en-US"/>
        </w:rPr>
        <w:t xml:space="preserve">at admission and </w:t>
      </w:r>
      <w:r w:rsidR="00F56CF1" w:rsidRPr="0075223D">
        <w:rPr>
          <w:szCs w:val="20"/>
          <w:lang w:val="en-US"/>
        </w:rPr>
        <w:t>treatment completion</w:t>
      </w:r>
      <w:r w:rsidR="00E71A99" w:rsidRPr="0075223D">
        <w:rPr>
          <w:szCs w:val="20"/>
          <w:lang w:val="en-US"/>
        </w:rPr>
        <w:t>, accounting for irregular and informative observation times</w:t>
      </w:r>
      <w:r w:rsidR="00D45A6D" w:rsidRPr="0075223D">
        <w:rPr>
          <w:szCs w:val="20"/>
          <w:lang w:val="en-US"/>
        </w:rPr>
        <w:t>.</w:t>
      </w:r>
    </w:p>
    <w:p w14:paraId="7E5AAE7D" w14:textId="36767843" w:rsidR="00D45A6D" w:rsidRPr="0075223D" w:rsidRDefault="00D45A6D" w:rsidP="00F8187F">
      <w:pPr>
        <w:numPr>
          <w:ilvl w:val="0"/>
          <w:numId w:val="27"/>
        </w:numPr>
        <w:spacing w:line="276" w:lineRule="auto"/>
        <w:rPr>
          <w:szCs w:val="20"/>
          <w:lang w:val="en-US"/>
        </w:rPr>
      </w:pPr>
      <w:r w:rsidRPr="0075223D">
        <w:rPr>
          <w:b/>
          <w:bCs/>
          <w:szCs w:val="20"/>
          <w:lang w:val="en-US"/>
        </w:rPr>
        <w:t>Hypothesis:</w:t>
      </w:r>
      <w:r w:rsidRPr="0075223D">
        <w:rPr>
          <w:szCs w:val="20"/>
          <w:lang w:val="en-US"/>
        </w:rPr>
        <w:t xml:space="preserve"> </w:t>
      </w:r>
      <w:r w:rsidR="00580C3A" w:rsidRPr="0075223D">
        <w:rPr>
          <w:szCs w:val="20"/>
          <w:lang w:val="en-US"/>
        </w:rPr>
        <w:t xml:space="preserve">Reporting </w:t>
      </w:r>
      <w:r w:rsidRPr="0075223D">
        <w:rPr>
          <w:szCs w:val="20"/>
          <w:lang w:val="en-US"/>
        </w:rPr>
        <w:t xml:space="preserve">PSU </w:t>
      </w:r>
      <w:r w:rsidR="001A5478" w:rsidRPr="0075223D">
        <w:rPr>
          <w:szCs w:val="20"/>
          <w:lang w:val="en-US"/>
        </w:rPr>
        <w:t>at admission</w:t>
      </w:r>
      <w:r w:rsidR="00580C3A" w:rsidRPr="0075223D">
        <w:rPr>
          <w:szCs w:val="20"/>
          <w:lang w:val="en-US"/>
        </w:rPr>
        <w:t xml:space="preserve"> to SUD treatment</w:t>
      </w:r>
      <w:r w:rsidR="001A5478" w:rsidRPr="0075223D">
        <w:rPr>
          <w:szCs w:val="20"/>
          <w:lang w:val="en-US"/>
        </w:rPr>
        <w:t xml:space="preserve"> </w:t>
      </w:r>
      <w:r w:rsidRPr="0075223D">
        <w:rPr>
          <w:szCs w:val="20"/>
          <w:lang w:val="en-US"/>
        </w:rPr>
        <w:t xml:space="preserve">is related to lower </w:t>
      </w:r>
      <w:r w:rsidR="00106AFB" w:rsidRPr="0075223D">
        <w:rPr>
          <w:szCs w:val="20"/>
          <w:lang w:val="en-US"/>
        </w:rPr>
        <w:t xml:space="preserve">treatment completion </w:t>
      </w:r>
      <w:r w:rsidR="00DE13FF" w:rsidRPr="0075223D">
        <w:rPr>
          <w:szCs w:val="20"/>
          <w:lang w:val="en-US"/>
        </w:rPr>
        <w:t>rates</w:t>
      </w:r>
      <w:r w:rsidRPr="0075223D">
        <w:rPr>
          <w:szCs w:val="20"/>
          <w:lang w:val="en-US"/>
        </w:rPr>
        <w:t>.</w:t>
      </w:r>
    </w:p>
    <w:p w14:paraId="1B59C417" w14:textId="18E13383" w:rsidR="0035641C" w:rsidRPr="0075223D" w:rsidRDefault="0035641C" w:rsidP="0035641C">
      <w:pPr>
        <w:pStyle w:val="Ttulo2"/>
        <w:spacing w:line="276" w:lineRule="auto"/>
        <w:ind w:left="142"/>
      </w:pPr>
      <w:bookmarkStart w:id="79" w:name="_Toc162862596"/>
      <w:r w:rsidRPr="0075223D">
        <w:t>Original project (discarded)</w:t>
      </w:r>
      <w:bookmarkEnd w:id="79"/>
    </w:p>
    <w:p w14:paraId="5DC4648B" w14:textId="77777777" w:rsidR="0035641C" w:rsidRPr="0075223D" w:rsidRDefault="0035641C" w:rsidP="0035641C">
      <w:pPr>
        <w:numPr>
          <w:ilvl w:val="0"/>
          <w:numId w:val="27"/>
        </w:numPr>
        <w:tabs>
          <w:tab w:val="clear" w:pos="720"/>
          <w:tab w:val="num" w:pos="567"/>
        </w:tabs>
        <w:spacing w:line="276" w:lineRule="auto"/>
        <w:ind w:left="567" w:hanging="283"/>
        <w:rPr>
          <w:szCs w:val="20"/>
          <w:lang w:val="en-US"/>
        </w:rPr>
      </w:pPr>
      <w:r w:rsidRPr="0075223D">
        <w:rPr>
          <w:b/>
          <w:bCs/>
          <w:szCs w:val="20"/>
          <w:lang w:val="en-US"/>
        </w:rPr>
        <w:t>Research question:</w:t>
      </w:r>
      <w:r w:rsidRPr="0075223D">
        <w:rPr>
          <w:szCs w:val="20"/>
          <w:lang w:val="en-US"/>
        </w:rPr>
        <w:t xml:space="preserve"> What are the mediating effects of completing SUD treatment on the relationship between baseline PSU and contact with CJS in Chile in the short (six months), middle (one year), and long term (three years)?</w:t>
      </w:r>
    </w:p>
    <w:p w14:paraId="0FC5ACFF" w14:textId="12CA36B6" w:rsidR="00D45A6D" w:rsidRPr="0075223D" w:rsidRDefault="00261E63" w:rsidP="00D45A6D">
      <w:pPr>
        <w:jc w:val="left"/>
        <w:rPr>
          <w:color w:val="000000"/>
          <w:szCs w:val="20"/>
        </w:rPr>
      </w:pPr>
      <w:r w:rsidRPr="0075223D">
        <w:rPr>
          <w:color w:val="000000"/>
          <w:szCs w:val="20"/>
        </w:rPr>
        <w:br w:type="page"/>
      </w:r>
    </w:p>
    <w:p w14:paraId="0CEFCDB1" w14:textId="0414BDAA" w:rsidR="003C33EB" w:rsidRPr="0075223D" w:rsidRDefault="00AD4367"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ins w:id="80" w:author="Andrés González Santa Cruz" w:date="2024-05-18T16:56:00Z" w16du:dateUtc="2024-05-18T20:56:00Z">
        <w:r>
          <w:rPr>
            <w:rFonts w:ascii="Verdana" w:hAnsi="Verdana"/>
            <w:sz w:val="20"/>
            <w:szCs w:val="20"/>
          </w:rPr>
          <w:lastRenderedPageBreak/>
          <w:t>Methods</w:t>
        </w:r>
      </w:ins>
    </w:p>
    <w:p w14:paraId="3F9337BB" w14:textId="353135DB" w:rsidR="00BD6BF3" w:rsidRDefault="00AD4367" w:rsidP="00CB0B1C">
      <w:pPr>
        <w:pStyle w:val="Prrafodelista"/>
        <w:numPr>
          <w:ilvl w:val="0"/>
          <w:numId w:val="19"/>
        </w:numPr>
        <w:tabs>
          <w:tab w:val="left" w:pos="567"/>
        </w:tabs>
        <w:ind w:left="709" w:right="-2"/>
        <w:rPr>
          <w:ins w:id="81" w:author="Andrés González Santa Cruz" w:date="2024-05-18T16:54:00Z" w16du:dateUtc="2024-05-18T20:54:00Z"/>
          <w:b/>
          <w:bCs/>
        </w:rPr>
      </w:pPr>
      <w:ins w:id="82" w:author="Andrés González Santa Cruz" w:date="2024-05-18T16:55:00Z" w16du:dateUtc="2024-05-18T20:55:00Z">
        <w:r>
          <w:rPr>
            <w:b/>
            <w:bCs/>
          </w:rPr>
          <w:t>Design</w:t>
        </w:r>
      </w:ins>
      <w:del w:id="83" w:author="Andrés González Santa Cruz" w:date="2024-05-18T16:55:00Z" w16du:dateUtc="2024-05-18T20:55:00Z">
        <w:r w:rsidR="00C86DE9" w:rsidRPr="0075223D" w:rsidDel="00AD4367">
          <w:rPr>
            <w:b/>
            <w:bCs/>
          </w:rPr>
          <w:delText xml:space="preserve"> </w:delText>
        </w:r>
      </w:del>
    </w:p>
    <w:p w14:paraId="5EE1A18B" w14:textId="5B83DD06" w:rsidR="005479B7" w:rsidRPr="005479B7" w:rsidDel="005479B7" w:rsidRDefault="00AD4367" w:rsidP="005479B7">
      <w:pPr>
        <w:pStyle w:val="Prrafodelista"/>
        <w:widowControl w:val="0"/>
        <w:ind w:left="0" w:right="-2" w:firstLine="567"/>
        <w:rPr>
          <w:del w:id="84" w:author="Andrés González Santa Cruz" w:date="2024-05-19T21:11:00Z" w16du:dateUtc="2024-05-20T01:11:00Z"/>
          <w:szCs w:val="20"/>
        </w:rPr>
      </w:pPr>
      <w:ins w:id="85" w:author="Andrés González Santa Cruz" w:date="2024-05-18T16:54:00Z" w16du:dateUtc="2024-05-18T20:54:00Z">
        <w:r w:rsidRPr="00AD4367">
          <w:rPr>
            <w:szCs w:val="20"/>
          </w:rPr>
          <w:t xml:space="preserve">Patients’ entry to the retrospective cohort starts at the time they were admitted to a SUD treatment listed in the SENDAs yearly databases with information on treatments between 2010-2019. We considered </w:t>
        </w:r>
      </w:ins>
      <w:ins w:id="86" w:author="Andrés González Santa Cruz" w:date="2024-05-19T21:12:00Z" w16du:dateUtc="2024-05-20T01:12:00Z">
        <w:r w:rsidR="005479B7">
          <w:rPr>
            <w:szCs w:val="20"/>
          </w:rPr>
          <w:t xml:space="preserve">adult </w:t>
        </w:r>
      </w:ins>
      <w:ins w:id="87" w:author="Andrés González Santa Cruz" w:date="2024-05-18T16:54:00Z" w16du:dateUtc="2024-05-18T20:54:00Z">
        <w:r w:rsidRPr="00AD4367">
          <w:rPr>
            <w:szCs w:val="20"/>
          </w:rPr>
          <w:t xml:space="preserve">patients </w:t>
        </w:r>
      </w:ins>
      <w:ins w:id="88" w:author="Andrés González Santa Cruz" w:date="2024-05-19T21:12:00Z" w16du:dateUtc="2024-05-20T01:12:00Z">
        <w:r w:rsidR="005479B7">
          <w:rPr>
            <w:szCs w:val="20"/>
          </w:rPr>
          <w:t xml:space="preserve">(+18 years old) </w:t>
        </w:r>
      </w:ins>
      <w:ins w:id="89" w:author="Andrés González Santa Cruz" w:date="2024-05-18T16:54:00Z" w16du:dateUtc="2024-05-18T20:54:00Z">
        <w:r w:rsidRPr="00AD4367">
          <w:rPr>
            <w:szCs w:val="20"/>
          </w:rPr>
          <w:t>who had ongoing treatments from 2010 until 2019. Censoring occurred after the date of data retrieving (November 13, 2019), after an outcome event occurred, or when a patient left the cohort with no other outcomes.</w:t>
        </w:r>
        <w:r w:rsidRPr="006F6185">
          <w:rPr>
            <w:szCs w:val="20"/>
          </w:rPr>
          <w:t xml:space="preserve"> We excluded from the sample patients with only one treatment episode.</w:t>
        </w:r>
      </w:ins>
      <w:ins w:id="90" w:author="Andrés González Santa Cruz" w:date="2024-05-19T21:11:00Z" w16du:dateUtc="2024-05-20T01:11:00Z">
        <w:r w:rsidR="005479B7" w:rsidRPr="005479B7">
          <w:rPr>
            <w:rFonts w:ascii="Calibri" w:hAnsi="Calibri" w:cs="Calibri"/>
            <w:color w:val="000000"/>
          </w:rPr>
          <w:t xml:space="preserve"> </w:t>
        </w:r>
        <w:r w:rsidR="005479B7" w:rsidRPr="005479B7">
          <w:rPr>
            <w:szCs w:val="20"/>
          </w:rPr>
          <w:t xml:space="preserve">This manuscript adheres to the </w:t>
        </w:r>
        <w:proofErr w:type="spellStart"/>
        <w:r w:rsidR="005479B7" w:rsidRPr="005479B7">
          <w:rPr>
            <w:szCs w:val="20"/>
          </w:rPr>
          <w:t>STrengthening</w:t>
        </w:r>
        <w:proofErr w:type="spellEnd"/>
        <w:r w:rsidR="005479B7" w:rsidRPr="005479B7">
          <w:rPr>
            <w:szCs w:val="20"/>
          </w:rPr>
          <w:t xml:space="preserve"> the Reporting of </w:t>
        </w:r>
        <w:proofErr w:type="spellStart"/>
        <w:r w:rsidR="005479B7" w:rsidRPr="005479B7">
          <w:rPr>
            <w:szCs w:val="20"/>
          </w:rPr>
          <w:t>OBservational</w:t>
        </w:r>
        <w:proofErr w:type="spellEnd"/>
        <w:r w:rsidR="005479B7" w:rsidRPr="005479B7">
          <w:rPr>
            <w:szCs w:val="20"/>
          </w:rPr>
          <w:t xml:space="preserve"> studies in Epidemiology (STROBE) guidelines.</w:t>
        </w:r>
        <w:r w:rsidR="005479B7">
          <w:rPr>
            <w:szCs w:val="20"/>
          </w:rPr>
          <w:t xml:space="preserve"> </w:t>
        </w:r>
      </w:ins>
    </w:p>
    <w:p w14:paraId="6030B78A" w14:textId="38E2E832" w:rsidR="00705212" w:rsidDel="00F02D0D" w:rsidRDefault="005A0823" w:rsidP="005479B7">
      <w:pPr>
        <w:pStyle w:val="Prrafodelista"/>
        <w:widowControl w:val="0"/>
        <w:ind w:left="0" w:right="-2" w:firstLine="567"/>
        <w:rPr>
          <w:del w:id="91" w:author="Andrés González Santa Cruz" w:date="2024-05-18T17:24:00Z" w16du:dateUtc="2024-05-18T21:24:00Z"/>
          <w:szCs w:val="20"/>
        </w:rPr>
      </w:pPr>
      <w:r w:rsidRPr="0075223D">
        <w:rPr>
          <w:szCs w:val="20"/>
        </w:rPr>
        <w:t>The study was approved by the Griffith University Human Research Ethics Committee (GUHREC GU Ref No: 2022/919).</w:t>
      </w:r>
    </w:p>
    <w:p w14:paraId="346BB2DB" w14:textId="77777777" w:rsidR="008A0A7F" w:rsidRPr="00AA55DE" w:rsidRDefault="008A0A7F">
      <w:pPr>
        <w:pStyle w:val="Prrafodelista"/>
        <w:widowControl w:val="0"/>
        <w:ind w:left="0" w:right="-2" w:firstLine="567"/>
        <w:pPrChange w:id="92" w:author="Andrés González Santa Cruz" w:date="2024-05-18T17:24:00Z" w16du:dateUtc="2024-05-18T21:24:00Z">
          <w:pPr>
            <w:widowControl w:val="0"/>
            <w:ind w:right="-2"/>
          </w:pPr>
        </w:pPrChange>
      </w:pPr>
    </w:p>
    <w:p w14:paraId="09D45998" w14:textId="5EF57CA5" w:rsidR="006F6185" w:rsidRDefault="006F6185" w:rsidP="006F6185">
      <w:pPr>
        <w:pStyle w:val="Prrafodelista"/>
        <w:numPr>
          <w:ilvl w:val="0"/>
          <w:numId w:val="19"/>
        </w:numPr>
        <w:tabs>
          <w:tab w:val="left" w:pos="567"/>
        </w:tabs>
        <w:spacing w:after="0"/>
        <w:ind w:left="709" w:right="-2"/>
        <w:rPr>
          <w:b/>
          <w:bCs/>
        </w:rPr>
      </w:pPr>
      <w:r>
        <w:rPr>
          <w:b/>
          <w:bCs/>
        </w:rPr>
        <w:t>Variables</w:t>
      </w:r>
    </w:p>
    <w:p w14:paraId="51AD9C94" w14:textId="77777777" w:rsidR="008A0A7F" w:rsidRPr="0075223D" w:rsidRDefault="008A0A7F" w:rsidP="006F6185">
      <w:pPr>
        <w:spacing w:line="276" w:lineRule="auto"/>
        <w:rPr>
          <w:lang w:val="en-US"/>
        </w:rPr>
      </w:pPr>
      <w:r w:rsidRPr="0075223D">
        <w:rPr>
          <w:lang w:val="en-US"/>
        </w:rPr>
        <w:t xml:space="preserve">The exposure variable will be PSU at admission (self-report of using more than one main substance among alcohol and illicit drugs at admission to SUD treatment, whether sequential or concurrent) </w:t>
      </w:r>
      <w:r w:rsidRPr="0075223D">
        <w:rPr>
          <w:lang w:val="en-US"/>
        </w:rPr>
        <w:fldChar w:fldCharType="begin"/>
      </w:r>
      <w:r>
        <w:rPr>
          <w:lang w:val="en-US"/>
        </w:rPr>
        <w:instrText xml:space="preserve"> ADDIN ZOTERO_ITEM CSL_CITATION {"citationID":"Hz5LTbrQ","properties":{"formattedCitation":"(Crummy et al., 2020; Font-Mayolas &amp; Calvo, 2022)","plainCitation":"(Crummy et al., 2020; Font-Mayolas &amp; Calvo, 2022)","noteIndex":0},"citationItems":[{"id":"RQr8hPvX/Gi5jZCx5","uris":["http://zotero.org/users/12673371/items/44553PDU"],"itemData":{"id":433,"type":"article-journal","abstract":"Substance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M."}],"accessed":{"date-parts":[["2024",1,7]]},"issued":{"date-parts":[["2020"]]}}},{"id":"RQr8hPvX/9mw6s2bb","uris":["http://zotero.org/users/12673371/items/UYBXYKA3"],"itemData":{"id":437,"type":"article-journal","abstract":"Polydrug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75223D">
        <w:rPr>
          <w:lang w:val="en-US"/>
        </w:rPr>
        <w:fldChar w:fldCharType="separate"/>
      </w:r>
      <w:r w:rsidRPr="0075223D">
        <w:t>(Crummy et al., 2020; Font-Mayolas &amp; Calvo, 2022)</w:t>
      </w:r>
      <w:r w:rsidRPr="0075223D">
        <w:rPr>
          <w:lang w:val="en-US"/>
        </w:rPr>
        <w:fldChar w:fldCharType="end"/>
      </w:r>
      <w:r w:rsidRPr="0075223D">
        <w:rPr>
          <w:lang w:val="en-US"/>
        </w:rPr>
        <w:t>.</w:t>
      </w:r>
    </w:p>
    <w:p w14:paraId="0C5CBA47" w14:textId="71FE13D9" w:rsidR="008A0A7F" w:rsidRPr="0075223D" w:rsidRDefault="008A0A7F">
      <w:pPr>
        <w:spacing w:line="276" w:lineRule="auto"/>
        <w:ind w:firstLine="567"/>
        <w:rPr>
          <w:lang w:val="en-US"/>
        </w:rPr>
        <w:pPrChange w:id="93" w:author="Andrés González Santa Cruz" w:date="2024-05-19T21:50:00Z" w16du:dateUtc="2024-05-20T01:50:00Z">
          <w:pPr>
            <w:spacing w:line="276" w:lineRule="auto"/>
          </w:pPr>
        </w:pPrChange>
      </w:pPr>
      <w:r w:rsidRPr="0075223D">
        <w:rPr>
          <w:lang w:val="en-US"/>
        </w:rPr>
        <w:t xml:space="preserve">The outcome variable </w:t>
      </w:r>
      <w:del w:id="94" w:author="Andrés González Santa Cruz" w:date="2024-05-19T21:03:00Z" w16du:dateUtc="2024-05-20T01:03:00Z">
        <w:r w:rsidRPr="0075223D" w:rsidDel="000A202A">
          <w:rPr>
            <w:lang w:val="en-US"/>
          </w:rPr>
          <w:delText xml:space="preserve">will </w:delText>
        </w:r>
      </w:del>
      <w:ins w:id="95" w:author="Andrés González Santa Cruz" w:date="2024-05-19T21:03:00Z" w16du:dateUtc="2024-05-20T01:03:00Z">
        <w:r w:rsidR="000A202A">
          <w:rPr>
            <w:lang w:val="en-US"/>
          </w:rPr>
          <w:t>was</w:t>
        </w:r>
      </w:ins>
      <w:del w:id="96" w:author="Andrés González Santa Cruz" w:date="2024-05-19T21:03:00Z" w16du:dateUtc="2024-05-20T01:03:00Z">
        <w:r w:rsidRPr="0075223D" w:rsidDel="000A202A">
          <w:rPr>
            <w:lang w:val="en-US"/>
          </w:rPr>
          <w:delText>be</w:delText>
        </w:r>
      </w:del>
      <w:r w:rsidRPr="0075223D">
        <w:rPr>
          <w:lang w:val="en-US"/>
        </w:rPr>
        <w:t xml:space="preserve"> SUD treatment outcome/completion status (1=dropout or spelled by misconduct; 0= completed treatments).</w:t>
      </w:r>
    </w:p>
    <w:p w14:paraId="5C62E778" w14:textId="067E3D0D" w:rsidR="008A0A7F" w:rsidRDefault="008A0A7F">
      <w:pPr>
        <w:spacing w:line="276" w:lineRule="auto"/>
        <w:ind w:firstLine="567"/>
        <w:rPr>
          <w:lang w:val="en-US"/>
        </w:rPr>
        <w:pPrChange w:id="97" w:author="Andrés González Santa Cruz" w:date="2024-05-19T21:50:00Z" w16du:dateUtc="2024-05-20T01:50:00Z">
          <w:pPr>
            <w:spacing w:line="276" w:lineRule="auto"/>
          </w:pPr>
        </w:pPrChange>
      </w:pPr>
      <w:r w:rsidRPr="0075223D">
        <w:rPr>
          <w:lang w:val="en-US"/>
        </w:rPr>
        <w:t>Additionally, the models adjust</w:t>
      </w:r>
      <w:ins w:id="98" w:author="Andrés González Santa Cruz" w:date="2024-05-19T21:03:00Z" w16du:dateUtc="2024-05-20T01:03:00Z">
        <w:r w:rsidR="000A202A">
          <w:rPr>
            <w:lang w:val="en-US"/>
          </w:rPr>
          <w:t>ed</w:t>
        </w:r>
      </w:ins>
      <w:r w:rsidRPr="0075223D">
        <w:rPr>
          <w:lang w:val="en-US"/>
        </w:rPr>
        <w:t xml:space="preserve"> for various baseline and time-varying confounding variables related to substance use, demographics, and social factors mainly to correct irregular observation times that may be related to the outcomes.</w:t>
      </w:r>
    </w:p>
    <w:p w14:paraId="5956D0D7" w14:textId="77777777" w:rsidR="008A0A7F" w:rsidRDefault="008A0A7F" w:rsidP="006F6185">
      <w:pPr>
        <w:spacing w:line="276" w:lineRule="auto"/>
        <w:rPr>
          <w:lang w:val="en-US"/>
        </w:rPr>
      </w:pPr>
      <w:r>
        <w:rPr>
          <w:lang w:val="en-US"/>
        </w:rPr>
        <w:t>Covariates:</w:t>
      </w:r>
    </w:p>
    <w:p w14:paraId="7296B7AC" w14:textId="42FDEBB4" w:rsidR="008A0A7F" w:rsidRDefault="008A0A7F">
      <w:pPr>
        <w:spacing w:line="276" w:lineRule="auto"/>
        <w:ind w:firstLine="567"/>
        <w:rPr>
          <w:lang w:val="en-US"/>
        </w:rPr>
        <w:pPrChange w:id="99" w:author="Andrés González Santa Cruz" w:date="2024-05-19T21:50:00Z" w16du:dateUtc="2024-05-20T01:50:00Z">
          <w:pPr>
            <w:spacing w:line="276" w:lineRule="auto"/>
          </w:pPr>
        </w:pPrChange>
      </w:pPr>
      <w:r w:rsidRPr="0075223D">
        <w:rPr>
          <w:lang w:val="en-US"/>
        </w:rPr>
        <w:t xml:space="preserve">Covariates for weights are listed below: </w:t>
      </w:r>
      <w:r>
        <w:rPr>
          <w:lang w:val="en-US"/>
        </w:rPr>
        <w:t xml:space="preserve">Treatment outcome of the previous treatment, previous biopsychosocial compromise (severe status), previous treatment duration (&lt;90 days), previous treatment duration (in logarithmic scaled days), polysubstance use status of the previous treatment, age at admission to treatment, birth year, </w:t>
      </w:r>
      <w:commentRangeStart w:id="100"/>
      <w:r>
        <w:rPr>
          <w:lang w:val="en-US"/>
        </w:rPr>
        <w:t>p</w:t>
      </w:r>
      <w:r w:rsidRPr="0018795C">
        <w:rPr>
          <w:lang w:val="en-US"/>
        </w:rPr>
        <w:t xml:space="preserve">rimary </w:t>
      </w:r>
      <w:del w:id="101" w:author="Andrés González Santa Cruz" w:date="2024-05-19T21:05:00Z" w16du:dateUtc="2024-05-20T01:05:00Z">
        <w:r w:rsidRPr="0018795C" w:rsidDel="00337EE8">
          <w:rPr>
            <w:lang w:val="en-US"/>
          </w:rPr>
          <w:delText>S</w:delText>
        </w:r>
      </w:del>
      <w:ins w:id="102" w:author="Andrés González Santa Cruz" w:date="2024-05-19T21:05:00Z" w16du:dateUtc="2024-05-20T01:05:00Z">
        <w:r w:rsidR="00337EE8">
          <w:rPr>
            <w:lang w:val="en-US"/>
          </w:rPr>
          <w:t>s</w:t>
        </w:r>
      </w:ins>
      <w:r w:rsidRPr="0018795C">
        <w:rPr>
          <w:lang w:val="en-US"/>
        </w:rPr>
        <w:t>ubstance (initial diagnosis</w:t>
      </w:r>
      <w:commentRangeEnd w:id="100"/>
      <w:r w:rsidRPr="00146A6C">
        <w:rPr>
          <w:lang w:val="en-US"/>
        </w:rPr>
        <w:commentReference w:id="100"/>
      </w:r>
      <w:r>
        <w:rPr>
          <w:lang w:val="en-US"/>
        </w:rPr>
        <w:t xml:space="preserve">; alcohol, cocaine </w:t>
      </w:r>
      <w:r w:rsidRPr="00C123F8">
        <w:rPr>
          <w:lang w:val="en-US"/>
        </w:rPr>
        <w:t>hydrochloride</w:t>
      </w:r>
      <w:r>
        <w:rPr>
          <w:lang w:val="en-US"/>
        </w:rPr>
        <w:t xml:space="preserve">, cocaine base paste, marijuana), Psychiatric comorbidity under the </w:t>
      </w:r>
      <w:r w:rsidRPr="007B6F12">
        <w:rPr>
          <w:lang w:val="en-US"/>
        </w:rPr>
        <w:t>International Classification of Diseases</w:t>
      </w:r>
      <w:r>
        <w:rPr>
          <w:lang w:val="en-US"/>
        </w:rPr>
        <w:t>,</w:t>
      </w:r>
      <w:r w:rsidRPr="007B6F12">
        <w:rPr>
          <w:lang w:val="en-US"/>
        </w:rPr>
        <w:t xml:space="preserve"> 10th Revision</w:t>
      </w:r>
      <w:r>
        <w:rPr>
          <w:lang w:val="en-US"/>
        </w:rPr>
        <w:t xml:space="preserve"> (ICD-10)</w:t>
      </w:r>
      <w:r w:rsidRPr="007B6F12">
        <w:rPr>
          <w:lang w:val="en-US"/>
        </w:rPr>
        <w:t xml:space="preserve"> </w:t>
      </w:r>
      <w:r>
        <w:rPr>
          <w:lang w:val="en-US"/>
        </w:rPr>
        <w:t>(diagnosis unknown or under study and with confirmed comorbidity), daily frequence of primary substance use at admission, o</w:t>
      </w:r>
      <w:r w:rsidRPr="0075223D">
        <w:rPr>
          <w:lang w:val="en-US"/>
        </w:rPr>
        <w:t>ccupational status</w:t>
      </w:r>
      <w:r>
        <w:rPr>
          <w:lang w:val="en-US"/>
        </w:rPr>
        <w:t xml:space="preserve"> (inactive or unemployed), and p</w:t>
      </w:r>
      <w:r w:rsidRPr="0075223D">
        <w:rPr>
          <w:lang w:val="en-US"/>
        </w:rPr>
        <w:t>rimary substance at admission</w:t>
      </w:r>
      <w:r>
        <w:rPr>
          <w:lang w:val="en-US"/>
        </w:rPr>
        <w:t xml:space="preserve"> to treatment (alcohol, cocaine </w:t>
      </w:r>
      <w:r w:rsidRPr="00C123F8">
        <w:rPr>
          <w:lang w:val="en-US"/>
        </w:rPr>
        <w:t>hydrochloride</w:t>
      </w:r>
      <w:r>
        <w:rPr>
          <w:lang w:val="en-US"/>
        </w:rPr>
        <w:t>, cocaine base paste, and marijuana).</w:t>
      </w:r>
    </w:p>
    <w:p w14:paraId="1B112D15" w14:textId="77777777" w:rsidR="008A0A7F" w:rsidRDefault="008A0A7F">
      <w:pPr>
        <w:spacing w:line="276" w:lineRule="auto"/>
        <w:ind w:firstLine="567"/>
        <w:rPr>
          <w:lang w:val="en-US"/>
        </w:rPr>
        <w:pPrChange w:id="103" w:author="Andrés González Santa Cruz" w:date="2024-05-19T21:50:00Z" w16du:dateUtc="2024-05-20T01:50:00Z">
          <w:pPr>
            <w:spacing w:line="276" w:lineRule="auto"/>
          </w:pPr>
        </w:pPrChange>
      </w:pPr>
      <w:r w:rsidRPr="00146A6C">
        <w:rPr>
          <w:lang w:val="en-US"/>
        </w:rPr>
        <w:t>Covariates</w:t>
      </w:r>
      <w:r>
        <w:rPr>
          <w:lang w:val="en-US"/>
        </w:rPr>
        <w:t xml:space="preserve"> for the outcome model of the association between reported substance use and treatment outcome</w:t>
      </w:r>
      <w:r w:rsidRPr="00146A6C">
        <w:rPr>
          <w:lang w:val="en-US"/>
        </w:rPr>
        <w:t xml:space="preserve">: biopsychosocial compromise (severe status) at admission to treatment, </w:t>
      </w:r>
      <w:r>
        <w:rPr>
          <w:lang w:val="en-US"/>
        </w:rPr>
        <w:t>a</w:t>
      </w:r>
      <w:r w:rsidRPr="00146A6C">
        <w:rPr>
          <w:lang w:val="en-US"/>
        </w:rPr>
        <w:t xml:space="preserve">ge at admission to treatment, </w:t>
      </w:r>
      <w:r>
        <w:rPr>
          <w:lang w:val="en-US"/>
        </w:rPr>
        <w:t>b</w:t>
      </w:r>
      <w:r w:rsidRPr="00146A6C">
        <w:rPr>
          <w:lang w:val="en-US"/>
        </w:rPr>
        <w:t xml:space="preserve">irth year, </w:t>
      </w:r>
      <w:r>
        <w:rPr>
          <w:lang w:val="en-US"/>
        </w:rPr>
        <w:t>p</w:t>
      </w:r>
      <w:r w:rsidRPr="00146A6C">
        <w:rPr>
          <w:lang w:val="en-US"/>
        </w:rPr>
        <w:t xml:space="preserve">rimary substance of the initial diagnosis (alcohol, cocaine hydrochloride, cocaine base paste, marijuana), </w:t>
      </w:r>
      <w:r>
        <w:rPr>
          <w:lang w:val="en-US"/>
        </w:rPr>
        <w:t>p</w:t>
      </w:r>
      <w:r w:rsidRPr="00146A6C">
        <w:rPr>
          <w:lang w:val="en-US"/>
        </w:rPr>
        <w:t>sychiatric comorbidity (</w:t>
      </w:r>
      <w:r>
        <w:rPr>
          <w:lang w:val="en-US"/>
        </w:rPr>
        <w:t>d</w:t>
      </w:r>
      <w:r w:rsidRPr="00146A6C">
        <w:rPr>
          <w:lang w:val="en-US"/>
        </w:rPr>
        <w:t xml:space="preserve">iagnosis unknown or under study and With confirmed comorbidity), </w:t>
      </w:r>
      <w:r>
        <w:rPr>
          <w:lang w:val="en-US"/>
        </w:rPr>
        <w:t>d</w:t>
      </w:r>
      <w:r w:rsidRPr="00146A6C">
        <w:rPr>
          <w:lang w:val="en-US"/>
        </w:rPr>
        <w:t xml:space="preserve">aily frequence of primary substance use at admission, </w:t>
      </w:r>
      <w:r>
        <w:rPr>
          <w:lang w:val="en-US"/>
        </w:rPr>
        <w:t>o</w:t>
      </w:r>
      <w:r w:rsidRPr="00146A6C">
        <w:rPr>
          <w:lang w:val="en-US"/>
        </w:rPr>
        <w:t xml:space="preserve">ccupational status (inactive and unemployed), </w:t>
      </w:r>
      <w:r>
        <w:rPr>
          <w:lang w:val="en-US"/>
        </w:rPr>
        <w:t>p</w:t>
      </w:r>
      <w:r w:rsidRPr="00146A6C">
        <w:rPr>
          <w:lang w:val="en-US"/>
        </w:rPr>
        <w:t>rimary substance at admission to treatment (</w:t>
      </w:r>
      <w:r>
        <w:rPr>
          <w:lang w:val="en-US"/>
        </w:rPr>
        <w:t>c</w:t>
      </w:r>
      <w:r w:rsidRPr="00146A6C">
        <w:rPr>
          <w:lang w:val="en-US"/>
        </w:rPr>
        <w:t>ocaine hydrochloride, cocaine base paste, marijuana, alcohol).</w:t>
      </w:r>
      <w:r w:rsidRPr="002D7AEA">
        <w:t xml:space="preserve"> </w:t>
      </w:r>
      <w:r w:rsidRPr="002D7AEA">
        <w:rPr>
          <w:lang w:val="en-US"/>
        </w:rPr>
        <w:t>For further information</w:t>
      </w:r>
      <w:r>
        <w:rPr>
          <w:lang w:val="en-US"/>
        </w:rPr>
        <w:t xml:space="preserve">, </w:t>
      </w:r>
      <w:r w:rsidRPr="002D7AEA">
        <w:rPr>
          <w:lang w:val="en-US"/>
        </w:rPr>
        <w:t>please review</w:t>
      </w:r>
      <w:r>
        <w:rPr>
          <w:lang w:val="en-US"/>
        </w:rPr>
        <w:t xml:space="preserve"> Supplemental Section 1.</w:t>
      </w:r>
    </w:p>
    <w:p w14:paraId="697DCEB5" w14:textId="0082A160" w:rsidR="00033096" w:rsidRPr="0075223D" w:rsidRDefault="008A0A7F">
      <w:pPr>
        <w:ind w:right="565" w:firstLine="567"/>
        <w:pPrChange w:id="104" w:author="Andrés González Santa Cruz" w:date="2024-05-19T21:50:00Z" w16du:dateUtc="2024-05-20T01:50:00Z">
          <w:pPr>
            <w:tabs>
              <w:tab w:val="left" w:pos="567"/>
            </w:tabs>
            <w:ind w:right="565"/>
          </w:pPr>
        </w:pPrChange>
      </w:pPr>
      <w:r w:rsidRPr="00146A6C">
        <w:rPr>
          <w:lang w:val="en-US"/>
        </w:rPr>
        <w:t>To account for variability by treatment setting, we stratified the analysis by setting at baseline treatment: basic ambulatory (n= 4,360) GP intensive ambulatory (n= 4,998) GP residential (n= 2,178) WO intensive ambulatory (n= 745) WO residential (n= 1,036).</w:t>
      </w:r>
    </w:p>
    <w:p w14:paraId="51CB5819" w14:textId="5417B938" w:rsidR="00C86DE9" w:rsidRPr="0075223D" w:rsidRDefault="00C86DE9" w:rsidP="00705212">
      <w:pPr>
        <w:pStyle w:val="Prrafodelista"/>
        <w:numPr>
          <w:ilvl w:val="0"/>
          <w:numId w:val="19"/>
        </w:numPr>
        <w:tabs>
          <w:tab w:val="left" w:pos="567"/>
        </w:tabs>
        <w:ind w:left="709" w:right="565"/>
        <w:rPr>
          <w:b/>
          <w:bCs/>
        </w:rPr>
      </w:pPr>
      <w:r w:rsidRPr="0075223D">
        <w:rPr>
          <w:b/>
          <w:bCs/>
        </w:rPr>
        <w:t>Preliminary analysis</w:t>
      </w:r>
    </w:p>
    <w:p w14:paraId="775AA6AB" w14:textId="77777777" w:rsidR="005479B7" w:rsidRDefault="005479B7">
      <w:pPr>
        <w:pStyle w:val="Prrafodelista"/>
        <w:numPr>
          <w:ilvl w:val="0"/>
          <w:numId w:val="24"/>
        </w:numPr>
        <w:spacing w:after="0"/>
        <w:ind w:left="567" w:right="565" w:hanging="283"/>
        <w:rPr>
          <w:ins w:id="105" w:author="Andrés González Santa Cruz" w:date="2024-05-19T21:13:00Z" w16du:dateUtc="2024-05-20T01:13:00Z"/>
        </w:rPr>
        <w:pPrChange w:id="106" w:author="Andrés González Santa Cruz" w:date="2024-05-19T21:13:00Z" w16du:dateUtc="2024-05-20T01:13:00Z">
          <w:pPr>
            <w:tabs>
              <w:tab w:val="left" w:pos="567"/>
            </w:tabs>
            <w:ind w:right="565"/>
          </w:pPr>
        </w:pPrChange>
      </w:pPr>
      <w:ins w:id="107" w:author="Andrés González Santa Cruz" w:date="2024-05-19T21:13:00Z" w16du:dateUtc="2024-05-20T01:13:00Z">
        <w:r w:rsidRPr="005479B7">
          <w:rPr>
            <w:i/>
            <w:iCs/>
            <w:rPrChange w:id="108" w:author="Andrés González Santa Cruz" w:date="2024-05-19T21:13:00Z" w16du:dateUtc="2024-05-20T01:13:00Z">
              <w:rPr/>
            </w:rPrChange>
          </w:rPr>
          <w:t>Overall cohort description</w:t>
        </w:r>
      </w:ins>
    </w:p>
    <w:p w14:paraId="0D30FE41" w14:textId="454E3C70" w:rsidR="005479B7" w:rsidRPr="005479B7" w:rsidRDefault="005479B7" w:rsidP="006C2A02">
      <w:pPr>
        <w:tabs>
          <w:tab w:val="left" w:pos="567"/>
        </w:tabs>
        <w:ind w:right="565" w:firstLine="567"/>
        <w:rPr>
          <w:ins w:id="109" w:author="Andrés González Santa Cruz" w:date="2024-05-19T21:14:00Z" w16du:dateUtc="2024-05-20T01:14:00Z"/>
          <w:lang w:val="en-US"/>
          <w:rPrChange w:id="110" w:author="Andrés González Santa Cruz" w:date="2024-05-19T21:14:00Z" w16du:dateUtc="2024-05-20T01:14:00Z">
            <w:rPr>
              <w:ins w:id="111" w:author="Andrés González Santa Cruz" w:date="2024-05-19T21:14:00Z" w16du:dateUtc="2024-05-20T01:14:00Z"/>
              <w:lang w:val="es-CL"/>
            </w:rPr>
          </w:rPrChange>
        </w:rPr>
      </w:pPr>
      <w:ins w:id="112" w:author="Andrés González Santa Cruz" w:date="2024-05-19T21:14:00Z" w16du:dateUtc="2024-05-20T01:14:00Z">
        <w:r w:rsidRPr="005479B7">
          <w:rPr>
            <w:lang w:val="en-US"/>
          </w:rPr>
          <w:t xml:space="preserve">We conducted bivariate analyses to compare the characteristics of patients </w:t>
        </w:r>
      </w:ins>
      <w:ins w:id="113" w:author="Andrés González Santa Cruz" w:date="2024-05-19T21:15:00Z" w16du:dateUtc="2024-05-20T01:15:00Z">
        <w:r>
          <w:rPr>
            <w:lang w:val="en-US"/>
          </w:rPr>
          <w:t xml:space="preserve">reporting PSU at admission </w:t>
        </w:r>
      </w:ins>
      <w:ins w:id="114" w:author="Andrés González Santa Cruz" w:date="2024-05-19T21:14:00Z" w16du:dateUtc="2024-05-20T01:14:00Z">
        <w:r w:rsidRPr="005479B7">
          <w:rPr>
            <w:lang w:val="en-US"/>
          </w:rPr>
          <w:t xml:space="preserve">versus patients </w:t>
        </w:r>
      </w:ins>
      <w:ins w:id="115" w:author="Andrés González Santa Cruz" w:date="2024-05-19T21:15:00Z" w16du:dateUtc="2024-05-20T01:15:00Z">
        <w:r>
          <w:rPr>
            <w:lang w:val="en-US"/>
          </w:rPr>
          <w:t>reporting a single substance of concern</w:t>
        </w:r>
      </w:ins>
      <w:ins w:id="116" w:author="Andrés González Santa Cruz" w:date="2024-05-19T21:14:00Z" w16du:dateUtc="2024-05-20T01:14:00Z">
        <w:r w:rsidRPr="005479B7">
          <w:rPr>
            <w:lang w:val="en-US"/>
          </w:rPr>
          <w:t xml:space="preserve">. We used </w:t>
        </w:r>
      </w:ins>
      <w:ins w:id="117" w:author="Andrés González Santa Cruz" w:date="2024-05-19T21:15:00Z" w16du:dateUtc="2024-05-20T01:15:00Z">
        <w:r>
          <w:rPr>
            <w:lang w:val="en-US"/>
          </w:rPr>
          <w:t xml:space="preserve">standardized mean differences (SMD) to quantify eventual differences between these </w:t>
        </w:r>
        <w:commentRangeStart w:id="118"/>
        <w:r>
          <w:rPr>
            <w:lang w:val="en-US"/>
          </w:rPr>
          <w:t>group</w:t>
        </w:r>
      </w:ins>
      <w:ins w:id="119" w:author="Andrés González Santa Cruz" w:date="2024-05-19T21:16:00Z" w16du:dateUtc="2024-05-20T01:16:00Z">
        <w:r>
          <w:rPr>
            <w:lang w:val="en-US"/>
          </w:rPr>
          <w:t>s</w:t>
        </w:r>
        <w:commentRangeEnd w:id="118"/>
        <w:r>
          <w:rPr>
            <w:rStyle w:val="Refdecomentario"/>
            <w:rFonts w:ascii="Times New Roman" w:eastAsia="Times New Roman" w:hAnsi="Times New Roman" w:cs="Times New Roman"/>
            <w:lang w:val="es-CL" w:eastAsia="es-ES_tradnl"/>
          </w:rPr>
          <w:commentReference w:id="118"/>
        </w:r>
      </w:ins>
      <w:ins w:id="120" w:author="Andrés González Santa Cruz" w:date="2024-05-19T21:14:00Z" w16du:dateUtc="2024-05-20T01:14:00Z">
        <w:r w:rsidRPr="005479B7">
          <w:rPr>
            <w:lang w:val="en-US"/>
            <w:rPrChange w:id="121" w:author="Andrés González Santa Cruz" w:date="2024-05-19T21:14:00Z" w16du:dateUtc="2024-05-20T01:14:00Z">
              <w:rPr>
                <w:lang w:val="es-CL"/>
              </w:rPr>
            </w:rPrChange>
          </w:rPr>
          <w:t>.</w:t>
        </w:r>
      </w:ins>
    </w:p>
    <w:p w14:paraId="65AED23C" w14:textId="2B96ACE6" w:rsidR="005479B7" w:rsidRPr="0075223D" w:rsidRDefault="005479B7" w:rsidP="006F6185">
      <w:pPr>
        <w:tabs>
          <w:tab w:val="left" w:pos="567"/>
        </w:tabs>
        <w:ind w:right="565"/>
      </w:pPr>
    </w:p>
    <w:p w14:paraId="1DADB229" w14:textId="77777777" w:rsidR="00705212" w:rsidRPr="0075223D" w:rsidRDefault="008658D0" w:rsidP="006F6185">
      <w:pPr>
        <w:pStyle w:val="Prrafodelista"/>
        <w:numPr>
          <w:ilvl w:val="0"/>
          <w:numId w:val="24"/>
        </w:numPr>
        <w:spacing w:after="0"/>
        <w:ind w:left="567" w:right="565" w:hanging="283"/>
        <w:rPr>
          <w:i/>
          <w:iCs/>
        </w:rPr>
      </w:pPr>
      <w:r w:rsidRPr="0075223D">
        <w:rPr>
          <w:i/>
          <w:iCs/>
        </w:rPr>
        <w:lastRenderedPageBreak/>
        <w:t>Data structure</w:t>
      </w:r>
    </w:p>
    <w:p w14:paraId="2509629A" w14:textId="535A7510" w:rsidR="00760C1C" w:rsidRPr="0075223D" w:rsidRDefault="00760C1C" w:rsidP="00AA55DE">
      <w:pPr>
        <w:tabs>
          <w:tab w:val="left" w:pos="567"/>
        </w:tabs>
        <w:spacing w:line="276" w:lineRule="auto"/>
        <w:ind w:firstLine="567"/>
      </w:pPr>
      <w:r w:rsidRPr="0075223D">
        <w:rPr>
          <w:lang w:val="en-US"/>
        </w:rPr>
        <w:t xml:space="preserve">The degree of irregularity of assessment times (times in which reported PSU was measured), in this case, </w:t>
      </w:r>
      <w:r w:rsidR="00714486" w:rsidRPr="0075223D">
        <w:rPr>
          <w:lang w:val="en-US"/>
        </w:rPr>
        <w:t xml:space="preserve">in </w:t>
      </w:r>
      <w:r w:rsidRPr="0075223D">
        <w:rPr>
          <w:lang w:val="en-US"/>
        </w:rPr>
        <w:t>admission</w:t>
      </w:r>
      <w:r w:rsidR="00714486" w:rsidRPr="0075223D">
        <w:rPr>
          <w:lang w:val="en-US"/>
        </w:rPr>
        <w:t xml:space="preserve"> processes</w:t>
      </w:r>
      <w:r w:rsidRPr="0075223D">
        <w:rPr>
          <w:lang w:val="en-US"/>
        </w:rPr>
        <w:t xml:space="preserve">, is measured </w:t>
      </w:r>
      <w:r w:rsidR="00714486" w:rsidRPr="0075223D">
        <w:rPr>
          <w:lang w:val="en-US"/>
        </w:rPr>
        <w:t xml:space="preserve">through the </w:t>
      </w:r>
      <w:r w:rsidRPr="0075223D">
        <w:rPr>
          <w:lang w:val="en-US"/>
        </w:rPr>
        <w:t xml:space="preserve">area under the curve </w:t>
      </w:r>
      <w:r w:rsidR="00714486" w:rsidRPr="0075223D">
        <w:t xml:space="preserve">(AUC) </w:t>
      </w:r>
      <w:r w:rsidRPr="0075223D">
        <w:rPr>
          <w:lang w:val="en-US"/>
        </w:rPr>
        <w:t xml:space="preserve">and log-transformed area under the curve. </w:t>
      </w:r>
      <w:r w:rsidRPr="0075223D">
        <w:t xml:space="preserve">To inspect the degree of visit irregularity, the entire follow-up period was divided into adjacent and equally sized timeframes, and the number of bins changed. The </w:t>
      </w:r>
      <w:r w:rsidR="00714486" w:rsidRPr="0075223D">
        <w:t xml:space="preserve">AUC </w:t>
      </w:r>
      <w:r w:rsidRPr="0075223D">
        <w:t>was obtained by plotting the mean proportions of individuals with 0 visits per bin against the mean proportions of individuals with &gt; 1 visit per bin. AUC was log-transformed</w:t>
      </w:r>
      <w:r w:rsidR="00A22DC3">
        <w:t xml:space="preserve"> for better interpretation</w:t>
      </w:r>
      <w:r w:rsidRPr="0075223D">
        <w:t>, in which 100 is very irregular, and 0 is equivalent to a repeated measures design</w:t>
      </w:r>
      <w:commentRangeStart w:id="122"/>
      <w:r w:rsidRPr="0075223D">
        <w:t>.</w:t>
      </w:r>
      <w:commentRangeEnd w:id="122"/>
      <w:r w:rsidR="00A22DC3">
        <w:rPr>
          <w:rStyle w:val="Refdecomentario"/>
          <w:rFonts w:ascii="Times New Roman" w:eastAsia="Times New Roman" w:hAnsi="Times New Roman" w:cs="Times New Roman"/>
          <w:lang w:val="es-CL" w:eastAsia="es-ES_tradnl"/>
        </w:rPr>
        <w:commentReference w:id="122"/>
      </w:r>
    </w:p>
    <w:p w14:paraId="768FE060" w14:textId="258AE81B" w:rsidR="00BC3978" w:rsidRPr="00BC3978" w:rsidRDefault="00BC3978" w:rsidP="00463883">
      <w:pPr>
        <w:pStyle w:val="Prrafodelista"/>
        <w:numPr>
          <w:ilvl w:val="0"/>
          <w:numId w:val="24"/>
        </w:numPr>
        <w:tabs>
          <w:tab w:val="left" w:pos="567"/>
        </w:tabs>
        <w:spacing w:after="0" w:line="276" w:lineRule="auto"/>
        <w:ind w:right="565"/>
        <w:rPr>
          <w:lang w:val="en-US"/>
        </w:rPr>
      </w:pPr>
      <w:r w:rsidRPr="00BC3978">
        <w:rPr>
          <w:i/>
          <w:iCs/>
          <w:lang w:val="en-US"/>
        </w:rPr>
        <w:t>Missing data</w:t>
      </w:r>
    </w:p>
    <w:p w14:paraId="730EB364" w14:textId="18B5162F" w:rsidR="00BC3978" w:rsidRPr="0075223D" w:rsidRDefault="00BC3978" w:rsidP="00AA55DE">
      <w:pPr>
        <w:spacing w:line="276" w:lineRule="auto"/>
        <w:ind w:firstLine="567"/>
        <w:rPr>
          <w:lang w:val="en-US"/>
        </w:rPr>
      </w:pPr>
      <w:r w:rsidRPr="0075223D">
        <w:rPr>
          <w:rFonts w:eastAsia="Times New Roman" w:cs="Times New Roman"/>
          <w:szCs w:val="20"/>
          <w:lang w:val="en-US" w:eastAsia="en-AU"/>
        </w:rPr>
        <w:t>Given the complex longitudinal structure of the data, we conduct</w:t>
      </w:r>
      <w:r>
        <w:rPr>
          <w:rFonts w:eastAsia="Times New Roman" w:cs="Times New Roman"/>
          <w:szCs w:val="20"/>
          <w:lang w:val="en-US" w:eastAsia="en-AU"/>
        </w:rPr>
        <w:t>ed</w:t>
      </w:r>
      <w:r w:rsidRPr="0075223D">
        <w:rPr>
          <w:rFonts w:eastAsia="Times New Roman" w:cs="Times New Roman"/>
          <w:szCs w:val="20"/>
          <w:lang w:val="en-US" w:eastAsia="en-AU"/>
        </w:rPr>
        <w:t xml:space="preserve"> random-forest-based imputation using the </w:t>
      </w:r>
      <w:proofErr w:type="spellStart"/>
      <w:r w:rsidRPr="0075223D">
        <w:rPr>
          <w:rFonts w:eastAsia="Times New Roman" w:cs="Times New Roman"/>
          <w:i/>
          <w:iCs/>
          <w:szCs w:val="20"/>
          <w:lang w:val="en-US" w:eastAsia="en-AU"/>
        </w:rPr>
        <w:t>missRanger</w:t>
      </w:r>
      <w:proofErr w:type="spellEnd"/>
      <w:r w:rsidRPr="0075223D">
        <w:rPr>
          <w:rFonts w:eastAsia="Times New Roman" w:cs="Times New Roman"/>
          <w:szCs w:val="20"/>
          <w:lang w:val="en-US" w:eastAsia="en-AU"/>
        </w:rPr>
        <w:t xml:space="preserve"> package. We will use </w:t>
      </w:r>
      <w:r>
        <w:rPr>
          <w:rFonts w:eastAsia="Times New Roman" w:cs="Times New Roman"/>
          <w:szCs w:val="20"/>
          <w:lang w:val="en-US" w:eastAsia="en-AU"/>
        </w:rPr>
        <w:t>3</w:t>
      </w:r>
      <w:r w:rsidRPr="0075223D">
        <w:rPr>
          <w:rFonts w:eastAsia="Times New Roman" w:cs="Times New Roman"/>
          <w:szCs w:val="20"/>
          <w:lang w:val="en-US" w:eastAsia="en-AU"/>
        </w:rPr>
        <w:t xml:space="preserve">00 trees, using </w:t>
      </w:r>
      <w:r>
        <w:rPr>
          <w:rFonts w:eastAsia="Times New Roman" w:cs="Times New Roman"/>
          <w:szCs w:val="20"/>
          <w:lang w:val="en-US" w:eastAsia="en-AU"/>
        </w:rPr>
        <w:t>5</w:t>
      </w:r>
      <w:r w:rsidRPr="0075223D">
        <w:rPr>
          <w:rFonts w:eastAsia="Times New Roman" w:cs="Times New Roman"/>
          <w:szCs w:val="20"/>
          <w:lang w:val="en-US" w:eastAsia="en-AU"/>
        </w:rPr>
        <w:t xml:space="preserve"> candidate values of predictive matching (thus, aiming for </w:t>
      </w:r>
      <w:r w:rsidRPr="0075223D">
        <w:rPr>
          <w:szCs w:val="20"/>
        </w:rPr>
        <w:t>plausible imputations given predictor values</w:t>
      </w:r>
      <w:r w:rsidRPr="0075223D">
        <w:rPr>
          <w:rFonts w:eastAsia="Times New Roman" w:cs="Times New Roman"/>
          <w:szCs w:val="20"/>
          <w:lang w:val="en-US" w:eastAsia="en-AU"/>
        </w:rPr>
        <w:t xml:space="preserve">), with a maximum of 50 iterations per chaining steps. This imputation procedure may circumvent specification of interactions or nonparametric relationships and can handle collinearity between imputation variables </w:t>
      </w:r>
      <w:r w:rsidRPr="0075223D">
        <w:rPr>
          <w:rFonts w:eastAsia="Times New Roman" w:cs="Times New Roman"/>
          <w:szCs w:val="20"/>
          <w:lang w:val="en-US" w:eastAsia="en-AU"/>
        </w:rPr>
        <w:fldChar w:fldCharType="begin"/>
      </w:r>
      <w:r w:rsidR="00CA7FD0">
        <w:rPr>
          <w:rFonts w:eastAsia="Times New Roman" w:cs="Times New Roman"/>
          <w:szCs w:val="20"/>
          <w:lang w:val="en-US" w:eastAsia="en-AU"/>
        </w:rPr>
        <w:instrText xml:space="preserve"> ADDIN ZOTERO_ITEM CSL_CITATION {"citationID":"qa2rNAhy","properties":{"formattedCitation":"(Hong &amp; Lynn, 2020; Sheetal et al., 2023)","plainCitation":"(Hong &amp; Lynn, 2020; Sheetal et al., 2023)","noteIndex":0},"citationItems":[{"id":"RQr8hPvX/m8e43lS5","uris":["http://zotero.org/users/12673371/items/U28CVYE3"],"itemData":{"id":635,"type":"article-journal","abstract":"Missing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S."}],"issued":{"date-parts":[["2020",7,25]]}}},{"id":"RQr8hPvX/vSXgSpKL","uris":["http://zotero.org/users/12673371/items/JUAZLRTL"],"itemData":{"id":638,"type":"article-journal","abstract":"This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75223D">
        <w:rPr>
          <w:rFonts w:eastAsia="Times New Roman" w:cs="Times New Roman"/>
          <w:szCs w:val="20"/>
          <w:lang w:val="en-US" w:eastAsia="en-AU"/>
        </w:rPr>
        <w:fldChar w:fldCharType="separate"/>
      </w:r>
      <w:r w:rsidRPr="0075223D">
        <w:t>(Hong &amp; Lynn, 2020; Sheetal et al., 2023)</w:t>
      </w:r>
      <w:r w:rsidRPr="0075223D">
        <w:rPr>
          <w:rFonts w:eastAsia="Times New Roman" w:cs="Times New Roman"/>
          <w:szCs w:val="20"/>
          <w:lang w:val="en-US" w:eastAsia="en-AU"/>
        </w:rPr>
        <w:fldChar w:fldCharType="end"/>
      </w:r>
      <w:r w:rsidRPr="0075223D">
        <w:rPr>
          <w:rFonts w:eastAsia="Times New Roman" w:cs="Times New Roman"/>
          <w:szCs w:val="20"/>
          <w:lang w:val="en-US" w:eastAsia="en-AU"/>
        </w:rPr>
        <w:t>.</w:t>
      </w:r>
    </w:p>
    <w:p w14:paraId="1122FFB1" w14:textId="57938DDA" w:rsidR="00A951B8" w:rsidRPr="0075223D" w:rsidRDefault="00A951B8" w:rsidP="00B44FE0">
      <w:pPr>
        <w:pStyle w:val="Prrafodelista"/>
        <w:numPr>
          <w:ilvl w:val="0"/>
          <w:numId w:val="24"/>
        </w:numPr>
        <w:tabs>
          <w:tab w:val="left" w:pos="567"/>
        </w:tabs>
        <w:spacing w:after="0"/>
        <w:ind w:right="565"/>
        <w:rPr>
          <w:i/>
          <w:iCs/>
          <w:lang w:val="en-US"/>
        </w:rPr>
      </w:pPr>
      <w:r w:rsidRPr="0075223D">
        <w:rPr>
          <w:i/>
          <w:iCs/>
          <w:lang w:val="en-US"/>
        </w:rPr>
        <w:t>Model adjustment</w:t>
      </w:r>
    </w:p>
    <w:p w14:paraId="4E95971A" w14:textId="367EDA70" w:rsidR="00154EE8" w:rsidRDefault="004E427E" w:rsidP="00AA55DE">
      <w:pPr>
        <w:ind w:firstLine="567"/>
        <w:rPr>
          <w:lang w:val="en-US"/>
        </w:rPr>
      </w:pPr>
      <w:r w:rsidRPr="0075223D">
        <w:rPr>
          <w:lang w:val="en-US"/>
        </w:rPr>
        <w:t xml:space="preserve">Models such as marginal structural models, g-computation, and targeted maximum likelihood estimation assume that observation times </w:t>
      </w:r>
      <w:r w:rsidR="004244BE" w:rsidRPr="0075223D">
        <w:rPr>
          <w:lang w:val="en-US"/>
        </w:rPr>
        <w:t xml:space="preserve">and gaps between them </w:t>
      </w:r>
      <w:r w:rsidRPr="0075223D">
        <w:rPr>
          <w:lang w:val="en-US"/>
        </w:rPr>
        <w:t>are not informative of the outcome of interest</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{"citationID":"EckI2N5z","properties":{"formattedCitation":"(E. M. Pullenayegum et al., 2023)","plainCitation":"(E. M. Pullenayegum et al., 2023)","noteIndex":0},"citationItems":[{"id":"RQr8hPvX/G055muAi","uris":["http://zotero.org/users/12673371/items/6YPI3NMP"],"itemData":{"id":632,"type":"article-journal","abstract":"Data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D52903" w:rsidRPr="0075223D">
        <w:rPr>
          <w:lang w:val="en-US"/>
        </w:rPr>
        <w:fldChar w:fldCharType="separate"/>
      </w:r>
      <w:r w:rsidR="00153639" w:rsidRPr="0075223D">
        <w:t>(E. M. Pullenayegum et al., 2023)</w:t>
      </w:r>
      <w:r w:rsidR="00D52903" w:rsidRPr="0075223D">
        <w:rPr>
          <w:lang w:val="en-US"/>
        </w:rPr>
        <w:fldChar w:fldCharType="end"/>
      </w:r>
      <w:r w:rsidRPr="0075223D">
        <w:rPr>
          <w:lang w:val="en-US"/>
        </w:rPr>
        <w:t xml:space="preserve">. </w:t>
      </w:r>
      <w:r w:rsidR="00760C1C" w:rsidRPr="0075223D">
        <w:rPr>
          <w:lang w:val="en-US"/>
        </w:rPr>
        <w:t xml:space="preserve">The models adjust for the mentioned </w:t>
      </w:r>
      <w:r w:rsidR="002B77B2" w:rsidRPr="0075223D">
        <w:rPr>
          <w:lang w:val="en-US"/>
        </w:rPr>
        <w:t>confounding variables</w:t>
      </w:r>
      <w:r w:rsidR="00760C1C" w:rsidRPr="0075223D">
        <w:rPr>
          <w:lang w:val="en-US"/>
        </w:rPr>
        <w:t xml:space="preserve">. </w:t>
      </w:r>
      <w:r w:rsidR="005229FB" w:rsidRPr="0075223D">
        <w:rPr>
          <w:lang w:val="en-US"/>
        </w:rPr>
        <w:t>The study sample is based on</w:t>
      </w:r>
      <w:r w:rsidR="00A951B8" w:rsidRPr="0075223D">
        <w:rPr>
          <w:lang w:val="en-US"/>
        </w:rPr>
        <w:t xml:space="preserve"> </w:t>
      </w:r>
      <w:r w:rsidR="005229FB" w:rsidRPr="0075223D">
        <w:rPr>
          <w:lang w:val="en-US"/>
        </w:rPr>
        <w:t xml:space="preserve">a </w:t>
      </w:r>
      <w:r w:rsidR="00A951B8" w:rsidRPr="0075223D">
        <w:rPr>
          <w:lang w:val="en-US"/>
        </w:rPr>
        <w:t xml:space="preserve">pseudo population in which the </w:t>
      </w:r>
      <w:r w:rsidR="0080589C" w:rsidRPr="0075223D">
        <w:rPr>
          <w:lang w:val="en-US"/>
        </w:rPr>
        <w:t xml:space="preserve">counting </w:t>
      </w:r>
      <w:r w:rsidR="00A951B8" w:rsidRPr="0075223D">
        <w:rPr>
          <w:lang w:val="en-US"/>
        </w:rPr>
        <w:t>process</w:t>
      </w:r>
      <w:r w:rsidR="00A107B2" w:rsidRPr="0075223D">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oMath>
      <w:r w:rsidR="00A951B8" w:rsidRPr="0075223D">
        <w:rPr>
          <w:lang w:val="en-US"/>
        </w:rPr>
        <w:t xml:space="preserve"> </w:t>
      </w:r>
      <w:r w:rsidR="00B54FB6" w:rsidRPr="0075223D">
        <w:rPr>
          <w:lang w:val="en-US"/>
        </w:rPr>
        <w:t xml:space="preserve">(i.e., </w:t>
      </w:r>
      <w:r w:rsidR="006F7E51" w:rsidRPr="0075223D">
        <w:rPr>
          <w:lang w:val="en-US"/>
        </w:rPr>
        <w:t xml:space="preserve">subsequent </w:t>
      </w:r>
      <w:r w:rsidR="00B54FB6" w:rsidRPr="0075223D">
        <w:rPr>
          <w:lang w:val="en-US"/>
        </w:rPr>
        <w:t>SU</w:t>
      </w:r>
      <w:r w:rsidR="00F11FC6" w:rsidRPr="0075223D">
        <w:rPr>
          <w:lang w:val="en-US"/>
        </w:rPr>
        <w:t>D treatment</w:t>
      </w:r>
      <w:r w:rsidR="00B54FB6" w:rsidRPr="0075223D">
        <w:rPr>
          <w:lang w:val="en-US"/>
        </w:rPr>
        <w:t xml:space="preserve"> </w:t>
      </w:r>
      <w:r w:rsidR="0080589C" w:rsidRPr="0075223D">
        <w:rPr>
          <w:lang w:val="en-US"/>
        </w:rPr>
        <w:t>episodes</w:t>
      </w:r>
      <w:r w:rsidR="00A107B2" w:rsidRPr="0075223D">
        <w:rPr>
          <w:lang w:val="en-US"/>
        </w:rPr>
        <w:t xml:space="preserve"> and times between them</w:t>
      </w:r>
      <w:r w:rsidR="00B54FB6" w:rsidRPr="0075223D">
        <w:rPr>
          <w:lang w:val="en-US"/>
        </w:rPr>
        <w:t xml:space="preserve">) </w:t>
      </w:r>
      <w:r w:rsidR="00A951B8" w:rsidRPr="0075223D">
        <w:rPr>
          <w:lang w:val="en-US"/>
        </w:rPr>
        <w:t xml:space="preserve">is static, hence, completely at random and ignorable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acc>
          <m:accPr>
            <m:chr m:val="̇"/>
            <m:ctrlPr>
              <w:rPr>
                <w:rFonts w:ascii="Cambria Math" w:hAnsi="Cambria Math"/>
                <w:i/>
                <w:lang w:val="en-US"/>
              </w:rPr>
            </m:ctrlPr>
          </m:accPr>
          <m:e>
            <m:d>
              <m:dPr>
                <m:ctrlPr>
                  <w:rPr>
                    <w:rFonts w:ascii="Cambria Math" w:hAnsi="Cambria Math"/>
                    <w:i/>
                    <w:lang w:val="en-US"/>
                  </w:rPr>
                </m:ctrlPr>
              </m:dPr>
              <m:e>
                <m:r>
                  <w:rPr>
                    <w:rFonts w:ascii="Cambria Math" w:hAnsi="Cambria Math"/>
                    <w:lang w:val="en-US"/>
                  </w:rPr>
                  <m:t>t</m:t>
                </m:r>
              </m:e>
            </m:d>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{"citationID":"HAa6jwqw","properties":{"formattedCitation":"(Carrero et al., 2023)","plainCitation":"(Carrero et al., 2023)","noteIndex":0},"citationItems":[{"id":"RQr8hPvX/YPdeq2tc","uris":["http://zotero.org/users/12673371/items/BC758DZY"],"itemData":{"id":439,"type":"article-journal","abstract":"The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004A2DB2" w:rsidRPr="0075223D">
        <w:rPr>
          <w:rFonts w:eastAsiaTheme="minorEastAsia"/>
          <w:lang w:val="en-US"/>
        </w:rPr>
        <w:fldChar w:fldCharType="separate"/>
      </w:r>
      <w:r w:rsidR="004A2DB2" w:rsidRPr="0075223D">
        <w:t>(Carrero et al., 2023)</w:t>
      </w:r>
      <w:r w:rsidR="004A2DB2" w:rsidRPr="0075223D">
        <w:rPr>
          <w:rFonts w:eastAsiaTheme="minorEastAsia"/>
          <w:lang w:val="en-US"/>
        </w:rPr>
        <w:fldChar w:fldCharType="end"/>
      </w:r>
      <w:r w:rsidR="00A951B8" w:rsidRPr="0075223D">
        <w:rPr>
          <w:lang w:val="en-US"/>
        </w:rPr>
        <w:t>, based on generalized estimating equations</w:t>
      </w:r>
      <w:r w:rsidR="00421621" w:rsidRPr="0075223D">
        <w:rPr>
          <w:lang w:val="en-US"/>
        </w:rPr>
        <w:t xml:space="preserve"> and inverse probability weights</w:t>
      </w:r>
      <w:r w:rsidR="00A107B2" w:rsidRPr="0075223D">
        <w:rPr>
          <w:lang w:val="en-US"/>
        </w:rPr>
        <w:t xml:space="preserve"> given previously observed data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{"citationID":"9zR2n1tU","properties":{"formattedCitation":"(Cole &amp; Hern\\uc0\\u225{}n, 2008)","plainCitation":"(Cole &amp; Hernán, 2008)","noteIndex":0},"citationItems":[{"id":"RQr8hPvX/ZDECecW3","uris":["http://zotero.org/users/12673371/items/6WHFR4FX"],"itemData":{"id":444,"type":"article-journal","abstract":"The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004A2DB2" w:rsidRPr="0075223D">
        <w:rPr>
          <w:rFonts w:eastAsiaTheme="minorEastAsia"/>
          <w:lang w:val="en-US"/>
        </w:rPr>
        <w:fldChar w:fldCharType="separate"/>
      </w:r>
      <w:r w:rsidR="004A2DB2" w:rsidRPr="0075223D">
        <w:rPr>
          <w:rFonts w:cs="Times New Roman"/>
        </w:rPr>
        <w:t>(Cole &amp; Hernán, 2008)</w:t>
      </w:r>
      <w:r w:rsidR="004A2DB2" w:rsidRPr="0075223D">
        <w:rPr>
          <w:rFonts w:eastAsiaTheme="minorEastAsia"/>
          <w:lang w:val="en-US"/>
        </w:rPr>
        <w:fldChar w:fldCharType="end"/>
      </w:r>
      <w:r w:rsidR="00A951B8" w:rsidRPr="0075223D">
        <w:rPr>
          <w:lang w:val="en-US"/>
        </w:rPr>
        <w:t>. We obtained the</w:t>
      </w:r>
      <w:r w:rsidR="00F11FC6" w:rsidRPr="0075223D">
        <w:rPr>
          <w:lang w:val="en-US"/>
        </w:rPr>
        <w:t>se</w:t>
      </w:r>
      <w:r w:rsidR="00A951B8" w:rsidRPr="0075223D">
        <w:rPr>
          <w:lang w:val="en-US"/>
        </w:rPr>
        <w:t xml:space="preserve"> stabilized weights from a proportional intensity model</w:t>
      </w:r>
      <w:r w:rsidR="006F7E51" w:rsidRPr="0075223D">
        <w:rPr>
          <w:lang w:val="en-US"/>
        </w:rPr>
        <w:t xml:space="preserve"> in which we adjusted for baseline covariates</w:t>
      </w:r>
      <w:r w:rsidR="0080589C" w:rsidRPr="0075223D">
        <w:rPr>
          <w:lang w:val="en-US"/>
        </w:rPr>
        <w:t>,</w:t>
      </w:r>
      <w:r w:rsidR="006F7E51" w:rsidRPr="0075223D">
        <w:rPr>
          <w:lang w:val="en-US"/>
        </w:rPr>
        <w:t xml:space="preserve"> previous treatment outcome</w:t>
      </w:r>
      <w:r w:rsidR="0080589C" w:rsidRPr="0075223D">
        <w:rPr>
          <w:lang w:val="en-US"/>
        </w:rPr>
        <w:t>s,</w:t>
      </w:r>
      <w:r w:rsidR="006F7E51" w:rsidRPr="0075223D">
        <w:rPr>
          <w:lang w:val="en-US"/>
        </w:rPr>
        <w:t xml:space="preserve"> and </w:t>
      </w:r>
      <w:r w:rsidR="0015705E" w:rsidRPr="0075223D">
        <w:rPr>
          <w:lang w:val="en-US"/>
        </w:rPr>
        <w:t xml:space="preserve">previous </w:t>
      </w:r>
      <w:r w:rsidR="006F7E51" w:rsidRPr="0075223D">
        <w:rPr>
          <w:lang w:val="en-US"/>
        </w:rPr>
        <w:t>polysubstance use (if any)</w:t>
      </w:r>
      <w:r w:rsidR="00A951B8" w:rsidRPr="0075223D">
        <w:rPr>
          <w:lang w:val="en-US"/>
        </w:rPr>
        <w:t>.</w:t>
      </w:r>
      <w:r w:rsidR="00932FED" w:rsidRPr="0075223D">
        <w:rPr>
          <w:lang w:val="en-US"/>
        </w:rPr>
        <w:t xml:space="preserve"> The weights are represented through a proportional intensity model as:</w:t>
      </w:r>
      <w:r w:rsidR="00A107B2" w:rsidRPr="0075223D">
        <w:rPr>
          <w:rFonts w:ascii="Calibri" w:hAnsi="Calibri" w:cs="Calibri"/>
          <w:color w:val="000000"/>
          <w:sz w:val="22"/>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w</m:t>
                </m:r>
              </m:e>
            </m:acc>
          </m:e>
          <m:sub>
            <m:r>
              <w:rPr>
                <w:rFonts w:ascii="Cambria Math" w:hAnsi="Cambria Math"/>
                <w:lang w:val="en-US"/>
              </w:rPr>
              <m:t>l</m:t>
            </m:r>
          </m:sub>
        </m:sSub>
        <m:r>
          <w:rPr>
            <w:rFonts w:ascii="Cambria Math" w:hAnsi="Cambria Math"/>
            <w:lang w:val="en-US"/>
          </w:rPr>
          <m:t xml:space="preserve"> (t)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acc>
              <m:accPr>
                <m:chr m:val="̆"/>
                <m:ctrlPr>
                  <w:rPr>
                    <w:rFonts w:ascii="Cambria Math" w:hAnsi="Cambria Math"/>
                    <w:i/>
                    <w:lang w:val="en-US"/>
                  </w:rPr>
                </m:ctrlPr>
              </m:accPr>
              <m:e>
                <m:r>
                  <w:rPr>
                    <w:rFonts w:ascii="Cambria Math" w:hAnsi="Cambria Math"/>
                    <w:lang w:val="en-US"/>
                  </w:rPr>
                  <m:t>γ</m:t>
                </m:r>
              </m:e>
            </m:acc>
            <m:r>
              <w:rPr>
                <w:rFonts w:ascii="Cambria Math" w:hAnsi="Cambria Math"/>
                <w:lang w:val="en-US"/>
              </w:rPr>
              <m:t>)</m:t>
            </m:r>
          </m:num>
          <m:den>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den>
        </m:f>
      </m:oMath>
      <w:r w:rsidR="00932FED" w:rsidRPr="0075223D">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932FED" w:rsidRPr="0075223D">
        <w:rPr>
          <w:rFonts w:eastAsiaTheme="minorEastAsia"/>
          <w:lang w:val="en-US"/>
        </w:rPr>
        <w:t xml:space="preserve"> is a vector of covariates before </w:t>
      </w:r>
      <m:oMath>
        <m:r>
          <w:rPr>
            <w:rFonts w:ascii="Cambria Math" w:hAnsi="Cambria Math"/>
            <w:lang w:val="en-US"/>
          </w:rPr>
          <m:t>t</m:t>
        </m:r>
      </m:oMath>
      <w:r w:rsidR="00932FED" w:rsidRPr="0075223D">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γ</m:t>
            </m:r>
          </m:e>
        </m:acc>
      </m:oMath>
      <w:r w:rsidR="00932FED" w:rsidRPr="0075223D">
        <w:rPr>
          <w:rFonts w:eastAsiaTheme="minorEastAsia"/>
          <w:lang w:val="en-US"/>
        </w:rPr>
        <w:t xml:space="preserve"> </w:t>
      </w:r>
      <w:r w:rsidR="0003754C" w:rsidRPr="0075223D">
        <w:rPr>
          <w:rFonts w:eastAsiaTheme="minorEastAsia"/>
          <w:lang w:val="en-US"/>
        </w:rPr>
        <w:t>is a vector of regression coefficients</w:t>
      </w:r>
      <w:r w:rsidR="00E71A99" w:rsidRPr="0075223D">
        <w:rPr>
          <w:rFonts w:eastAsiaTheme="minorEastAsia"/>
          <w:lang w:val="en-US"/>
        </w:rPr>
        <w:t>, and</w:t>
      </w:r>
      <w:r w:rsidR="0003754C" w:rsidRPr="0075223D">
        <w:rPr>
          <w:rFonts w:eastAsiaTheme="minorEastAsia"/>
          <w:lang w:val="en-US"/>
        </w:rPr>
        <w:t xml:space="preserve"> </w:t>
      </w:r>
      <w:r w:rsidR="00932FED" w:rsidRPr="0075223D">
        <w:rPr>
          <w:rFonts w:eastAsiaTheme="minorEastAsia"/>
          <w:lang w:val="en-US"/>
        </w:rPr>
        <w:t xml:space="preserve">the denominator is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oMath>
      <w:r w:rsidR="00932FED" w:rsidRPr="0075223D">
        <w:rPr>
          <w:rFonts w:eastAsiaTheme="minorEastAsia"/>
          <w:lang w:val="en-US"/>
        </w:rPr>
        <w:t>, a constant baseline hazard</w:t>
      </w:r>
      <w:r w:rsidRPr="0075223D">
        <w:rPr>
          <w:rFonts w:eastAsiaTheme="minorEastAsia"/>
          <w:lang w:val="en-US"/>
        </w:rPr>
        <w:t xml:space="preserve"> to stabilize </w:t>
      </w:r>
      <w:commentRangeStart w:id="123"/>
      <w:r w:rsidRPr="0075223D">
        <w:rPr>
          <w:rFonts w:eastAsiaTheme="minorEastAsia"/>
          <w:lang w:val="en-US"/>
        </w:rPr>
        <w:t>weights</w:t>
      </w:r>
      <w:commentRangeEnd w:id="123"/>
      <w:r w:rsidR="008346BC">
        <w:rPr>
          <w:rStyle w:val="Refdecomentario"/>
          <w:rFonts w:ascii="Times New Roman" w:eastAsia="Times New Roman" w:hAnsi="Times New Roman" w:cs="Times New Roman"/>
          <w:lang w:val="es-CL" w:eastAsia="es-ES_tradnl"/>
        </w:rPr>
        <w:commentReference w:id="123"/>
      </w:r>
      <w:r w:rsidR="008346BC">
        <w:rPr>
          <w:rFonts w:eastAsiaTheme="minorEastAsia"/>
          <w:lang w:val="en-US"/>
        </w:rPr>
        <w:t xml:space="preserve"> </w:t>
      </w:r>
      <w:r w:rsidR="00153639" w:rsidRPr="0075223D">
        <w:rPr>
          <w:rFonts w:eastAsiaTheme="minorEastAsia"/>
          <w:lang w:val="en-US"/>
        </w:rPr>
        <w:fldChar w:fldCharType="begin"/>
      </w:r>
      <w:r w:rsidR="00CA7FD0">
        <w:rPr>
          <w:rFonts w:eastAsiaTheme="minorEastAsia"/>
          <w:lang w:val="en-US"/>
        </w:rPr>
        <w:instrText xml:space="preserve"> ADDIN ZOTERO_ITEM CSL_CITATION {"citationID":"4vpnvXZ9","properties":{"formattedCitation":"(E. Pullenayegum, 2022)","plainCitation":"(E. Pullenayegum, 2022)","noteIndex":0},"citationItems":[{"id":"RQr8hPvX/eDyobnyC","uris":["http://zotero.org/users/12673371/items/S2CZDC4G"],"itemData":{"id":788,"type":"software","title":"IrregLong: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53639" w:rsidRPr="0075223D">
        <w:rPr>
          <w:rFonts w:eastAsiaTheme="minorEastAsia"/>
          <w:lang w:val="en-US"/>
        </w:rPr>
        <w:fldChar w:fldCharType="separate"/>
      </w:r>
      <w:r w:rsidR="00153639" w:rsidRPr="0075223D">
        <w:t>(E. Pullenayegum, 2022)</w:t>
      </w:r>
      <w:r w:rsidR="00153639" w:rsidRPr="0075223D">
        <w:rPr>
          <w:rFonts w:eastAsiaTheme="minorEastAsia"/>
          <w:lang w:val="en-US"/>
        </w:rPr>
        <w:fldChar w:fldCharType="end"/>
      </w:r>
      <w:r w:rsidR="00932FED" w:rsidRPr="0075223D">
        <w:rPr>
          <w:rFonts w:eastAsiaTheme="minorEastAsia"/>
          <w:lang w:val="en-US"/>
        </w:rPr>
        <w:t>.</w:t>
      </w:r>
      <w:r w:rsidR="00A107B2" w:rsidRPr="0075223D">
        <w:rPr>
          <w:rFonts w:eastAsiaTheme="minorEastAsia"/>
          <w:lang w:val="en-US"/>
        </w:rPr>
        <w:t xml:space="preserve"> Auxiliary covariates may include confounders of the outcome model.</w:t>
      </w:r>
      <w:r w:rsidRPr="0075223D">
        <w:rPr>
          <w:rFonts w:eastAsiaTheme="minorEastAsia"/>
          <w:lang w:val="en-US"/>
        </w:rPr>
        <w:t xml:space="preserve"> </w:t>
      </w:r>
      <w:r w:rsidR="002E6CD9">
        <w:rPr>
          <w:lang w:val="en-US"/>
        </w:rPr>
        <w:t xml:space="preserve">Here, time is defined since the first individual admission in the study period (2010-2019), followed and </w:t>
      </w:r>
      <w:r w:rsidR="002E6CD9" w:rsidRPr="002E6CD9">
        <w:rPr>
          <w:lang w:val="en-US"/>
        </w:rPr>
        <w:t>divided by months (30.1 days)</w:t>
      </w:r>
      <w:r w:rsidR="002E6CD9">
        <w:rPr>
          <w:lang w:val="en-US"/>
        </w:rPr>
        <w:t>.</w:t>
      </w:r>
      <w:r w:rsidR="00154EE8" w:rsidRPr="00154EE8">
        <w:t xml:space="preserve"> </w:t>
      </w:r>
      <w:r w:rsidR="008204A5">
        <w:t>Inverse intensity w</w:t>
      </w:r>
      <w:r w:rsidR="00154EE8" w:rsidRPr="00154EE8">
        <w:rPr>
          <w:lang w:val="en-US"/>
        </w:rPr>
        <w:t>eights</w:t>
      </w:r>
      <w:r w:rsidR="008204A5">
        <w:rPr>
          <w:lang w:val="en-US"/>
        </w:rPr>
        <w:t xml:space="preserve"> </w:t>
      </w:r>
      <w:r w:rsidR="008204A5" w:rsidRPr="008204A5">
        <w:t xml:space="preserve">to adjust for irregularity in the observation of </w:t>
      </w:r>
      <w:r w:rsidR="008204A5">
        <w:t>treatment outcomes due to irregular admission to treatment patterns,</w:t>
      </w:r>
      <w:r w:rsidR="00154EE8" w:rsidRPr="00154EE8">
        <w:rPr>
          <w:lang w:val="en-US"/>
        </w:rPr>
        <w:t xml:space="preserve"> were </w:t>
      </w:r>
      <w:del w:id="124" w:author="Andrés González Santa Cruz" w:date="2024-05-21T17:46:00Z" w16du:dateUtc="2024-05-21T21:46:00Z">
        <w:r w:rsidR="00154EE8" w:rsidRPr="00154EE8" w:rsidDel="00C5430D">
          <w:rPr>
            <w:lang w:val="en-US"/>
          </w:rPr>
          <w:delText xml:space="preserve">truncated </w:delText>
        </w:r>
      </w:del>
      <w:ins w:id="125" w:author="Andrés González Santa Cruz" w:date="2024-05-21T17:46:00Z" w16du:dateUtc="2024-05-21T21:46:00Z">
        <w:r w:rsidR="00C5430D">
          <w:rPr>
            <w:lang w:val="en-US"/>
          </w:rPr>
          <w:t>trimmed</w:t>
        </w:r>
        <w:r w:rsidR="00C5430D" w:rsidRPr="00154EE8">
          <w:rPr>
            <w:lang w:val="en-US"/>
          </w:rPr>
          <w:t xml:space="preserve"> </w:t>
        </w:r>
      </w:ins>
      <w:r w:rsidR="00154EE8" w:rsidRPr="00154EE8">
        <w:rPr>
          <w:lang w:val="en-US"/>
        </w:rPr>
        <w:t xml:space="preserve">at the 2.5th and 97.5th percentiles to mitigate the influence of extreme weights, </w:t>
      </w:r>
      <w:r w:rsidR="008204A5">
        <w:rPr>
          <w:lang w:val="en-US"/>
        </w:rPr>
        <w:t xml:space="preserve">thus, </w:t>
      </w:r>
      <w:r w:rsidR="00154EE8" w:rsidRPr="00154EE8">
        <w:rPr>
          <w:lang w:val="en-US"/>
        </w:rPr>
        <w:t>aiming for a more stable and reliable analysis.</w:t>
      </w:r>
      <w:r w:rsidR="00EA6776">
        <w:rPr>
          <w:lang w:val="en-US"/>
        </w:rPr>
        <w:t xml:space="preserve"> Sensitivity analyses to the potential violations of proportional hazards assumption for the intensity model were tested (See Supplemental Section </w:t>
      </w:r>
      <w:r w:rsidR="002D7AEA">
        <w:rPr>
          <w:lang w:val="en-US"/>
        </w:rPr>
        <w:t>2</w:t>
      </w:r>
      <w:r w:rsidR="00EA6776">
        <w:rPr>
          <w:lang w:val="en-US"/>
        </w:rPr>
        <w:t>).</w:t>
      </w:r>
    </w:p>
    <w:p w14:paraId="6A723983" w14:textId="59C11C95" w:rsidR="00DB5AAC" w:rsidRDefault="002E6CD9" w:rsidP="00AA55DE">
      <w:pPr>
        <w:ind w:right="-2" w:firstLine="567"/>
      </w:pPr>
      <w:r>
        <w:rPr>
          <w:lang w:val="en-US"/>
        </w:rPr>
        <w:t>Posteriorly,</w:t>
      </w:r>
      <w:r w:rsidR="008204A5">
        <w:rPr>
          <w:lang w:val="en-US"/>
        </w:rPr>
        <w:t xml:space="preserve"> </w:t>
      </w:r>
      <w:r w:rsidR="008204A5" w:rsidRPr="008204A5">
        <w:t>we fit marginal regression models to estimate the</w:t>
      </w:r>
      <w:r w:rsidR="008204A5" w:rsidRPr="008204A5">
        <w:rPr>
          <w:lang w:val="en-US"/>
        </w:rPr>
        <w:t xml:space="preserve"> </w:t>
      </w:r>
      <w:r w:rsidR="00F11FC6" w:rsidRPr="0075223D">
        <w:t xml:space="preserve">relative risk </w:t>
      </w:r>
      <w:r w:rsidR="005B3652" w:rsidRPr="0075223D">
        <w:t xml:space="preserve">of people with </w:t>
      </w:r>
      <w:r w:rsidR="008204A5">
        <w:t xml:space="preserve">or without </w:t>
      </w:r>
      <w:r w:rsidR="005B3652" w:rsidRPr="0075223D">
        <w:t>PSU at admission</w:t>
      </w:r>
      <w:r w:rsidR="00C1743E">
        <w:t xml:space="preserve"> </w:t>
      </w:r>
      <w:r w:rsidR="00C1743E" w:rsidRPr="0075223D">
        <w:t>completing</w:t>
      </w:r>
      <w:r w:rsidR="00C1743E">
        <w:t xml:space="preserve"> treatment</w:t>
      </w:r>
      <w:r w:rsidR="005B3652" w:rsidRPr="0075223D">
        <w:t xml:space="preserve"> </w:t>
      </w:r>
      <w:r w:rsidR="004A2DB2" w:rsidRPr="0075223D">
        <w:fldChar w:fldCharType="begin"/>
      </w:r>
      <w:r w:rsidR="00CA7FD0">
        <w:instrText xml:space="preserve"> ADDIN ZOTERO_ITEM CSL_CITATION {"citationID":"G9WoIMJQ","properties":{"formattedCitation":"(Graff\\uc0\\u233{}o et al., 2018)","plainCitation":"(Grafféo et al., 2018)","noteIndex":0},"citationItems":[{"id":"RQr8hPvX/uAvmM7V1","uris":["http://zotero.org/users/12673371/items/SNBHI263"],"itemData":{"id":447,"type":"article-journal","abstract":"For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A2DB2" w:rsidRPr="0075223D">
        <w:fldChar w:fldCharType="separate"/>
      </w:r>
      <w:r w:rsidR="004A2DB2" w:rsidRPr="0075223D">
        <w:rPr>
          <w:rFonts w:cs="Times New Roman"/>
        </w:rPr>
        <w:t>(Grafféo et al., 2018)</w:t>
      </w:r>
      <w:r w:rsidR="004A2DB2" w:rsidRPr="0075223D">
        <w:fldChar w:fldCharType="end"/>
      </w:r>
      <w:r w:rsidR="005B3652" w:rsidRPr="0075223D">
        <w:t xml:space="preserve"> </w:t>
      </w:r>
      <w:r w:rsidR="008204A5">
        <w:t>through</w:t>
      </w:r>
      <w:r w:rsidR="005B3652" w:rsidRPr="0075223D">
        <w:t xml:space="preserve"> generalized estimating equations </w:t>
      </w:r>
      <w:r w:rsidR="00FB1B57">
        <w:t xml:space="preserve">(GEE) </w:t>
      </w:r>
      <w:r w:rsidR="008204A5">
        <w:t>assuming a</w:t>
      </w:r>
      <w:r w:rsidR="005B3652" w:rsidRPr="0075223D">
        <w:t xml:space="preserve"> </w:t>
      </w:r>
      <w:r w:rsidR="00CA7FD0">
        <w:t>Poisson</w:t>
      </w:r>
      <w:r w:rsidR="00EA6776">
        <w:t xml:space="preserve"> distributions with a </w:t>
      </w:r>
      <w:r w:rsidR="00EA6776" w:rsidRPr="0075223D">
        <w:t xml:space="preserve">log link function and an independence </w:t>
      </w:r>
      <w:r w:rsidR="00EA6776">
        <w:t xml:space="preserve">structure. </w:t>
      </w:r>
      <w:r w:rsidR="008204A5">
        <w:t xml:space="preserve">Additionally, GEE models were weighted using </w:t>
      </w:r>
      <w:r w:rsidR="008204A5" w:rsidRPr="008204A5">
        <w:t>IIW</w:t>
      </w:r>
      <w:r w:rsidR="008204A5">
        <w:t>s to account for irregular patterns of admission to treatment.</w:t>
      </w:r>
      <w:r w:rsidR="008204A5" w:rsidRPr="008204A5">
        <w:t xml:space="preserve"> </w:t>
      </w:r>
      <w:r w:rsidR="00896094">
        <w:t xml:space="preserve">Sensitivity analyses due to differences between variance and the mean of PSU reports using </w:t>
      </w:r>
      <w:r w:rsidR="001337A2">
        <w:t xml:space="preserve">Negative Binomial </w:t>
      </w:r>
      <w:r w:rsidR="00CA7FD0">
        <w:t>distribution</w:t>
      </w:r>
      <w:r w:rsidR="001337A2">
        <w:t>s</w:t>
      </w:r>
      <w:r w:rsidR="00EA6776">
        <w:t xml:space="preserve"> were tested using </w:t>
      </w:r>
      <w:bookmarkStart w:id="126" w:name="_Hlk166663740"/>
      <w:r w:rsidR="00EA6776">
        <w:t xml:space="preserve">Quasi-likelihood Information criterion </w:t>
      </w:r>
      <w:bookmarkEnd w:id="126"/>
      <w:r w:rsidR="00EA6776">
        <w:t xml:space="preserve">for model selection (See Supplemental Section </w:t>
      </w:r>
      <w:r w:rsidR="002D7AEA">
        <w:t>3</w:t>
      </w:r>
      <w:r w:rsidR="00EA6776">
        <w:t>).</w:t>
      </w:r>
      <w:r w:rsidR="008204A5">
        <w:t xml:space="preserve"> </w:t>
      </w:r>
    </w:p>
    <w:p w14:paraId="58DE27EF" w14:textId="38D54002" w:rsidR="00A951B8" w:rsidRPr="0075223D" w:rsidRDefault="00A951B8" w:rsidP="00861384">
      <w:pPr>
        <w:pStyle w:val="Prrafodelista"/>
        <w:numPr>
          <w:ilvl w:val="0"/>
          <w:numId w:val="24"/>
        </w:numPr>
        <w:tabs>
          <w:tab w:val="left" w:pos="567"/>
        </w:tabs>
        <w:spacing w:after="0"/>
        <w:ind w:right="-2"/>
        <w:rPr>
          <w:i/>
          <w:iCs/>
          <w:lang w:val="en-US"/>
        </w:rPr>
      </w:pPr>
      <w:r w:rsidRPr="0075223D">
        <w:rPr>
          <w:i/>
          <w:iCs/>
          <w:lang w:val="en-US"/>
        </w:rPr>
        <w:t>Data and code availability</w:t>
      </w:r>
    </w:p>
    <w:p w14:paraId="77966853" w14:textId="7AB8726E" w:rsidR="00A259E3" w:rsidRPr="0075223D" w:rsidRDefault="00A951B8" w:rsidP="00AA55DE">
      <w:pPr>
        <w:ind w:right="-2" w:firstLine="567"/>
        <w:rPr>
          <w:lang w:val="en-US"/>
        </w:rPr>
      </w:pPr>
      <w:r w:rsidRPr="0075223D">
        <w:rPr>
          <w:lang w:val="en-US"/>
        </w:rPr>
        <w:t xml:space="preserve">Preliminary code &amp; markdowns are available here: </w:t>
      </w:r>
      <w:hyperlink r:id="rId12" w:history="1">
        <w:r w:rsidRPr="0075223D">
          <w:rPr>
            <w:rStyle w:val="Hipervnculo"/>
            <w:lang w:val="en-US"/>
          </w:rPr>
          <w:t>https://fondecytacc.github.io/nDP/index_prop_grant23_24.html</w:t>
        </w:r>
      </w:hyperlink>
      <w:r w:rsidRPr="0075223D">
        <w:rPr>
          <w:lang w:val="en-US"/>
        </w:rPr>
        <w:t>.</w:t>
      </w:r>
    </w:p>
    <w:p w14:paraId="110AD8D4" w14:textId="77777777" w:rsidR="00A259E3" w:rsidRPr="0075223D" w:rsidRDefault="00A259E3">
      <w:pPr>
        <w:jc w:val="left"/>
        <w:rPr>
          <w:lang w:val="en-US"/>
        </w:rPr>
      </w:pPr>
      <w:r w:rsidRPr="0075223D">
        <w:rPr>
          <w:lang w:val="en-US"/>
        </w:rPr>
        <w:br w:type="page"/>
      </w:r>
    </w:p>
    <w:p w14:paraId="40C207A7" w14:textId="58665D2A" w:rsidR="00B1339E" w:rsidRPr="0075223D" w:rsidRDefault="00BD6BF3"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bookmarkStart w:id="127" w:name="_Toc162862598"/>
      <w:r w:rsidRPr="0075223D">
        <w:rPr>
          <w:rFonts w:ascii="Verdana" w:hAnsi="Verdana"/>
          <w:sz w:val="20"/>
          <w:szCs w:val="20"/>
        </w:rPr>
        <w:lastRenderedPageBreak/>
        <w:t>Theoretical Framework</w:t>
      </w:r>
      <w:bookmarkEnd w:id="127"/>
      <w:r w:rsidR="00C86DE9" w:rsidRPr="0075223D">
        <w:rPr>
          <w:rFonts w:ascii="Verdana" w:hAnsi="Verdana"/>
          <w:sz w:val="20"/>
          <w:szCs w:val="20"/>
        </w:rPr>
        <w:t xml:space="preserve"> </w:t>
      </w:r>
    </w:p>
    <w:p w14:paraId="45744959" w14:textId="30958679" w:rsidR="00D45A6D" w:rsidRPr="0075223D" w:rsidRDefault="00D45A6D" w:rsidP="00CB0B1C">
      <w:pPr>
        <w:tabs>
          <w:tab w:val="left" w:pos="567"/>
        </w:tabs>
        <w:spacing w:line="276" w:lineRule="auto"/>
        <w:ind w:right="-2" w:firstLine="567"/>
        <w:rPr>
          <w:lang w:val="en-US"/>
        </w:rPr>
      </w:pPr>
      <w:r w:rsidRPr="0075223D">
        <w:rPr>
          <w:lang w:val="en-US"/>
        </w:rPr>
        <w:t xml:space="preserve">People with substance use disorder (SUD) tend to use more than one substance </w:t>
      </w:r>
      <w:r w:rsidR="00A46608" w:rsidRPr="0075223D">
        <w:rPr>
          <w:lang w:val="en-US"/>
        </w:rPr>
        <w:t xml:space="preserve">unintentionally and unnoticedly (e.g., due to unregulated and contaminated supplies) or intentionally </w:t>
      </w:r>
      <w:hyperlink r:id="rId13" w:history="1">
        <w:r w:rsidR="008542A0" w:rsidRPr="0075223D">
          <w:rPr>
            <w:rStyle w:val="Hipervnculo"/>
            <w:lang w:val="en-US"/>
          </w:rPr>
          <w:fldChar w:fldCharType="begin"/>
        </w:r>
        <w:r w:rsidR="00CA7FD0">
          <w:rPr>
            <w:rStyle w:val="Hipervnculo"/>
            <w:lang w:val="en-US"/>
          </w:rPr>
          <w:instrText xml:space="preserve"> ADDIN ZOTERO_ITEM CSL_CITATION {"citationID":"2oRtg27R","properties":{"formattedCitation":"(Bunting et al., 2023; Quek et al., 2013)","plainCitation":"(Bunting et al., 2023; Quek et al., 2013)","noteIndex":0},"citationItems":[{"id":"RQr8hPvX/VteLK9zd","uris":["http://zotero.org/users/12673371/items/QAFD7CDY"],"itemData":{"id":355,"type":"article-journal","abstract":"The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D."},{"family":"Cerdá","given":"Magdalena"},{"family":"Lorvick","given":"Jennifer"}],"issued":{"date-parts":[["2023"]]}}},{"id":"RQr8hPvX/rtgKcCuC","uris":["http://zotero.org/users/12673371/items/I2JNVWWC"],"itemData":{"id":450,"type":"article-journal","abstract":"Background: Alcohol use and illicit drug use peak during young adulthood (around 18–29</w:instrText>
        </w:r>
        <w:r w:rsidR="00CA7FD0">
          <w:rPr>
            <w:rStyle w:val="Hipervnculo"/>
            <w:rFonts w:ascii="Arial" w:hAnsi="Arial" w:cs="Arial"/>
            <w:lang w:val="en-US"/>
          </w:rPr>
          <w:instrText> </w:instrText>
        </w:r>
        <w:r w:rsidR="00CA7FD0">
          <w:rPr>
            <w:rStyle w:val="Hipervnculo"/>
            <w:lang w:val="en-US"/>
          </w:rPr>
          <w:instrText>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w:instrText>
        </w:r>
        <w:r w:rsidR="00CA7FD0">
          <w:rPr>
            <w:rStyle w:val="Hipervnculo"/>
            <w:rFonts w:ascii="Arial" w:hAnsi="Arial" w:cs="Arial"/>
            <w:lang w:val="en-US"/>
          </w:rPr>
          <w:instrText> </w:instrText>
        </w:r>
        <w:r w:rsidR="00CA7FD0">
          <w:rPr>
            <w:rStyle w:val="Hipervnculo"/>
            <w:lang w:val="en-US"/>
          </w:rPr>
          <w:instrText>=</w:instrText>
        </w:r>
        <w:r w:rsidR="00CA7FD0">
          <w:rPr>
            <w:rStyle w:val="Hipervnculo"/>
            <w:rFonts w:ascii="Arial" w:hAnsi="Arial" w:cs="Arial"/>
            <w:lang w:val="en-US"/>
          </w:rPr>
          <w:instrText> </w:instrText>
        </w:r>
        <w:r w:rsidR="00CA7FD0">
          <w:rPr>
            <w:rStyle w:val="Hipervnculo"/>
            <w:lang w:val="en-US"/>
          </w:rPr>
          <w:instrText>3,333; age 19</w:instrText>
        </w:r>
        <w:r w:rsidR="00CA7FD0">
          <w:rPr>
            <w:rStyle w:val="Hipervnculo"/>
            <w:rFonts w:cs="Verdana"/>
            <w:lang w:val="en-US"/>
          </w:rPr>
          <w:instrText>–</w:instrText>
        </w:r>
        <w:r w:rsidR="00CA7FD0">
          <w:rPr>
            <w:rStyle w:val="Hipervnculo"/>
            <w:lang w:val="en-US"/>
          </w:rPr>
          <w:instrText xml:space="preserve">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8542A0" w:rsidRPr="0075223D">
          <w:rPr>
            <w:rStyle w:val="Hipervnculo"/>
            <w:lang w:val="en-US"/>
          </w:rPr>
          <w:fldChar w:fldCharType="separate"/>
        </w:r>
        <w:r w:rsidR="008542A0" w:rsidRPr="0075223D">
          <w:t>(Bunting et al., 2023; Quek et al., 2013)</w:t>
        </w:r>
        <w:r w:rsidR="008542A0" w:rsidRPr="0075223D">
          <w:rPr>
            <w:rStyle w:val="Hipervnculo"/>
            <w:lang w:val="en-US"/>
          </w:rPr>
          <w:fldChar w:fldCharType="end"/>
        </w:r>
      </w:hyperlink>
      <w:r w:rsidRPr="0075223D">
        <w:rPr>
          <w:lang w:val="en-US"/>
        </w:rPr>
        <w:t xml:space="preserve"> during active use in their lifetime</w:t>
      </w:r>
      <w:r w:rsidR="004A2DB2" w:rsidRPr="0075223D">
        <w:rPr>
          <w:lang w:val="en-US"/>
        </w:rPr>
        <w:t xml:space="preserve"> </w:t>
      </w:r>
      <w:r w:rsidR="008542A0" w:rsidRPr="0075223D">
        <w:rPr>
          <w:lang w:val="en-US"/>
        </w:rPr>
        <w:fldChar w:fldCharType="begin"/>
      </w:r>
      <w:r w:rsidR="00CA7FD0">
        <w:rPr>
          <w:lang w:val="en-US"/>
        </w:rPr>
        <w:instrText xml:space="preserve"> ADDIN ZOTERO_ITEM CSL_CITATION {"citationID":"K9gLfRTN","properties":{"formattedCitation":"(Connor et al., 2014)","plainCitation":"(Connor et al., 2014)","noteIndex":0},"citationItems":[{"id":"RQr8hPvX/kqFxnJGV","uris":["http://zotero.org/users/12673371/items/5EIG6Y76"],"itemData":{"id":454,"type":"article-journal","abstract":"Purpose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8542A0" w:rsidRPr="0075223D">
        <w:rPr>
          <w:lang w:val="en-US"/>
        </w:rPr>
        <w:fldChar w:fldCharType="separate"/>
      </w:r>
      <w:r w:rsidR="008542A0" w:rsidRPr="0075223D">
        <w:t>(Connor et al., 2014)</w:t>
      </w:r>
      <w:r w:rsidR="008542A0" w:rsidRPr="0075223D">
        <w:rPr>
          <w:lang w:val="en-US"/>
        </w:rPr>
        <w:fldChar w:fldCharType="end"/>
      </w:r>
      <w:r w:rsidRPr="0075223D">
        <w:rPr>
          <w:lang w:val="en-US"/>
        </w:rPr>
        <w:t xml:space="preserve">. Some reasons for </w:t>
      </w:r>
      <w:r w:rsidR="00A46608" w:rsidRPr="0075223D">
        <w:rPr>
          <w:lang w:val="en-US"/>
        </w:rPr>
        <w:t xml:space="preserve">intentional </w:t>
      </w:r>
      <w:r w:rsidRPr="0075223D">
        <w:rPr>
          <w:lang w:val="en-US"/>
        </w:rPr>
        <w:t>polysubstance use (PSU) include additive or synergistic reward, compensation for undesired effects or negative internal states, predisposition</w:t>
      </w:r>
      <w:r w:rsidR="00A46608" w:rsidRPr="0075223D">
        <w:rPr>
          <w:lang w:val="en-US"/>
        </w:rPr>
        <w:t>, or related to supply (e.g., due to shortages of the main substance)</w:t>
      </w:r>
      <w:r w:rsidR="00D52903" w:rsidRPr="0075223D">
        <w:rPr>
          <w:lang w:val="en-US"/>
        </w:rPr>
        <w:fldChar w:fldCharType="begin"/>
      </w:r>
      <w:r w:rsidR="00CA7FD0">
        <w:rPr>
          <w:lang w:val="en-US"/>
        </w:rPr>
        <w:instrText xml:space="preserve"> ADDIN ZOTERO_ITEM CSL_CITATION {"citationID":"SRNTvwjk","properties":{"formattedCitation":"(Karamouzian et al., 2024)","plainCitation":"(Karamouzian et al., 2024)","noteIndex":0},"citationItems":[{"id":"RQr8hPvX/vZdPgoND","uris":["http://zotero.org/users/12673371/items/33RS78J4"],"itemData":{"id":630,"type":"article-journal","abstract":"BACKGROUND: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00D52903" w:rsidRPr="0075223D">
        <w:rPr>
          <w:lang w:val="en-US"/>
        </w:rPr>
        <w:fldChar w:fldCharType="separate"/>
      </w:r>
      <w:r w:rsidR="00D52903" w:rsidRPr="0075223D">
        <w:t>(Karamouzian et al., 2024)</w:t>
      </w:r>
      <w:r w:rsidR="00D52903" w:rsidRPr="0075223D">
        <w:rPr>
          <w:lang w:val="en-US"/>
        </w:rPr>
        <w:fldChar w:fldCharType="end"/>
      </w:r>
      <w:r w:rsidRPr="0075223D">
        <w:rPr>
          <w:lang w:val="en-US"/>
        </w:rPr>
        <w:t>. Importantly, people with PSU are a high-risk population because it is related to a higher mortality rate</w:t>
      </w:r>
      <w:r w:rsidR="002B77B2" w:rsidRPr="0075223D">
        <w:rPr>
          <w:lang w:val="en-US"/>
        </w:rPr>
        <w:t xml:space="preserve"> </w:t>
      </w:r>
      <w:r w:rsidR="004A2DB2" w:rsidRPr="0075223D">
        <w:rPr>
          <w:lang w:val="en-US"/>
        </w:rPr>
        <w:fldChar w:fldCharType="begin"/>
      </w:r>
      <w:r w:rsidR="00CA7FD0">
        <w:rPr>
          <w:lang w:val="en-US"/>
        </w:rPr>
        <w:instrText xml:space="preserve"> ADDIN ZOTERO_ITEM CSL_CITATION {"citationID":"qghoX5HE","properties":{"formattedCitation":"(Gjersing &amp; Bretteville-Jensen, 2018)","plainCitation":"(Gjersing &amp; Bretteville-Jensen, 2018)","noteIndex":0},"citationItems":[{"id":"RQr8hPvX/n52LuUOL","uris":["http://zotero.org/users/12673371/items/RS2C6BBN"],"itemData":{"id":456,"type":"article-journal","abstract":"Aims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4A2DB2" w:rsidRPr="0075223D">
        <w:rPr>
          <w:lang w:val="en-US"/>
        </w:rPr>
        <w:fldChar w:fldCharType="separate"/>
      </w:r>
      <w:r w:rsidR="004A2DB2" w:rsidRPr="0075223D">
        <w:t>(Gjersing &amp; Bretteville-Jensen, 2018)</w:t>
      </w:r>
      <w:r w:rsidR="004A2DB2" w:rsidRPr="0075223D">
        <w:rPr>
          <w:lang w:val="en-US"/>
        </w:rPr>
        <w:fldChar w:fldCharType="end"/>
      </w:r>
      <w:r w:rsidRPr="0075223D">
        <w:rPr>
          <w:lang w:val="en-US"/>
        </w:rPr>
        <w:t>, a higher risk of relapse</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{"citationID":"DE8Biwo0","properties":{"formattedCitation":"(Chen et al., 2019; Hassan &amp; Le Foll, 2019)","plainCitation":"(Chen et al., 2019; Hassan &amp; Le Foll, 2019)","noteIndex":0},"citationItems":[{"id":"RQr8hPvX/i7Xw7KjG","uris":["http://zotero.org/users/12673371/items/2PCQ72P9"],"itemData":{"id":458,"type":"article-journal","abstract":"Aims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RQr8hPvX/tiPsKA0J","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 and that with two or more additional substance disorders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We conducted multivariate logistic regression to predict the PUD status, after adjustment for confounders including childhood maltreatment.\nResults\nAmong all individuals, 57.3% were polydrug users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204) and 42.7% were not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152). There was a high prevalence of childhood maltreatment in both groups, ranging from 16.1% to 59.5%, but the difference was not statistically significant. After adjustment for confounders, we found an association between past-year PTSD and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(odds ratio: 3.98; 95% confidence interval: 1.15</w:instrText>
      </w:r>
      <w:r w:rsidR="00CA7FD0">
        <w:rPr>
          <w:rFonts w:cs="Verdana"/>
          <w:lang w:val="en-US"/>
        </w:rPr>
        <w:instrText>–</w:instrText>
      </w:r>
      <w:r w:rsidR="00CA7FD0">
        <w:rPr>
          <w:lang w:val="en-US"/>
        </w:rPr>
        <w:instrText>13.72; p</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0.03) but not with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4A2DB2" w:rsidRPr="0075223D">
        <w:rPr>
          <w:lang w:val="en-US"/>
        </w:rPr>
        <w:fldChar w:fldCharType="separate"/>
      </w:r>
      <w:r w:rsidR="004A2DB2" w:rsidRPr="0075223D">
        <w:t>(Chen et al., 2019; Hassan &amp; Le Foll, 2019)</w:t>
      </w:r>
      <w:r w:rsidR="004A2DB2" w:rsidRPr="0075223D">
        <w:rPr>
          <w:lang w:val="en-US"/>
        </w:rPr>
        <w:fldChar w:fldCharType="end"/>
      </w:r>
      <w:r w:rsidRPr="0075223D">
        <w:rPr>
          <w:lang w:val="en-US"/>
        </w:rPr>
        <w:t>, less responsive to substance use treatment</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{"citationID":"YSVmfGyL","properties":{"formattedCitation":"(Bonfiglio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and other detrimental features such as risky sexual behavior </w:t>
      </w:r>
      <w:r w:rsidR="004A2DB2" w:rsidRPr="0075223D">
        <w:rPr>
          <w:lang w:val="en-US"/>
        </w:rPr>
        <w:fldChar w:fldCharType="begin"/>
      </w:r>
      <w:r w:rsidR="00CA7FD0">
        <w:rPr>
          <w:lang w:val="en-US"/>
        </w:rPr>
        <w:instrText xml:space="preserve"> ADDIN ZOTERO_ITEM CSL_CITATION {"citationID":"B6tUysYv","properties":{"formattedCitation":"(Daskalopoulou et al., 2014; Sewell et al., 2017)","plainCitation":"(Daskalopoulou et al., 2014; Sewell et al., 2017)","noteIndex":0},"citationItems":[{"id":"RQr8hPvX/18JsCv5M","uris":["http://zotero.org/users/12673371/items/7PIFNYKJ"],"itemData":{"id":464,"type":"article-journal","container-title":"The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C."}],"issued":{"date-parts":[["2014",10,1]]}}},{"id":"RQr8hPvX/0tNn8UAZ","uris":["http://zotero.org/users/12673371/items/KJZ8KB4K"],"itemData":{"id":466,"type":"article-journal","abstract":"Background\nRecreational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4A2DB2" w:rsidRPr="0075223D">
        <w:rPr>
          <w:lang w:val="en-US"/>
        </w:rPr>
        <w:fldChar w:fldCharType="separate"/>
      </w:r>
      <w:r w:rsidR="004A2DB2" w:rsidRPr="0075223D">
        <w:t>(Daskalopoulou et al., 2014; Sewell et al., 2017)</w:t>
      </w:r>
      <w:r w:rsidR="004A2DB2" w:rsidRPr="0075223D">
        <w:rPr>
          <w:lang w:val="en-US"/>
        </w:rPr>
        <w:fldChar w:fldCharType="end"/>
      </w:r>
      <w:r w:rsidRPr="0075223D">
        <w:rPr>
          <w:lang w:val="en-US"/>
        </w:rPr>
        <w:t xml:space="preserve">, violence </w:t>
      </w:r>
      <w:r w:rsidR="004A2DB2" w:rsidRPr="0075223D">
        <w:rPr>
          <w:lang w:val="en-US"/>
        </w:rPr>
        <w:fldChar w:fldCharType="begin"/>
      </w:r>
      <w:r w:rsidR="00CA7FD0">
        <w:rPr>
          <w:lang w:val="en-US"/>
        </w:rPr>
        <w:instrText xml:space="preserve"> ADDIN ZOTERO_ITEM CSL_CITATION {"citationID":"C088xc9n","properties":{"formattedCitation":"(H. J. Choi et al., 2022; Steele &amp; Peralta, 2020)","plainCitation":"(H. J. Choi et al., 2022; Steele &amp; Peralta, 2020)","noteIndex":0},"citationItems":[{"id":"RQr8hPvX/obcJxcW8","uris":["http://zotero.org/users/12673371/items/G4VV4MWG"],"itemData":{"id":568,"type":"article-journal","abstract":"We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R."}],"issued":{"date-parts":[["2022",3]]}}},{"id":"RQr8hPvX/zRYUUqqa","uris":["http://zotero.org/users/12673371/items/TBAS9BLU"],"itemData":{"id":570,"type":"article-journal","abstract":"Early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4A2DB2" w:rsidRPr="0075223D">
        <w:rPr>
          <w:lang w:val="en-US"/>
        </w:rPr>
        <w:fldChar w:fldCharType="separate"/>
      </w:r>
      <w:r w:rsidR="004A2DB2" w:rsidRPr="0075223D">
        <w:t>(H. J. Choi et al., 2022; Steele &amp; Peralta, 2020)</w:t>
      </w:r>
      <w:r w:rsidR="004A2DB2" w:rsidRPr="0075223D">
        <w:rPr>
          <w:lang w:val="en-US"/>
        </w:rPr>
        <w:fldChar w:fldCharType="end"/>
      </w:r>
      <w:r w:rsidRPr="0075223D">
        <w:rPr>
          <w:lang w:val="en-US"/>
        </w:rPr>
        <w:t xml:space="preserve">, and psychiatric comorbidities </w:t>
      </w:r>
      <w:r w:rsidR="004A2DB2" w:rsidRPr="0075223D">
        <w:rPr>
          <w:lang w:val="en-US"/>
        </w:rPr>
        <w:fldChar w:fldCharType="begin"/>
      </w:r>
      <w:r w:rsidR="00CA7FD0">
        <w:rPr>
          <w:lang w:val="en-US"/>
        </w:rPr>
        <w:instrText xml:space="preserve"> ADDIN ZOTERO_ITEM CSL_CITATION {"citationID":"PUkXo8Lr","properties":{"formattedCitation":"(Mefodeva et al., 2022)","plainCitation":"(Mefodeva et al., 2022)","noteIndex":0},"citationItems":[{"id":"RQr8hPvX/kBDgjKDh","uris":["http://zotero.org/users/12673371/items/3TYHM28T"],"itemData":{"id":571,"type":"article-journal","abstract":"BACKGROUND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w:instrText>
      </w:r>
      <w:r w:rsidR="00CA7FD0">
        <w:rPr>
          <w:rFonts w:ascii="Arial" w:hAnsi="Arial" w:cs="Arial"/>
          <w:lang w:val="en-US"/>
        </w:rPr>
        <w:instrText> </w:instrText>
      </w:r>
      <w:r w:rsidR="00CA7FD0">
        <w:rPr>
          <w:lang w:val="en-US"/>
        </w:rPr>
        <w:instrText>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1.30; 95% confidence interval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1.11-1.11]; and double the odds of residential programme enrolment than those in the amphetamine use class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2.35; 95%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4A2DB2" w:rsidRPr="0075223D">
        <w:rPr>
          <w:lang w:val="en-US"/>
        </w:rPr>
        <w:fldChar w:fldCharType="separate"/>
      </w:r>
      <w:r w:rsidR="004A2DB2" w:rsidRPr="0075223D">
        <w:t>(Mefodeva et al., 2022)</w:t>
      </w:r>
      <w:r w:rsidR="004A2DB2" w:rsidRPr="0075223D">
        <w:rPr>
          <w:lang w:val="en-US"/>
        </w:rPr>
        <w:fldChar w:fldCharType="end"/>
      </w:r>
      <w:r w:rsidRPr="0075223D">
        <w:rPr>
          <w:lang w:val="en-US"/>
        </w:rPr>
        <w:t xml:space="preserve">. Over the last three decades, evidence has shown that the rate of people with PSU has significantly increased, at least in high-income countries from North America, Europe, and Australia </w:t>
      </w:r>
      <w:r w:rsidR="004A2DB2" w:rsidRPr="0075223D">
        <w:rPr>
          <w:lang w:val="en-US"/>
        </w:rPr>
        <w:fldChar w:fldCharType="begin"/>
      </w:r>
      <w:r w:rsidR="00CA7FD0">
        <w:rPr>
          <w:lang w:val="en-US"/>
        </w:rPr>
        <w:instrText xml:space="preserve"> ADDIN ZOTERO_ITEM CSL_CITATION {"citationID":"gsaSpUpq","properties":{"formattedCitation":"(Bonfiglio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w:t>
      </w:r>
      <w:r w:rsidR="004F13C0" w:rsidRPr="0075223D">
        <w:rPr>
          <w:lang w:val="en-US"/>
        </w:rPr>
        <w:t xml:space="preserve">highlighting </w:t>
      </w:r>
      <w:r w:rsidRPr="0075223D">
        <w:rPr>
          <w:lang w:val="en-US"/>
        </w:rPr>
        <w:t>the relevance of studying this topic.</w:t>
      </w:r>
    </w:p>
    <w:p w14:paraId="6877B245" w14:textId="7C4441E6" w:rsidR="00F36973" w:rsidRPr="0075223D" w:rsidRDefault="00D45A6D" w:rsidP="00CB0B1C">
      <w:pPr>
        <w:tabs>
          <w:tab w:val="left" w:pos="567"/>
        </w:tabs>
        <w:spacing w:line="276" w:lineRule="auto"/>
        <w:ind w:right="-2" w:firstLine="567"/>
        <w:rPr>
          <w:lang w:val="en-US"/>
        </w:rPr>
      </w:pPr>
      <w:r w:rsidRPr="0075223D">
        <w:rPr>
          <w:lang w:val="en-US"/>
        </w:rPr>
        <w:t xml:space="preserve">Despite the association between completing SUD treatment and long-term benefits, such as lower risk of readmission to treatment </w:t>
      </w:r>
      <w:r w:rsidR="004A2DB2" w:rsidRPr="0075223D">
        <w:rPr>
          <w:lang w:val="en-US"/>
        </w:rPr>
        <w:fldChar w:fldCharType="begin"/>
      </w:r>
      <w:r w:rsidR="00CA7FD0">
        <w:rPr>
          <w:lang w:val="en-US"/>
        </w:rPr>
        <w:instrText xml:space="preserve"> ADDIN ZOTERO_ITEM CSL_CITATION {"citationID":"jHG1WFwm","properties":{"formattedCitation":"(Ruiz-Tagle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4A2DB2" w:rsidRPr="0075223D">
        <w:rPr>
          <w:lang w:val="en-US"/>
        </w:rPr>
        <w:fldChar w:fldCharType="separate"/>
      </w:r>
      <w:r w:rsidR="004A2DB2" w:rsidRPr="0075223D">
        <w:t>(Ruiz-Tagle Maturana et al., 2023)</w:t>
      </w:r>
      <w:r w:rsidR="004A2DB2" w:rsidRPr="0075223D">
        <w:rPr>
          <w:lang w:val="en-US"/>
        </w:rPr>
        <w:fldChar w:fldCharType="end"/>
      </w:r>
      <w:r w:rsidRPr="0075223D">
        <w:rPr>
          <w:lang w:val="en-US"/>
        </w:rPr>
        <w:t xml:space="preserve">, lower risk of relapse </w:t>
      </w:r>
      <w:r w:rsidR="004A2DB2" w:rsidRPr="0075223D">
        <w:rPr>
          <w:lang w:val="en-US"/>
        </w:rPr>
        <w:fldChar w:fldCharType="begin"/>
      </w:r>
      <w:r w:rsidR="00CA7FD0">
        <w:rPr>
          <w:lang w:val="en-US"/>
        </w:rPr>
        <w:instrText xml:space="preserve"> ADDIN ZOTERO_ITEM CSL_CITATION {"citationID":"QdbosFMy","properties":{"formattedCitation":"(Andersson et al., 2019)","plainCitation":"(Andersson et al., 2019)","noteIndex":0},"citationItems":[{"id":"RQr8hPvX/pBcQpbQH","uris":["http://zotero.org/users/12673371/items/V7LFHCZZ"],"itemData":{"id":21,"type":"article-journal","abstract":"Aims\nThe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4A2DB2" w:rsidRPr="0075223D">
        <w:rPr>
          <w:lang w:val="en-US"/>
        </w:rPr>
        <w:fldChar w:fldCharType="separate"/>
      </w:r>
      <w:r w:rsidR="004A2DB2" w:rsidRPr="0075223D">
        <w:t>(Andersson et al., 2019)</w:t>
      </w:r>
      <w:r w:rsidR="004A2DB2" w:rsidRPr="0075223D">
        <w:rPr>
          <w:lang w:val="en-US"/>
        </w:rPr>
        <w:fldChar w:fldCharType="end"/>
      </w:r>
      <w:r w:rsidRPr="0075223D">
        <w:rPr>
          <w:lang w:val="en-US"/>
        </w:rPr>
        <w:t xml:space="preserve">, abstinence </w:t>
      </w:r>
      <w:r w:rsidR="004A2DB2" w:rsidRPr="0075223D">
        <w:rPr>
          <w:lang w:val="en-US"/>
        </w:rPr>
        <w:fldChar w:fldCharType="begin"/>
      </w:r>
      <w:r w:rsidR="00CA7FD0">
        <w:rPr>
          <w:lang w:val="en-US"/>
        </w:rPr>
        <w:instrText xml:space="preserve"> ADDIN ZOTERO_ITEM CSL_CITATION {"citationID":"GrK7uOtR","properties":{"formattedCitation":"(McPherson et al., 2017)","plainCitation":"(McPherson et al., 2017)","noteIndex":0},"citationItems":[{"id":"RQr8hPvX/FUXHsb6s","uris":["http://zotero.org/users/12673371/items/EQFP4BP8"],"itemData":{"id":88,"type":"article-journal","container-title":"Journal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004A2DB2" w:rsidRPr="0075223D">
        <w:rPr>
          <w:lang w:val="en-US"/>
        </w:rPr>
        <w:fldChar w:fldCharType="separate"/>
      </w:r>
      <w:r w:rsidR="004A2DB2" w:rsidRPr="0075223D">
        <w:t>(McPherson et al., 2017)</w:t>
      </w:r>
      <w:r w:rsidR="004A2DB2" w:rsidRPr="0075223D">
        <w:rPr>
          <w:lang w:val="en-US"/>
        </w:rPr>
        <w:fldChar w:fldCharType="end"/>
      </w:r>
      <w:r w:rsidRPr="0075223D">
        <w:rPr>
          <w:lang w:val="en-US"/>
        </w:rPr>
        <w:t xml:space="preserve">, and better quality of life </w:t>
      </w:r>
      <w:r w:rsidR="004A2DB2" w:rsidRPr="0075223D">
        <w:rPr>
          <w:lang w:val="en-US"/>
        </w:rPr>
        <w:fldChar w:fldCharType="begin"/>
      </w:r>
      <w:r w:rsidR="00CA7FD0">
        <w:rPr>
          <w:lang w:val="en-US"/>
        </w:rPr>
        <w:instrText xml:space="preserve"> ADDIN ZOTERO_ITEM CSL_CITATION {"citationID":"UqaJbEpF","properties":{"formattedCitation":"(N. G. Choi &amp; DiNitto, 2020)","plainCitation":"(N. G. Choi &amp; DiNitto, 2020)","noteIndex":0},"citationItems":[{"id":"RQr8hPvX/hqYLJKiS","uris":["http://zotero.org/users/12673371/items/B3CXCBAC"],"itemData":{"id":574,"type":"article-journal","abstract":"More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004A2DB2" w:rsidRPr="0075223D">
        <w:rPr>
          <w:lang w:val="en-US"/>
        </w:rPr>
        <w:fldChar w:fldCharType="separate"/>
      </w:r>
      <w:r w:rsidR="004A2DB2" w:rsidRPr="0075223D">
        <w:t>(N. G. Choi &amp; DiNitto, 2020)</w:t>
      </w:r>
      <w:r w:rsidR="004A2DB2" w:rsidRPr="0075223D">
        <w:rPr>
          <w:lang w:val="en-US"/>
        </w:rPr>
        <w:fldChar w:fldCharType="end"/>
      </w:r>
      <w:r w:rsidRPr="0075223D">
        <w:rPr>
          <w:lang w:val="en-US"/>
        </w:rPr>
        <w:t xml:space="preserve"> is well known, evidence regarding the long-term </w:t>
      </w:r>
      <w:r w:rsidR="008258E8" w:rsidRPr="0075223D">
        <w:rPr>
          <w:lang w:val="en-US"/>
        </w:rPr>
        <w:t xml:space="preserve">consequences </w:t>
      </w:r>
      <w:r w:rsidRPr="0075223D">
        <w:rPr>
          <w:lang w:val="en-US"/>
        </w:rPr>
        <w:t xml:space="preserve">of </w:t>
      </w:r>
      <w:r w:rsidR="008258E8" w:rsidRPr="0075223D">
        <w:rPr>
          <w:lang w:val="en-US"/>
        </w:rPr>
        <w:t xml:space="preserve">reporting </w:t>
      </w:r>
      <w:r w:rsidRPr="0075223D">
        <w:rPr>
          <w:lang w:val="en-US"/>
        </w:rPr>
        <w:t xml:space="preserve">PSU on treatment outcomes is limited and mixed. The lack of research on PSU is partly because most studies have focused on individual substances in isolation and have considered a multiple substance use history as an exclusion criterion for clinical studies on treatment effectiveness, which raises the problem of its translatability to real health contexts </w:t>
      </w:r>
      <w:r w:rsidR="004A2DB2" w:rsidRPr="0075223D">
        <w:rPr>
          <w:lang w:val="en-US"/>
        </w:rPr>
        <w:fldChar w:fldCharType="begin"/>
      </w:r>
      <w:r w:rsidR="00CA7FD0">
        <w:rPr>
          <w:lang w:val="en-US"/>
        </w:rPr>
        <w:instrText xml:space="preserve"> ADDIN ZOTERO_ITEM CSL_CITATION {"citationID":"aYjEQB8y","properties":{"formattedCitation":"(Bonfiglio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Regarding the treatment outcomes, some studies report a lower likelihood of treatment completion among people with PSU </w:t>
      </w:r>
      <w:r w:rsidR="004A2DB2" w:rsidRPr="0075223D">
        <w:rPr>
          <w:lang w:val="en-US"/>
        </w:rPr>
        <w:fldChar w:fldCharType="begin"/>
      </w:r>
      <w:r w:rsidR="00CA7FD0">
        <w:rPr>
          <w:lang w:val="en-US"/>
        </w:rPr>
        <w:instrText xml:space="preserve"> ADDIN ZOTERO_ITEM CSL_CITATION {"citationID":"WSSn5T7i","properties":{"formattedCitation":"(Andersson et al., 2021; Levola et al., 2021)","plainCitation":"(Andersson et al., 2021; Levola et al., 2021)","noteIndex":0},"citationItems":[{"id":"RQr8hPvX/llCj6dSu","uris":["http://zotero.org/users/12673371/items/36M32WVX"],"itemData":{"id":577,"type":"article-journal","abstract":"INTRODUCTION: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Forsmo"},{"family":"Nordfjærn","given":"Trond"}],"issued":{"date-parts":[["2021"]]}}},{"id":"RQr8hPvX/IZIkziZf","uris":["http://zotero.org/users/12673371/items/KB5U3P92"],"itemData":{"id":580,"type":"article-journal","abstract":"Aims:\nTreatment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4A2DB2" w:rsidRPr="0075223D">
        <w:rPr>
          <w:lang w:val="en-US"/>
        </w:rPr>
        <w:fldChar w:fldCharType="separate"/>
      </w:r>
      <w:r w:rsidR="004A2DB2" w:rsidRPr="0075223D">
        <w:t>(Andersson et al., 2021; Levola et al., 2021)</w:t>
      </w:r>
      <w:r w:rsidR="004A2DB2" w:rsidRPr="0075223D">
        <w:rPr>
          <w:lang w:val="en-US"/>
        </w:rPr>
        <w:fldChar w:fldCharType="end"/>
      </w:r>
      <w:r w:rsidRPr="0075223D">
        <w:rPr>
          <w:lang w:val="en-US"/>
        </w:rPr>
        <w:t xml:space="preserve">, while others found no association </w:t>
      </w:r>
      <w:r w:rsidR="004A2DB2" w:rsidRPr="0075223D">
        <w:rPr>
          <w:lang w:val="en-US"/>
        </w:rPr>
        <w:fldChar w:fldCharType="begin"/>
      </w:r>
      <w:r w:rsidR="00CA7FD0">
        <w:rPr>
          <w:lang w:val="en-US"/>
        </w:rPr>
        <w:instrText xml:space="preserve"> ADDIN ZOTERO_ITEM CSL_CITATION {"citationID":"uMo3Cb9f","properties":{"formattedCitation":"(Andersson et al., 2018)","plainCitation":"(Andersson et al., 2018)","noteIndex":0},"citationItems":[{"id":"RQr8hPvX/XMNoXWg1","uris":["http://zotero.org/users/12673371/items/ZVENQ8XU"],"itemData":{"id":189,"type":"article-journal","abstract":"Introduction: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4A2DB2" w:rsidRPr="0075223D">
        <w:rPr>
          <w:lang w:val="en-US"/>
        </w:rPr>
        <w:fldChar w:fldCharType="separate"/>
      </w:r>
      <w:r w:rsidR="004A2DB2" w:rsidRPr="0075223D">
        <w:t>(Andersson et al., 2018)</w:t>
      </w:r>
      <w:r w:rsidR="004A2DB2" w:rsidRPr="0075223D">
        <w:rPr>
          <w:lang w:val="en-US"/>
        </w:rPr>
        <w:fldChar w:fldCharType="end"/>
      </w:r>
      <w:r w:rsidRPr="0075223D">
        <w:rPr>
          <w:lang w:val="en-US"/>
        </w:rPr>
        <w:t xml:space="preserve"> or higher completion rates </w:t>
      </w:r>
      <w:r w:rsidR="005E2B02" w:rsidRPr="0075223D">
        <w:rPr>
          <w:lang w:val="en-US"/>
        </w:rPr>
        <w:fldChar w:fldCharType="begin"/>
      </w:r>
      <w:r w:rsidR="00CA7FD0">
        <w:rPr>
          <w:lang w:val="en-US"/>
        </w:rPr>
        <w:instrText xml:space="preserve"> ADDIN ZOTERO_ITEM CSL_CITATION {"citationID":"Pew704Rd","properties":{"formattedCitation":"(Basu et al., 2017)","plainCitation":"(Basu et al., 2017)","noteIndex":0},"citationItems":[{"id":"RQr8hPvX/sFqzlRmO","uris":["http://zotero.org/users/12673371/items/KF4U2DKT"],"itemData":{"id":583,"type":"article-journal","abstract":"BACKGROUND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5E2B02" w:rsidRPr="0075223D">
        <w:rPr>
          <w:lang w:val="en-US"/>
        </w:rPr>
        <w:fldChar w:fldCharType="separate"/>
      </w:r>
      <w:r w:rsidR="005E2B02" w:rsidRPr="0075223D">
        <w:t>(Basu et al., 2017)</w:t>
      </w:r>
      <w:r w:rsidR="005E2B02" w:rsidRPr="0075223D">
        <w:rPr>
          <w:lang w:val="en-US"/>
        </w:rPr>
        <w:fldChar w:fldCharType="end"/>
      </w:r>
      <w:r w:rsidRPr="0075223D">
        <w:rPr>
          <w:lang w:val="en-US"/>
        </w:rPr>
        <w:t xml:space="preserve">. In any case, it is crucial to determine the role of </w:t>
      </w:r>
      <w:r w:rsidR="008258E8" w:rsidRPr="0075223D">
        <w:rPr>
          <w:lang w:val="en-US"/>
        </w:rPr>
        <w:t xml:space="preserve">reporting </w:t>
      </w:r>
      <w:r w:rsidRPr="0075223D">
        <w:rPr>
          <w:lang w:val="en-US"/>
        </w:rPr>
        <w:t xml:space="preserve">PSU in treatment completion to improve treatment effectiveness and research translatability </w:t>
      </w:r>
      <w:r w:rsidR="005E2B02" w:rsidRPr="0075223D">
        <w:rPr>
          <w:lang w:val="en-US"/>
        </w:rPr>
        <w:fldChar w:fldCharType="begin"/>
      </w:r>
      <w:r w:rsidR="00CA7FD0">
        <w:rPr>
          <w:lang w:val="en-US"/>
        </w:rPr>
        <w:instrText xml:space="preserve"> ADDIN ZOTERO_ITEM CSL_CITATION {"citationID":"GR1NW3Yo","properties":{"formattedCitation":"(Crummy et al., 2020)","plainCitation":"(Crummy et al., 2020)","noteIndex":0},"citationItems":[{"id":"RQr8hPvX/Gi5jZCx5","uris":["http://zotero.org/users/12673371/items/44553PDU"],"itemData":{"id":433,"type":"article-journal","abstract":"Substance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5E2B02" w:rsidRPr="0075223D">
        <w:rPr>
          <w:lang w:val="en-US"/>
        </w:rPr>
        <w:fldChar w:fldCharType="separate"/>
      </w:r>
      <w:r w:rsidR="005E2B02" w:rsidRPr="0075223D">
        <w:t>(Crummy et al., 2020)</w:t>
      </w:r>
      <w:r w:rsidR="005E2B02" w:rsidRPr="0075223D">
        <w:rPr>
          <w:lang w:val="en-US"/>
        </w:rPr>
        <w:fldChar w:fldCharType="end"/>
      </w:r>
      <w:r w:rsidRPr="0075223D">
        <w:rPr>
          <w:lang w:val="en-US"/>
        </w:rPr>
        <w:t xml:space="preserve">. </w:t>
      </w:r>
    </w:p>
    <w:p w14:paraId="4D8451EA" w14:textId="1FF7A031" w:rsidR="009657DB" w:rsidRPr="0075223D" w:rsidRDefault="00F36973" w:rsidP="00CB0B1C">
      <w:pPr>
        <w:tabs>
          <w:tab w:val="left" w:pos="567"/>
        </w:tabs>
        <w:spacing w:line="276" w:lineRule="auto"/>
        <w:ind w:right="-2" w:firstLine="567"/>
        <w:rPr>
          <w:lang w:val="en-US"/>
        </w:rPr>
      </w:pPr>
      <w:r w:rsidRPr="0075223D">
        <w:rPr>
          <w:lang w:val="en-US"/>
        </w:rPr>
        <w:t xml:space="preserve">However, </w:t>
      </w:r>
      <w:r w:rsidR="00695017" w:rsidRPr="0075223D">
        <w:rPr>
          <w:lang w:val="en-US"/>
        </w:rPr>
        <w:t xml:space="preserve">this role must </w:t>
      </w:r>
      <w:r w:rsidR="003B7FE0" w:rsidRPr="0075223D">
        <w:rPr>
          <w:lang w:val="en-US"/>
        </w:rPr>
        <w:t xml:space="preserve">be understood in a context of patients who experience </w:t>
      </w:r>
      <w:r w:rsidR="00903C38" w:rsidRPr="0075223D">
        <w:rPr>
          <w:lang w:val="en-US"/>
        </w:rPr>
        <w:t>multiple and recursive treatments</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{"citationID":"rqYMbDhJ","properties":{"formattedCitation":"(B\\uc0\\u243{}rquez et al., 2024)","plainCitation":"(Bórquez et al., 2024)","noteIndex":0},"citationItems":[{"id":"RQr8hPvX/4I9PiVGt","uris":["http://zotero.org/users/12673371/items/53A5ETKD"],"itemData":{"id":628,"type":"article-journal","abstract":"BACKGROUND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00D52903" w:rsidRPr="0075223D">
        <w:rPr>
          <w:lang w:val="en-US"/>
        </w:rPr>
        <w:fldChar w:fldCharType="separate"/>
      </w:r>
      <w:r w:rsidR="00D52903" w:rsidRPr="0075223D">
        <w:rPr>
          <w:rFonts w:cs="Times New Roman"/>
        </w:rPr>
        <w:t>(Bórquez et al., 2024)</w:t>
      </w:r>
      <w:r w:rsidR="00D52903" w:rsidRPr="0075223D">
        <w:rPr>
          <w:lang w:val="en-US"/>
        </w:rPr>
        <w:fldChar w:fldCharType="end"/>
      </w:r>
      <w:r w:rsidR="00903C38" w:rsidRPr="0075223D">
        <w:rPr>
          <w:lang w:val="en-US"/>
        </w:rPr>
        <w:t>.</w:t>
      </w:r>
      <w:r w:rsidR="00695017" w:rsidRPr="0075223D">
        <w:rPr>
          <w:lang w:val="en-US"/>
        </w:rPr>
        <w:t xml:space="preserve"> </w:t>
      </w:r>
      <w:r w:rsidR="00D45A6D" w:rsidRPr="0075223D">
        <w:rPr>
          <w:lang w:val="en-US"/>
        </w:rPr>
        <w:t>Treatment</w:t>
      </w:r>
      <w:r w:rsidR="00903C38" w:rsidRPr="0075223D">
        <w:rPr>
          <w:lang w:val="en-US"/>
        </w:rPr>
        <w:t>s</w:t>
      </w:r>
      <w:r w:rsidR="00D45A6D" w:rsidRPr="0075223D">
        <w:rPr>
          <w:lang w:val="en-US"/>
        </w:rPr>
        <w:t xml:space="preserve"> </w:t>
      </w:r>
      <w:r w:rsidR="00903C38" w:rsidRPr="0075223D">
        <w:rPr>
          <w:lang w:val="en-US"/>
        </w:rPr>
        <w:t>are</w:t>
      </w:r>
      <w:r w:rsidR="00D45A6D" w:rsidRPr="0075223D">
        <w:rPr>
          <w:lang w:val="en-US"/>
        </w:rPr>
        <w:t xml:space="preserve"> expected to change behavior relative to no treatment. Patients not benefiting from treatment</w:t>
      </w:r>
      <w:r w:rsidR="00903C38" w:rsidRPr="0075223D">
        <w:rPr>
          <w:lang w:val="en-US"/>
        </w:rPr>
        <w:t>s</w:t>
      </w:r>
      <w:r w:rsidR="00D45A6D" w:rsidRPr="0075223D">
        <w:rPr>
          <w:lang w:val="en-US"/>
        </w:rPr>
        <w:t xml:space="preserve"> often switch to other alternatives. Those facing adverse effects or resistance to change might quit, while some persevere and follow other recommendations, such as lifestyle changes</w:t>
      </w:r>
      <w:r w:rsidRPr="0075223D">
        <w:rPr>
          <w:lang w:val="en-US"/>
        </w:rPr>
        <w:t xml:space="preserve"> that affect </w:t>
      </w:r>
      <w:r w:rsidR="00D45A6D" w:rsidRPr="0075223D">
        <w:rPr>
          <w:lang w:val="en-US"/>
        </w:rPr>
        <w:t xml:space="preserve">their prognosis. Hence, treatment outcomes </w:t>
      </w:r>
      <w:r w:rsidR="00E3253B" w:rsidRPr="0075223D">
        <w:rPr>
          <w:lang w:val="en-US"/>
        </w:rPr>
        <w:t xml:space="preserve">such as dropout or treatment completion </w:t>
      </w:r>
      <w:r w:rsidR="00D45A6D" w:rsidRPr="0075223D">
        <w:rPr>
          <w:lang w:val="en-US"/>
        </w:rPr>
        <w:t>are linked to subsequent exposures</w:t>
      </w:r>
      <w:r w:rsidR="00E3253B" w:rsidRPr="0075223D">
        <w:rPr>
          <w:lang w:val="en-US"/>
        </w:rPr>
        <w:t xml:space="preserve"> such as</w:t>
      </w:r>
      <w:r w:rsidR="00106AFB" w:rsidRPr="0075223D">
        <w:rPr>
          <w:lang w:val="en-US"/>
        </w:rPr>
        <w:t xml:space="preserve"> a</w:t>
      </w:r>
      <w:r w:rsidR="00E3253B" w:rsidRPr="0075223D">
        <w:rPr>
          <w:lang w:val="en-US"/>
        </w:rPr>
        <w:t xml:space="preserve"> readmission</w:t>
      </w:r>
      <w:r w:rsidR="00153639" w:rsidRPr="0075223D">
        <w:rPr>
          <w:lang w:val="en-US"/>
        </w:rPr>
        <w:fldChar w:fldCharType="begin"/>
      </w:r>
      <w:r w:rsidR="00CA7FD0">
        <w:rPr>
          <w:lang w:val="en-US"/>
        </w:rPr>
        <w:instrText xml:space="preserve"> ADDIN ZOTERO_ITEM CSL_CITATION {"citationID":"qjTAtokM","properties":{"formattedCitation":"(Ruiz-Tagle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53639" w:rsidRPr="0075223D">
        <w:rPr>
          <w:lang w:val="en-US"/>
        </w:rPr>
        <w:fldChar w:fldCharType="separate"/>
      </w:r>
      <w:r w:rsidR="00153639" w:rsidRPr="0075223D">
        <w:t>(Ruiz-Tagle Maturana et al., 2023)</w:t>
      </w:r>
      <w:r w:rsidR="00153639" w:rsidRPr="0075223D">
        <w:rPr>
          <w:lang w:val="en-US"/>
        </w:rPr>
        <w:fldChar w:fldCharType="end"/>
      </w:r>
      <w:r w:rsidR="006F7E51" w:rsidRPr="0075223D">
        <w:rPr>
          <w:lang w:val="en-US"/>
        </w:rPr>
        <w:t xml:space="preserve"> to a posterior treatment</w:t>
      </w:r>
      <w:r w:rsidR="00CB32EE" w:rsidRPr="0075223D">
        <w:rPr>
          <w:lang w:val="en-US"/>
        </w:rPr>
        <w:t>, what is known as “feedback loop”</w:t>
      </w:r>
      <w:r w:rsidR="00830795" w:rsidRPr="0075223D">
        <w:rPr>
          <w:lang w:val="en-US"/>
        </w:rPr>
        <w:fldChar w:fldCharType="begin"/>
      </w:r>
      <w:r w:rsidR="00CA7FD0">
        <w:rPr>
          <w:lang w:val="en-US"/>
        </w:rPr>
        <w:instrText xml:space="preserve"> ADDIN ZOTERO_ITEM CSL_CITATION {"citationID":"BIPyd2zR","properties":{"formattedCitation":"(Hernan &amp; Robins, 2020)","plainCitation":"(Hernan &amp; Robins, 2020)","noteIndex":0},"citationItems":[{"id":"RQr8hPvX/CFIzC3as","uris":["http://zotero.org/users/12673371/items/YLMLPKVH"],"itemData":{"id":627,"type":"book","abstract":"\"Written by pioneers in the field, this practical book presents an authoritative yet accessible overview of the methods and applications of causal inference. The text provides a thorough introduction to the basics of the theory for non-time-varying treatments and the generalization to complex longitudinal data\"--","call-number":"Q175.32.I54","edition":"First edition","event-place":"Boca Raton","ISBN":"978-1-315-37493-2","number-of-pages":"1","publisher":"Chapman &amp; Hall/CRC","publisher-place":"Boca Raton","source":"Library of Congress ISBN","title":"Causal inference: what if","title-short":"Causal inference","author":[{"family":"Hernan","given":"Miguel A."},{"family":"Robins","given":"James M."}],"issued":{"date-parts":[["2020"]]}}}],"schema":"https://github.com/citation-style-language/schema/raw/master/csl-citation.json"} </w:instrText>
      </w:r>
      <w:r w:rsidR="00830795" w:rsidRPr="0075223D">
        <w:rPr>
          <w:lang w:val="en-US"/>
        </w:rPr>
        <w:fldChar w:fldCharType="separate"/>
      </w:r>
      <w:r w:rsidR="00D52903" w:rsidRPr="0075223D">
        <w:t>(Hernan &amp; Robins, 2020)</w:t>
      </w:r>
      <w:r w:rsidR="00830795" w:rsidRPr="0075223D">
        <w:rPr>
          <w:lang w:val="en-US"/>
        </w:rPr>
        <w:fldChar w:fldCharType="end"/>
      </w:r>
      <w:r w:rsidR="00D45A6D" w:rsidRPr="0075223D">
        <w:rPr>
          <w:lang w:val="en-US"/>
        </w:rPr>
        <w:t xml:space="preserve">. Given that SUD is understood as a chronic condition, </w:t>
      </w:r>
      <w:r w:rsidR="00580C3A" w:rsidRPr="0075223D">
        <w:rPr>
          <w:lang w:val="en-US"/>
        </w:rPr>
        <w:t xml:space="preserve">the association between </w:t>
      </w:r>
      <w:r w:rsidR="00B54FB6" w:rsidRPr="0075223D">
        <w:rPr>
          <w:lang w:val="en-US"/>
        </w:rPr>
        <w:t xml:space="preserve">reporting </w:t>
      </w:r>
      <w:r w:rsidR="00580C3A" w:rsidRPr="0075223D">
        <w:rPr>
          <w:lang w:val="en-US"/>
        </w:rPr>
        <w:t>PSU and treatment completion on first SUD treatment alone requires accounting that some patients may be readmitted to treatment through the follow-up period</w:t>
      </w:r>
      <w:r w:rsidR="00A51E4D" w:rsidRPr="0075223D">
        <w:rPr>
          <w:lang w:val="en-US"/>
        </w:rPr>
        <w:t xml:space="preserve"> (See Figure 1</w:t>
      </w:r>
      <w:r w:rsidR="005E6FE6" w:rsidRPr="0075223D">
        <w:rPr>
          <w:lang w:val="en-US"/>
        </w:rPr>
        <w:t>a</w:t>
      </w:r>
      <w:r w:rsidR="0075223D">
        <w:rPr>
          <w:lang w:val="en-US"/>
        </w:rPr>
        <w:t>).</w:t>
      </w:r>
      <w:r w:rsidR="00D45A6D" w:rsidRPr="0075223D">
        <w:rPr>
          <w:lang w:val="en-US"/>
        </w:rPr>
        <w:t xml:space="preserve"> Thus, checking for group biases and adjusting for confounders is needed</w:t>
      </w:r>
      <w:r w:rsidRPr="0075223D">
        <w:rPr>
          <w:lang w:val="en-US"/>
        </w:rPr>
        <w:t xml:space="preserve"> </w:t>
      </w:r>
      <w:r w:rsidR="005E2B02" w:rsidRPr="0075223D">
        <w:rPr>
          <w:lang w:val="en-US"/>
        </w:rPr>
        <w:fldChar w:fldCharType="begin"/>
      </w:r>
      <w:r w:rsidR="00CA7FD0">
        <w:rPr>
          <w:lang w:val="en-US"/>
        </w:rPr>
        <w:instrText xml:space="preserve"> ADDIN ZOTERO_ITEM CSL_CITATION {"citationID":"SLegWROn","properties":{"formattedCitation":"(Griffin et al., 2014; Hansen et al., 2020)","plainCitation":"(Griffin et al., 2014; Hansen et al., 2020)","noteIndex":0},"citationItems":[{"id":"RQr8hPvX/LKoJcYxy","uris":["http://zotero.org/users/12673371/items/X2R4DLIW"],"itemData":{"id":586,"type":"article-journal","abstract":"BACKGROUND: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005E2B02" w:rsidRPr="0075223D">
        <w:rPr>
          <w:lang w:val="en-US"/>
        </w:rPr>
        <w:fldChar w:fldCharType="separate"/>
      </w:r>
      <w:r w:rsidR="005E2B02" w:rsidRPr="0075223D">
        <w:t>(Griffin et al., 2014; Hansen et al., 2020)</w:t>
      </w:r>
      <w:r w:rsidR="005E2B02" w:rsidRPr="0075223D">
        <w:rPr>
          <w:lang w:val="en-US"/>
        </w:rPr>
        <w:fldChar w:fldCharType="end"/>
      </w:r>
      <w:r w:rsidRPr="0075223D">
        <w:rPr>
          <w:lang w:val="en-US"/>
        </w:rPr>
        <w:t xml:space="preserve">. </w:t>
      </w:r>
      <w:r w:rsidR="00D45A6D" w:rsidRPr="0075223D">
        <w:rPr>
          <w:lang w:val="en-US"/>
        </w:rPr>
        <w:t xml:space="preserve">Additionally, these treatments are irregularly spaced, nevertheless, not </w:t>
      </w:r>
      <w:r w:rsidR="004F13C0" w:rsidRPr="0075223D">
        <w:rPr>
          <w:lang w:val="en-US"/>
        </w:rPr>
        <w:t xml:space="preserve">at </w:t>
      </w:r>
      <w:r w:rsidR="00D45A6D" w:rsidRPr="0075223D">
        <w:rPr>
          <w:lang w:val="en-US"/>
        </w:rPr>
        <w:t>random, as the time between treatments might be related to biopsychosocial and treatment-related factors</w:t>
      </w:r>
      <w:r w:rsidR="0075223D">
        <w:rPr>
          <w:lang w:val="en-US"/>
        </w:rPr>
        <w:t xml:space="preserve"> (See Figure 1b)</w:t>
      </w:r>
      <w:r w:rsidR="00734381" w:rsidRPr="0075223D">
        <w:rPr>
          <w:lang w:val="en-US"/>
        </w:rPr>
        <w:t>. Thus, patients with worst outcomes in a previous treatment might</w:t>
      </w:r>
      <w:r w:rsidRPr="0075223D">
        <w:rPr>
          <w:lang w:val="en-US"/>
        </w:rPr>
        <w:t xml:space="preserve"> have more or less intense frequency of treatments in the future, that </w:t>
      </w:r>
      <w:r w:rsidR="00690EF9" w:rsidRPr="0075223D">
        <w:rPr>
          <w:lang w:val="en-US"/>
        </w:rPr>
        <w:t xml:space="preserve">may </w:t>
      </w:r>
      <w:r w:rsidRPr="0075223D">
        <w:rPr>
          <w:lang w:val="en-US"/>
        </w:rPr>
        <w:t xml:space="preserve">also explain treatment outcomes such as completion or dropout </w:t>
      </w:r>
      <w:r w:rsidR="005E2B02" w:rsidRPr="0075223D">
        <w:rPr>
          <w:lang w:val="en-US"/>
        </w:rPr>
        <w:fldChar w:fldCharType="begin"/>
      </w:r>
      <w:r w:rsidR="00CA7FD0">
        <w:rPr>
          <w:lang w:val="en-US"/>
        </w:rPr>
        <w:instrText xml:space="preserve"> ADDIN ZOTERO_ITEM CSL_CITATION {"citationID":"0zsnUqHv","properties":{"formattedCitation":"(Hansen et al., 2020; V\\uc0\\u225{}zquez-Real et al., 2022)","plainCitation":"(Hansen et al., 2020; Vázquez-Real et al., 2022)","noteIndex":0},"citationItems":[{"id":"RQr8hPvX/z9hef3Go","uris":["http://zotero.org/users/12673371/items/V77G8IC4"],"itemData":{"id":65,"type":"article-journal","abstract":"To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Søgaard"}],"issued":{"date-parts":[["2020",4,16]]}}},{"id":"RQr8hPvX/H57gg1fS","uris":["http://zotero.org/users/12673371/items/C4XMNI6M"],"itemData":{"id":590,"type":"article-journal","abstract":"Early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005E2B02" w:rsidRPr="0075223D">
        <w:rPr>
          <w:lang w:val="en-US"/>
        </w:rPr>
        <w:fldChar w:fldCharType="separate"/>
      </w:r>
      <w:r w:rsidR="005E2B02" w:rsidRPr="0075223D">
        <w:rPr>
          <w:rFonts w:cs="Times New Roman"/>
        </w:rPr>
        <w:t>(Hansen et al., 2020; Vázquez-Real et al., 2022)</w:t>
      </w:r>
      <w:r w:rsidR="005E2B02" w:rsidRPr="0075223D">
        <w:rPr>
          <w:lang w:val="en-US"/>
        </w:rPr>
        <w:fldChar w:fldCharType="end"/>
      </w:r>
      <w:r w:rsidR="00D45A6D" w:rsidRPr="0075223D">
        <w:rPr>
          <w:lang w:val="en-US"/>
        </w:rPr>
        <w:t>.</w:t>
      </w:r>
    </w:p>
    <w:p w14:paraId="4E0E632B" w14:textId="329FCC2D" w:rsidR="00B1339E" w:rsidRPr="0075223D" w:rsidRDefault="00690EF9" w:rsidP="00CB0B1C">
      <w:pPr>
        <w:tabs>
          <w:tab w:val="left" w:pos="567"/>
        </w:tabs>
        <w:spacing w:line="276" w:lineRule="auto"/>
        <w:ind w:right="-2" w:firstLine="567"/>
        <w:rPr>
          <w:lang w:val="en-US"/>
        </w:rPr>
      </w:pPr>
      <w:r w:rsidRPr="0075223D">
        <w:rPr>
          <w:lang w:val="en-US"/>
        </w:rPr>
        <w:t>Additionally, t</w:t>
      </w:r>
      <w:r w:rsidR="00D45A6D" w:rsidRPr="0075223D">
        <w:rPr>
          <w:lang w:val="en-US"/>
        </w:rPr>
        <w:t xml:space="preserve">he relationship between people </w:t>
      </w:r>
      <w:r w:rsidR="00B54FB6" w:rsidRPr="0075223D">
        <w:rPr>
          <w:lang w:val="en-US"/>
        </w:rPr>
        <w:t xml:space="preserve">reporting </w:t>
      </w:r>
      <w:r w:rsidR="00D45A6D" w:rsidRPr="0075223D">
        <w:rPr>
          <w:lang w:val="en-US"/>
        </w:rPr>
        <w:t>PSU and treatment completion can be affected by various factors, such as heterogeneous PSU patterns</w:t>
      </w:r>
      <w:r w:rsidR="00D52903" w:rsidRPr="0075223D">
        <w:rPr>
          <w:lang w:val="en-US"/>
        </w:rPr>
        <w:t xml:space="preserve"> </w:t>
      </w:r>
      <w:r w:rsidR="005E2B02" w:rsidRPr="0075223D">
        <w:rPr>
          <w:lang w:val="en-US"/>
        </w:rPr>
        <w:fldChar w:fldCharType="begin"/>
      </w:r>
      <w:r w:rsidR="00CA7FD0">
        <w:rPr>
          <w:lang w:val="en-US"/>
        </w:rPr>
        <w:instrText xml:space="preserve"> ADDIN ZOTERO_ITEM CSL_CITATION {"citationID":"rilxuXx8","properties":{"formattedCitation":"(Bhondoekhan et al., 2023; Price et al., 2023)","plainCitation":"(Bhondoekhan et al., 2023; Price et al., 2023)","noteIndex":0},"citationItems":[{"id":"RQr8hPvX/gafY2JRb","uris":["http://zotero.org/users/12673371/items/7LXB4MSA"],"itemData":{"id":598,"type":"article-journal","abstract":"•\n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D.L."}],"issued":{"date-parts":[["2023",8,12]]}}},{"id":"RQr8hPvX/hm9harRD","uris":["http://zotero.org/users/12673371/items/EML4CPCT"],"itemData":{"id":594,"type":"article-journal","abstract":"Background\nPolysubstance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E2B02" w:rsidRPr="0075223D">
        <w:rPr>
          <w:lang w:val="en-US"/>
        </w:rPr>
        <w:fldChar w:fldCharType="separate"/>
      </w:r>
      <w:r w:rsidR="005E2B02" w:rsidRPr="0075223D">
        <w:t>(Bhondoekhan et al., 2023; Price et al., 2023)</w:t>
      </w:r>
      <w:r w:rsidR="005E2B02" w:rsidRPr="0075223D">
        <w:rPr>
          <w:lang w:val="en-US"/>
        </w:rPr>
        <w:fldChar w:fldCharType="end"/>
      </w:r>
      <w:r w:rsidR="00D45A6D" w:rsidRPr="0075223D">
        <w:rPr>
          <w:lang w:val="en-US"/>
        </w:rPr>
        <w:t xml:space="preserve">, treatment goals, patient characteristics, resource availability, and SUD severity profiles. In turn, these characteristics are highly dependent on treatment settings </w:t>
      </w:r>
      <w:r w:rsidR="005E2B02" w:rsidRPr="0075223D">
        <w:rPr>
          <w:lang w:val="en-US"/>
        </w:rPr>
        <w:fldChar w:fldCharType="begin"/>
      </w:r>
      <w:r w:rsidR="00CA7FD0">
        <w:rPr>
          <w:lang w:val="en-US"/>
        </w:rPr>
        <w:instrText xml:space="preserve"> ADDIN ZOTERO_ITEM CSL_CITATION {"citationID":"XC7wK9Eb","properties":{"formattedCitation":"(Fiestas &amp; Ponce, 2012; Reif et al., 2021; Tiet et al., 2007)","plainCitation":"(Fiestas &amp; Ponce, 2012; Reif et al., 2021; Tiet et al., 2007)","noteIndex":0},"citationItems":[{"id":"RQr8hPvX/yueQQ3Y2","uris":["http://zotero.org/users/12673371/items/HRXC3UAX"],"itemData":{"id":601,"type":"article-journal","container-title":"Revista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RQr8hPvX/Vr5E5Eoy","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A."}],"issued":{"date-parts":[["2021",3,1]]}}},{"id":"RQr8hPvX/I1Oal0E8","uris":["http://zotero.org/users/12673371/items/MFU2C28D"],"itemData":{"id":606,"type":"article-journal","abstract":"AIMS: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005E2B02" w:rsidRPr="0075223D">
        <w:rPr>
          <w:lang w:val="en-US"/>
        </w:rPr>
        <w:fldChar w:fldCharType="separate"/>
      </w:r>
      <w:r w:rsidR="005E2B02" w:rsidRPr="0075223D">
        <w:t>(Fiestas &amp; Ponce, 2012; Reif et al., 2021; Tiet et al., 2007)</w:t>
      </w:r>
      <w:r w:rsidR="005E2B02" w:rsidRPr="0075223D">
        <w:rPr>
          <w:lang w:val="en-US"/>
        </w:rPr>
        <w:fldChar w:fldCharType="end"/>
      </w:r>
      <w:r w:rsidR="00D45A6D" w:rsidRPr="0075223D">
        <w:rPr>
          <w:lang w:val="en-US"/>
        </w:rPr>
        <w:t xml:space="preserve">. </w:t>
      </w:r>
      <w:r w:rsidR="00D764E1">
        <w:rPr>
          <w:highlight w:val="yellow"/>
          <w:lang w:val="en-US"/>
        </w:rPr>
        <w:t xml:space="preserve">In Chile, </w:t>
      </w:r>
      <w:r w:rsidR="00D764E1" w:rsidRPr="00D764E1">
        <w:rPr>
          <w:highlight w:val="yellow"/>
          <w:lang w:val="en-US"/>
        </w:rPr>
        <w:t xml:space="preserve">Olivari and colleagues found that women-specific treatment settings had different readmission and treatment completion than the general </w:t>
      </w:r>
      <w:commentRangeStart w:id="128"/>
      <w:r w:rsidR="00D764E1" w:rsidRPr="00D764E1">
        <w:rPr>
          <w:highlight w:val="yellow"/>
          <w:lang w:val="en-US"/>
        </w:rPr>
        <w:t>population</w:t>
      </w:r>
      <w:commentRangeEnd w:id="128"/>
      <w:r w:rsidR="00D764E1" w:rsidRPr="00D764E1">
        <w:rPr>
          <w:rStyle w:val="Refdecomentario"/>
          <w:rFonts w:ascii="Times New Roman" w:eastAsia="Times New Roman" w:hAnsi="Times New Roman" w:cs="Times New Roman"/>
          <w:highlight w:val="yellow"/>
          <w:lang w:val="es-CL" w:eastAsia="es-ES_tradnl"/>
        </w:rPr>
        <w:commentReference w:id="128"/>
      </w:r>
      <w:r w:rsidR="00D764E1" w:rsidRPr="00D764E1">
        <w:rPr>
          <w:highlight w:val="yellow"/>
          <w:lang w:val="en-US"/>
        </w:rPr>
        <w:t xml:space="preserve">. In a similar </w:t>
      </w:r>
      <w:r w:rsidR="00D764E1" w:rsidRPr="00D764E1">
        <w:rPr>
          <w:highlight w:val="yellow"/>
          <w:lang w:val="en-US"/>
        </w:rPr>
        <w:lastRenderedPageBreak/>
        <w:t xml:space="preserve">vein, Ruiz-Tagle et al. found that completion was less likely among ambulatory </w:t>
      </w:r>
      <w:commentRangeStart w:id="129"/>
      <w:r w:rsidR="00D764E1" w:rsidRPr="00D764E1">
        <w:rPr>
          <w:highlight w:val="yellow"/>
          <w:lang w:val="en-US"/>
        </w:rPr>
        <w:t xml:space="preserve">settings </w:t>
      </w:r>
      <w:commentRangeEnd w:id="129"/>
      <w:r w:rsidR="00D764E1" w:rsidRPr="00D764E1">
        <w:rPr>
          <w:rStyle w:val="Refdecomentario"/>
          <w:rFonts w:ascii="Times New Roman" w:eastAsia="Times New Roman" w:hAnsi="Times New Roman" w:cs="Times New Roman"/>
          <w:highlight w:val="yellow"/>
          <w:lang w:val="es-CL" w:eastAsia="es-ES_tradnl"/>
        </w:rPr>
        <w:commentReference w:id="129"/>
      </w:r>
      <w:r w:rsidR="00D764E1">
        <w:rPr>
          <w:lang w:val="en-US"/>
        </w:rPr>
        <w:t xml:space="preserve">. </w:t>
      </w:r>
      <w:r w:rsidR="00D45A6D" w:rsidRPr="0075223D">
        <w:rPr>
          <w:lang w:val="en-US"/>
        </w:rPr>
        <w:t xml:space="preserve">Most research on PSU comes from the Global North, where the treatment settings are usually specialized on particular substances </w:t>
      </w:r>
      <w:r w:rsidR="005E2B02" w:rsidRPr="0075223D">
        <w:rPr>
          <w:lang w:val="en-US"/>
        </w:rPr>
        <w:fldChar w:fldCharType="begin"/>
      </w:r>
      <w:r w:rsidR="00CA7FD0">
        <w:rPr>
          <w:lang w:val="en-US"/>
        </w:rPr>
        <w:instrText xml:space="preserve"> ADDIN ZOTERO_ITEM CSL_CITATION {"citationID":"pbDJNrOy","properties":{"formattedCitation":"(Babor, 2021; K\\uc0\\u246{}rkel, 2021)","plainCitation":"(Babor, 2021; Körkel, 2021)","noteIndex":0},"citationItems":[{"id":"RQr8hPvX/qaNwma2U","uris":["http://zotero.org/users/12673371/items/73EAYDRK"],"itemData":{"id":610,"type":"chapter","abstract":"This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M."}],"accessed":{"date-parts":[["2024",3,13]]},"issued":{"date-parts":[["2021"]]}}},{"id":"RQr8hPvX/jWtgHvxD","uris":["http://zotero.org/users/12673371/items/EJCXGBI3"],"itemData":{"id":612,"type":"article-journal","abstract":"Purpose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005E2B02" w:rsidRPr="0075223D">
        <w:rPr>
          <w:lang w:val="en-US"/>
        </w:rPr>
        <w:fldChar w:fldCharType="separate"/>
      </w:r>
      <w:r w:rsidR="005E2B02" w:rsidRPr="0075223D">
        <w:rPr>
          <w:rFonts w:cs="Times New Roman"/>
        </w:rPr>
        <w:t>(Babor, 2021; Körkel, 2021)</w:t>
      </w:r>
      <w:r w:rsidR="005E2B02" w:rsidRPr="0075223D">
        <w:rPr>
          <w:lang w:val="en-US"/>
        </w:rPr>
        <w:fldChar w:fldCharType="end"/>
      </w:r>
      <w:r w:rsidR="00D45A6D" w:rsidRPr="0075223D">
        <w:rPr>
          <w:lang w:val="en-US"/>
        </w:rPr>
        <w:t xml:space="preserve">. This is not the reality of other contexts, such as Latin America, due to scarce resources and a shortage of mental health workforce, in which treatment is mostly delivered in non-specialized settings. However, studying the role of PSU on treatment outcomes in Latin America is challenging due to limited </w:t>
      </w:r>
      <w:r w:rsidR="002F4D05" w:rsidRPr="0075223D">
        <w:rPr>
          <w:lang w:val="en-US"/>
        </w:rPr>
        <w:t xml:space="preserve">local </w:t>
      </w:r>
      <w:r w:rsidR="00D45A6D" w:rsidRPr="0075223D">
        <w:rPr>
          <w:lang w:val="en-US"/>
        </w:rPr>
        <w:t xml:space="preserve">data </w:t>
      </w:r>
      <w:r w:rsidR="00830795" w:rsidRPr="0075223D">
        <w:rPr>
          <w:lang w:val="en-US"/>
        </w:rPr>
        <w:fldChar w:fldCharType="begin"/>
      </w:r>
      <w:r w:rsidR="00CA7FD0">
        <w:rPr>
          <w:lang w:val="en-US"/>
        </w:rPr>
        <w:instrText xml:space="preserve"> ADDIN ZOTERO_ITEM CSL_CITATION {"citationID":"EO9qoedY","properties":{"formattedCitation":"(Lalwani et al., 2022)","plainCitation":"(Lalwani et al., 2022)","noteIndex":0},"citationItems":[{"id":"RQr8hPvX/LXet5D6F","uris":["http://zotero.org/users/12673371/items/FZ7E9E7R"],"itemData":{"id":615,"type":"article-journal","abstract":"In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00830795" w:rsidRPr="0075223D">
        <w:rPr>
          <w:lang w:val="en-US"/>
        </w:rPr>
        <w:fldChar w:fldCharType="separate"/>
      </w:r>
      <w:r w:rsidR="00830795" w:rsidRPr="0075223D">
        <w:t>(Lalwani et al., 2022)</w:t>
      </w:r>
      <w:r w:rsidR="00830795" w:rsidRPr="0075223D">
        <w:rPr>
          <w:lang w:val="en-US"/>
        </w:rPr>
        <w:fldChar w:fldCharType="end"/>
      </w:r>
      <w:r w:rsidR="002F4D05" w:rsidRPr="0075223D">
        <w:rPr>
          <w:lang w:val="en-US"/>
        </w:rPr>
        <w:t xml:space="preserve">. </w:t>
      </w:r>
      <w:r w:rsidRPr="0075223D">
        <w:rPr>
          <w:lang w:val="en-US"/>
        </w:rPr>
        <w:t>Furthermore</w:t>
      </w:r>
      <w:r w:rsidR="002F4D05" w:rsidRPr="0075223D">
        <w:rPr>
          <w:lang w:val="en-US"/>
        </w:rPr>
        <w:t xml:space="preserve">, </w:t>
      </w:r>
      <w:r w:rsidR="00D45A6D" w:rsidRPr="0075223D">
        <w:rPr>
          <w:lang w:val="en-US"/>
        </w:rPr>
        <w:t xml:space="preserve">using evidence from the Global North is not straightforward, as it focuses on opioids and injecting drug use, which are epidemiologic features that are not prevalent in the Latin American context </w:t>
      </w:r>
      <w:r w:rsidR="00830795" w:rsidRPr="0075223D">
        <w:rPr>
          <w:lang w:val="en-US"/>
        </w:rPr>
        <w:fldChar w:fldCharType="begin"/>
      </w:r>
      <w:r w:rsidR="00CA7FD0">
        <w:rPr>
          <w:lang w:val="en-US"/>
        </w:rPr>
        <w:instrText xml:space="preserve"> ADDIN ZOTERO_ITEM CSL_CITATION {"citationID":"9aKl4kao","properties":{"formattedCitation":"(Castaldelli-Maia et al., 2023)","plainCitation":"(Castaldelli-Maia et al., 2023)","noteIndex":0},"citationItems":[{"id":"RQr8hPvX/KUVgm9J0","uris":["http://zotero.org/users/12673371/items/JFGXA528"],"itemData":{"id":44,"type":"article-journal","container-title":"The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00830795" w:rsidRPr="0075223D">
        <w:rPr>
          <w:lang w:val="en-US"/>
        </w:rPr>
        <w:fldChar w:fldCharType="separate"/>
      </w:r>
      <w:r w:rsidR="00830795" w:rsidRPr="0075223D">
        <w:t>(Castaldelli-Maia et al., 2023)</w:t>
      </w:r>
      <w:r w:rsidR="00830795" w:rsidRPr="0075223D">
        <w:rPr>
          <w:lang w:val="en-US"/>
        </w:rPr>
        <w:fldChar w:fldCharType="end"/>
      </w:r>
      <w:r w:rsidR="00D45A6D" w:rsidRPr="0075223D">
        <w:rPr>
          <w:lang w:val="en-US"/>
        </w:rPr>
        <w:t>.</w:t>
      </w:r>
    </w:p>
    <w:p w14:paraId="1F739FBE" w14:textId="39781FAC" w:rsidR="00D45A6D" w:rsidRPr="0075223D" w:rsidRDefault="00690EF9" w:rsidP="00CB0B1C">
      <w:pPr>
        <w:tabs>
          <w:tab w:val="left" w:pos="567"/>
        </w:tabs>
        <w:spacing w:line="276" w:lineRule="auto"/>
        <w:ind w:right="-2" w:firstLine="567"/>
        <w:rPr>
          <w:lang w:val="es-CL"/>
        </w:rPr>
      </w:pPr>
      <w:r w:rsidRPr="0075223D">
        <w:rPr>
          <w:lang w:val="en-US"/>
        </w:rPr>
        <w:t>Moreover</w:t>
      </w:r>
      <w:r w:rsidR="00D45A6D" w:rsidRPr="0075223D">
        <w:rPr>
          <w:lang w:val="en-US"/>
        </w:rPr>
        <w:t xml:space="preserve">, as many studies in the Global North </w:t>
      </w:r>
      <w:r w:rsidR="002F4D05" w:rsidRPr="0075223D">
        <w:rPr>
          <w:lang w:val="en-US"/>
        </w:rPr>
        <w:t>have often overlooked</w:t>
      </w:r>
      <w:r w:rsidR="00D45A6D" w:rsidRPr="0075223D">
        <w:rPr>
          <w:lang w:val="en-US"/>
        </w:rPr>
        <w:t xml:space="preserve"> high-risk populations, there are reasons to believe that</w:t>
      </w:r>
      <w:r w:rsidR="002F4D05" w:rsidRPr="0075223D">
        <w:rPr>
          <w:lang w:val="en-US"/>
        </w:rPr>
        <w:t xml:space="preserve"> is also the case </w:t>
      </w:r>
      <w:r w:rsidR="00D45A6D" w:rsidRPr="0075223D">
        <w:rPr>
          <w:lang w:val="en-US"/>
        </w:rPr>
        <w:t xml:space="preserve">in Latin America, </w:t>
      </w:r>
      <w:r w:rsidR="002F4D05" w:rsidRPr="0075223D">
        <w:rPr>
          <w:lang w:val="en-US"/>
        </w:rPr>
        <w:t xml:space="preserve">where </w:t>
      </w:r>
      <w:r w:rsidR="00D45A6D" w:rsidRPr="0075223D">
        <w:rPr>
          <w:lang w:val="en-US"/>
        </w:rPr>
        <w:t xml:space="preserve">the prevalence of individuals with PSU is notably high </w:t>
      </w:r>
      <w:r w:rsidR="00830795" w:rsidRPr="0075223D">
        <w:rPr>
          <w:lang w:val="en-US"/>
        </w:rPr>
        <w:fldChar w:fldCharType="begin"/>
      </w:r>
      <w:r w:rsidR="00CA7FD0">
        <w:rPr>
          <w:lang w:val="en-US"/>
        </w:rPr>
        <w:instrText xml:space="preserve"> ADDIN ZOTERO_ITEM CSL_CITATION {"citationID":"izQHTIHH","properties":{"formattedCitation":"(Reyes et al., 2013)","plainCitation":"(Reyes et al., 2013)","noteIndex":0},"citationItems":[{"id":"RQr8hPvX/Hszsdgkj","uris":["http://zotero.org/users/12673371/items/JM63BVRC"],"itemData":{"id":356,"type":"article-journal","abstract":"The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00830795" w:rsidRPr="0075223D">
        <w:rPr>
          <w:lang w:val="en-US"/>
        </w:rPr>
        <w:fldChar w:fldCharType="separate"/>
      </w:r>
      <w:r w:rsidR="00830795" w:rsidRPr="0075223D">
        <w:t>(Reyes et al., 2013)</w:t>
      </w:r>
      <w:r w:rsidR="00830795" w:rsidRPr="0075223D">
        <w:rPr>
          <w:lang w:val="en-US"/>
        </w:rPr>
        <w:fldChar w:fldCharType="end"/>
      </w:r>
      <w:r w:rsidR="00D45A6D" w:rsidRPr="0075223D">
        <w:rPr>
          <w:lang w:val="en-US"/>
        </w:rPr>
        <w:t xml:space="preserve">. A meta-analysis focusing on Global North studies on cocaine found that more than 70% of people who use cocaine have concurrent alcohol consumption. In addition, between 38% and 64% of the participants had concurrent marijuana use </w:t>
      </w:r>
      <w:r w:rsidR="00830795" w:rsidRPr="0075223D">
        <w:rPr>
          <w:lang w:val="en-US"/>
        </w:rPr>
        <w:fldChar w:fldCharType="begin"/>
      </w:r>
      <w:r w:rsidR="00CA7FD0">
        <w:rPr>
          <w:lang w:val="en-US"/>
        </w:rPr>
        <w:instrText xml:space="preserve"> ADDIN ZOTERO_ITEM CSL_CITATION {"citationID":"mUuvxCa3","properties":{"formattedCitation":"(Liu et al., 2018)","plainCitation":"(Liu et al., 2018)","noteIndex":0},"citationItems":[{"id":"RQr8hPvX/jan62G8O","uris":["http://zotero.org/users/12673371/items/YU3ZTASP"],"itemData":{"id":352,"type":"article-journal","abstract":"Background\nPolysubstance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alcohol and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00830795" w:rsidRPr="0075223D">
        <w:rPr>
          <w:lang w:val="en-US"/>
        </w:rPr>
        <w:fldChar w:fldCharType="separate"/>
      </w:r>
      <w:r w:rsidR="00830795" w:rsidRPr="0075223D">
        <w:t>(Liu et al., 2018)</w:t>
      </w:r>
      <w:r w:rsidR="00830795" w:rsidRPr="0075223D">
        <w:rPr>
          <w:lang w:val="en-US"/>
        </w:rPr>
        <w:fldChar w:fldCharType="end"/>
      </w:r>
      <w:r w:rsidR="00D45A6D" w:rsidRPr="0075223D">
        <w:rPr>
          <w:lang w:val="en-US"/>
        </w:rPr>
        <w:t xml:space="preserve">. A recent study conducted in a Chilean hard-to-reach population that used cocaine base paste found that between 47% and 66% of users had simultaneous substance use </w:t>
      </w:r>
      <w:r w:rsidR="00830795" w:rsidRPr="0075223D">
        <w:rPr>
          <w:lang w:val="en-US"/>
        </w:rPr>
        <w:fldChar w:fldCharType="begin"/>
      </w:r>
      <w:r w:rsidR="00CA7FD0">
        <w:rPr>
          <w:lang w:val="en-US"/>
        </w:rPr>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830795" w:rsidRPr="0075223D">
        <w:rPr>
          <w:lang w:val="en-US"/>
        </w:rPr>
        <w:fldChar w:fldCharType="separate"/>
      </w:r>
      <w:r w:rsidR="00830795" w:rsidRPr="0075223D">
        <w:t>(Olivari et al., 2022)</w:t>
      </w:r>
      <w:r w:rsidR="00830795" w:rsidRPr="0075223D">
        <w:rPr>
          <w:lang w:val="en-US"/>
        </w:rPr>
        <w:fldChar w:fldCharType="end"/>
      </w:r>
      <w:r w:rsidR="00D45A6D" w:rsidRPr="0075223D">
        <w:rPr>
          <w:lang w:val="en-US"/>
        </w:rPr>
        <w:t xml:space="preserve">. Similarly, an analysis of data from studies conducted in six Latin American countries found that 21% of the participants </w:t>
      </w:r>
      <w:r w:rsidR="008258E8" w:rsidRPr="0075223D">
        <w:rPr>
          <w:lang w:val="en-US"/>
        </w:rPr>
        <w:t xml:space="preserve">reported </w:t>
      </w:r>
      <w:r w:rsidR="00D45A6D" w:rsidRPr="0075223D">
        <w:rPr>
          <w:lang w:val="en-US"/>
        </w:rPr>
        <w:t xml:space="preserve">PSU </w:t>
      </w:r>
      <w:r w:rsidR="00830795" w:rsidRPr="0075223D">
        <w:rPr>
          <w:lang w:val="en-US"/>
        </w:rPr>
        <w:fldChar w:fldCharType="begin"/>
      </w:r>
      <w:r w:rsidR="00CA7FD0">
        <w:rPr>
          <w:lang w:val="en-US"/>
        </w:rPr>
        <w:instrText xml:space="preserve"> ADDIN ZOTERO_ITEM CSL_CITATION {"citationID":"fOYi3ThX","properties":{"formattedCitation":"(Vilugr\\uc0\\u243{}n et al., 2022)","plainCitation":"(Vilugrón et al., 2022)","noteIndex":0},"citationItems":[{"id":"RQr8hPvX/pWxIBYmO","uris":["http://zotero.org/users/12673371/items/ZI8L3GPZ"],"itemData":{"id":618,"type":"article-journal","container-title":"Revista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rPr>
        <w:t>(Vilugrón et al., 2022)</w:t>
      </w:r>
      <w:r w:rsidR="00830795" w:rsidRPr="0075223D">
        <w:rPr>
          <w:lang w:val="en-US"/>
        </w:rPr>
        <w:fldChar w:fldCharType="end"/>
      </w:r>
      <w:r w:rsidR="00D45A6D" w:rsidRPr="0075223D">
        <w:rPr>
          <w:lang w:val="en-US"/>
        </w:rPr>
        <w:t xml:space="preserve">, which was more frequent among males and young adults( 18-34) from Chile, Uruguay, and Argentina. In addition, PSU is related to school dropout, unemployment, sexual and antisocial risk behaviors </w:t>
      </w:r>
      <w:r w:rsidR="00830795" w:rsidRPr="0075223D">
        <w:rPr>
          <w:lang w:val="en-US"/>
        </w:rPr>
        <w:fldChar w:fldCharType="begin"/>
      </w:r>
      <w:r w:rsidR="00CA7FD0">
        <w:rPr>
          <w:lang w:val="en-US"/>
        </w:rPr>
        <w:instrText xml:space="preserve"> ADDIN ZOTERO_ITEM CSL_CITATION {"citationID":"b7ehEQZX","properties":{"formattedCitation":"(Olivari et al., 2022; Santis B et al., 2007; Vilugr\\uc0\\u243{}n et al., 2022)","plainCitation":"(Olivari et al., 2022; Santis B et al., 2007; Vilugrón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RQr8hPvX/A7V4RlTx","uris":["http://zotero.org/users/12673371/items/7VJ76F8N"],"itemData":{"id":281,"type":"article-journal","container-title":"Revista médica de Chile","DOI":"10.4067/S0034-98872007000100007","ISSN":"0034-9887","issue":"1","note":"publisher: Sociedad Médica de Santiago","page":"45-53","source":"SciELO","title":"Consumo de sustancias y cond</w:instrText>
      </w:r>
      <w:r w:rsidR="00CA7FD0" w:rsidRPr="00CA7FD0">
        <w:rPr>
          <w:lang w:val="es-CL"/>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lang w:val="es-CL"/>
        </w:rPr>
        <w:t>(Olivari et al., 2022; Santis B et al., 2007; Vilugrón et al., 2022)</w:t>
      </w:r>
      <w:r w:rsidR="00830795" w:rsidRPr="0075223D">
        <w:rPr>
          <w:lang w:val="en-US"/>
        </w:rPr>
        <w:fldChar w:fldCharType="end"/>
      </w:r>
      <w:r w:rsidR="00D45A6D" w:rsidRPr="0075223D">
        <w:rPr>
          <w:lang w:val="es-CL"/>
        </w:rPr>
        <w:t>.</w:t>
      </w:r>
    </w:p>
    <w:p w14:paraId="41D54516" w14:textId="599F4A83" w:rsidR="00261E63" w:rsidRPr="0075223D" w:rsidRDefault="00D45A6D" w:rsidP="00CB0B1C">
      <w:pPr>
        <w:tabs>
          <w:tab w:val="left" w:pos="567"/>
        </w:tabs>
        <w:spacing w:line="276" w:lineRule="auto"/>
        <w:ind w:right="-2" w:firstLine="567"/>
      </w:pPr>
      <w:r w:rsidRPr="0075223D">
        <w:rPr>
          <w:lang w:val="en-US"/>
        </w:rPr>
        <w:t xml:space="preserve">Chile has a robust public treatment system that produces a large and high-quality dataset that includes all treatment episodes of people with public health insurance (~80% of the population) since its creation in 2010 </w:t>
      </w:r>
      <w:r w:rsidR="00830795" w:rsidRPr="0075223D">
        <w:rPr>
          <w:lang w:val="en-US"/>
        </w:rPr>
        <w:fldChar w:fldCharType="begin"/>
      </w:r>
      <w:r w:rsidR="00CA7FD0">
        <w:rPr>
          <w:lang w:val="en-US"/>
        </w:rPr>
        <w:instrText xml:space="preserve"> ADDIN ZOTERO_ITEM CSL_CITATION {"citationID":"yfxrNDRW","properties":{"formattedCitation":"(Mateo Pinones et al., 2022)","plainCitation":"(Mateo Pinones et al., 2022)","noteIndex":0},"citationItems":[{"id":"RQr8hPvX/W4e1QhVP","uris":["http://zotero.org/users/12673371/items/IC8PDGXM"],"itemData":{"id":84,"type":"article-journal","abstract":"Background\nEvidence-based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830795" w:rsidRPr="0075223D">
        <w:rPr>
          <w:lang w:val="en-US"/>
        </w:rPr>
        <w:fldChar w:fldCharType="separate"/>
      </w:r>
      <w:r w:rsidR="00830795" w:rsidRPr="0075223D">
        <w:t>(Mateo Pinones et al., 2022)</w:t>
      </w:r>
      <w:r w:rsidR="00830795" w:rsidRPr="0075223D">
        <w:rPr>
          <w:lang w:val="en-US"/>
        </w:rPr>
        <w:fldChar w:fldCharType="end"/>
      </w:r>
      <w:r w:rsidRPr="0075223D">
        <w:rPr>
          <w:lang w:val="en-US"/>
        </w:rPr>
        <w:t xml:space="preserve">. Annually, nearly 15,000 individuals are admitted for treatment. Each patient identifies the primary substance that prompted them to seek treatment, as well as any additional substances that may have contributed to their decision. However, findings from the Chilean Budgetary Office study substantiate the need for further research to determine whether treatments address characteristics such as PSU behaviors effectively in a context where 2 out of 3 reported PSU </w:t>
      </w:r>
      <w:r w:rsidR="00830795" w:rsidRPr="0075223D">
        <w:rPr>
          <w:lang w:val="en-US"/>
        </w:rPr>
        <w:fldChar w:fldCharType="begin"/>
      </w:r>
      <w:r w:rsidR="00CA7FD0">
        <w:rPr>
          <w:lang w:val="en-US"/>
        </w:rPr>
        <w:instrText xml:space="preserve"> ADDIN ZOTERO_ITEM CSL_CITATION {"citationID":"FWesxcyq","properties":{"formattedCitation":"(DIPRES, 2017)","plainCitation":"(DIPRES, 2017)","noteIndex":0},"citationItems":[{"id":"RQr8hPvX/OBM1eGXJ","uris":["http://zotero.org/users/12673371/items/R4SDDAHZ"],"itemData":{"id":344,"type":"document","title":"Informe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830795" w:rsidRPr="0075223D">
        <w:rPr>
          <w:lang w:val="en-US"/>
        </w:rPr>
        <w:fldChar w:fldCharType="separate"/>
      </w:r>
      <w:r w:rsidR="00830795" w:rsidRPr="0075223D">
        <w:t>(DIPRES, 2017)</w:t>
      </w:r>
      <w:r w:rsidR="00830795" w:rsidRPr="0075223D">
        <w:rPr>
          <w:lang w:val="en-US"/>
        </w:rPr>
        <w:fldChar w:fldCharType="end"/>
      </w:r>
      <w:r w:rsidRPr="0075223D">
        <w:rPr>
          <w:lang w:val="en-US"/>
        </w:rPr>
        <w:t xml:space="preserve">. Understanding </w:t>
      </w:r>
      <w:r w:rsidR="003C6D65" w:rsidRPr="0075223D">
        <w:rPr>
          <w:lang w:val="en-US"/>
        </w:rPr>
        <w:t xml:space="preserve">the PSU-treatment completion </w:t>
      </w:r>
      <w:r w:rsidRPr="0075223D">
        <w:rPr>
          <w:lang w:val="en-US"/>
        </w:rPr>
        <w:t xml:space="preserve">relationship could inform effective prevention and intervention strategies for people with PSU. </w:t>
      </w:r>
      <w:r w:rsidR="002F4D05" w:rsidRPr="0075223D">
        <w:rPr>
          <w:lang w:val="en-US"/>
        </w:rPr>
        <w:t>Moreover, expanding the</w:t>
      </w:r>
      <w:r w:rsidRPr="0075223D">
        <w:rPr>
          <w:lang w:val="en-US"/>
        </w:rPr>
        <w:t xml:space="preserve"> knowledge about patterns of social inequalities and vulnerabilities in access to health services can serve as input to raise awareness among society and decision-makers and as a guide for developing policies and actions to reduce health inequities. Thus, this study aims to address this gap by estimating the effect of having reported PSU on treatment completion among adult patients admitted to SUD treatment programs in Chile from 2010-2019.</w:t>
      </w:r>
      <w:r w:rsidR="00261E63" w:rsidRPr="0075223D">
        <w:br w:type="page"/>
      </w:r>
    </w:p>
    <w:p w14:paraId="5039B6D4" w14:textId="23CEB6F6" w:rsidR="00A912ED" w:rsidRPr="0075223D" w:rsidRDefault="00BD6BF3" w:rsidP="00663538">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bookmarkStart w:id="130" w:name="_Toc162862599"/>
      <w:r w:rsidRPr="0075223D">
        <w:rPr>
          <w:rFonts w:ascii="Verdana" w:hAnsi="Verdana"/>
          <w:sz w:val="20"/>
          <w:szCs w:val="20"/>
        </w:rPr>
        <w:lastRenderedPageBreak/>
        <w:t>Preliminary analysis</w:t>
      </w:r>
      <w:bookmarkEnd w:id="130"/>
    </w:p>
    <w:p w14:paraId="5A1DABED" w14:textId="56CA0AB9" w:rsidR="00372FD2" w:rsidRPr="0075223D" w:rsidRDefault="00372FD2" w:rsidP="00886CB9">
      <w:pPr>
        <w:spacing w:line="276" w:lineRule="auto"/>
        <w:ind w:firstLine="567"/>
        <w:rPr>
          <w:lang w:val="en-GB"/>
        </w:rPr>
      </w:pPr>
      <w:r w:rsidRPr="0075223D">
        <w:rPr>
          <w:lang w:val="en-GB"/>
        </w:rPr>
        <w:t xml:space="preserve">The preliminary analysis </w:t>
      </w:r>
      <w:r w:rsidR="002F45E6" w:rsidRPr="0075223D">
        <w:rPr>
          <w:lang w:val="en-GB"/>
        </w:rPr>
        <w:t>is</w:t>
      </w:r>
      <w:r w:rsidRPr="0075223D">
        <w:rPr>
          <w:lang w:val="en-GB"/>
        </w:rPr>
        <w:t xml:space="preserve"> structured with a </w:t>
      </w:r>
      <w:r w:rsidR="006646B8" w:rsidRPr="0075223D">
        <w:rPr>
          <w:lang w:val="en-GB"/>
        </w:rPr>
        <w:t xml:space="preserve">summary of covariate </w:t>
      </w:r>
      <w:r w:rsidR="00D372CF" w:rsidRPr="0075223D">
        <w:rPr>
          <w:lang w:val="en-GB"/>
        </w:rPr>
        <w:t xml:space="preserve">baseline </w:t>
      </w:r>
      <w:r w:rsidR="006646B8" w:rsidRPr="0075223D">
        <w:rPr>
          <w:lang w:val="en-GB"/>
        </w:rPr>
        <w:t xml:space="preserve">characteristics </w:t>
      </w:r>
      <w:r w:rsidR="00D372CF" w:rsidRPr="0075223D">
        <w:rPr>
          <w:lang w:val="en-GB"/>
        </w:rPr>
        <w:t xml:space="preserve">by </w:t>
      </w:r>
      <w:r w:rsidR="006646B8" w:rsidRPr="0075223D">
        <w:rPr>
          <w:lang w:val="en-GB"/>
        </w:rPr>
        <w:t>polysubstance use</w:t>
      </w:r>
      <w:r w:rsidR="00D372CF" w:rsidRPr="0075223D">
        <w:rPr>
          <w:lang w:val="en-GB"/>
        </w:rPr>
        <w:t xml:space="preserve"> status reported at </w:t>
      </w:r>
      <w:r w:rsidR="00AC4D23" w:rsidRPr="0075223D">
        <w:rPr>
          <w:lang w:val="en-GB"/>
        </w:rPr>
        <w:t>admission</w:t>
      </w:r>
      <w:r w:rsidRPr="0075223D">
        <w:rPr>
          <w:lang w:val="en-GB"/>
        </w:rPr>
        <w:t>.</w:t>
      </w:r>
      <w:r w:rsidR="006646B8" w:rsidRPr="0075223D">
        <w:rPr>
          <w:lang w:val="en-GB"/>
        </w:rPr>
        <w:t xml:space="preserve"> Then, we formatted the database and structured it by </w:t>
      </w:r>
      <w:r w:rsidR="00D372CF" w:rsidRPr="0075223D">
        <w:rPr>
          <w:lang w:val="en-GB"/>
        </w:rPr>
        <w:t xml:space="preserve">patient </w:t>
      </w:r>
      <w:r w:rsidR="006646B8" w:rsidRPr="0075223D">
        <w:rPr>
          <w:lang w:val="en-GB"/>
        </w:rPr>
        <w:t xml:space="preserve">id and treatment number. Also, we provide a summary of the trajectories of patients by polysubstance use </w:t>
      </w:r>
      <w:r w:rsidR="004244BE" w:rsidRPr="0075223D">
        <w:rPr>
          <w:lang w:val="en-GB"/>
        </w:rPr>
        <w:t xml:space="preserve">status </w:t>
      </w:r>
      <w:r w:rsidR="006646B8" w:rsidRPr="0075223D">
        <w:rPr>
          <w:lang w:val="en-GB"/>
        </w:rPr>
        <w:t>and treatment outcome. Finally, we show a glimpse of missingness patterns.</w:t>
      </w:r>
    </w:p>
    <w:p w14:paraId="362E9757" w14:textId="77777777" w:rsidR="005E5765" w:rsidRPr="0075223D" w:rsidRDefault="008773DF" w:rsidP="005E5765">
      <w:pPr>
        <w:pStyle w:val="Prrafodelista"/>
        <w:numPr>
          <w:ilvl w:val="0"/>
          <w:numId w:val="28"/>
        </w:numPr>
        <w:spacing w:line="276" w:lineRule="auto"/>
        <w:rPr>
          <w:lang w:val="en-GB"/>
        </w:rPr>
      </w:pPr>
      <w:r w:rsidRPr="0075223D">
        <w:rPr>
          <w:lang w:val="en-GB"/>
        </w:rPr>
        <w:t>Characteristics of the study sample at treatment admission</w:t>
      </w:r>
    </w:p>
    <w:p w14:paraId="24BD08A5" w14:textId="46379B3E" w:rsidR="003C6D65" w:rsidRDefault="005E5765" w:rsidP="00C57582">
      <w:pPr>
        <w:spacing w:line="276" w:lineRule="auto"/>
        <w:ind w:firstLine="567"/>
        <w:rPr>
          <w:lang w:val="en-GB"/>
        </w:rPr>
      </w:pPr>
      <w:r w:rsidRPr="0075223D">
        <w:rPr>
          <w:lang w:val="en-GB"/>
        </w:rPr>
        <w:t>After excluding records of ongoing treatments and referred outside the treatment network, 72,404 patients with 90,075 treatments were selected</w:t>
      </w:r>
      <w:r w:rsidR="00714486" w:rsidRPr="0075223D">
        <w:rPr>
          <w:lang w:val="en-GB"/>
        </w:rPr>
        <w:t xml:space="preserve">. </w:t>
      </w:r>
      <w:r w:rsidR="008A3020" w:rsidRPr="0075223D">
        <w:t xml:space="preserve">In the total sample, 82% had one treatment episode, while 1% had more than 3 treatment episodes. </w:t>
      </w:r>
      <w:r w:rsidR="008A3020">
        <w:rPr>
          <w:lang w:val="en-GB"/>
        </w:rPr>
        <w:t>W</w:t>
      </w:r>
      <w:r w:rsidR="00BD5F13">
        <w:rPr>
          <w:lang w:val="en-GB"/>
        </w:rPr>
        <w:t xml:space="preserve">e </w:t>
      </w:r>
      <w:r w:rsidR="000A202A" w:rsidRPr="0075223D">
        <w:t>focu</w:t>
      </w:r>
      <w:r w:rsidR="000A202A">
        <w:t>sed</w:t>
      </w:r>
      <w:r w:rsidR="00BD5F13" w:rsidRPr="0075223D">
        <w:t xml:space="preserve"> on patients with more than one treatment, identif</w:t>
      </w:r>
      <w:r w:rsidR="008A3020">
        <w:t>ying</w:t>
      </w:r>
      <w:r w:rsidR="00BD5F13" w:rsidRPr="0075223D">
        <w:t xml:space="preserve"> 13,317 patients and 30,988 observations.</w:t>
      </w:r>
      <w:r w:rsidR="00BD5F13" w:rsidRPr="0018795C">
        <w:rPr>
          <w:lang w:val="en-US"/>
        </w:rPr>
        <w:t xml:space="preserve"> </w:t>
      </w:r>
      <w:r w:rsidR="00714486" w:rsidRPr="0075223D">
        <w:rPr>
          <w:lang w:val="en-GB"/>
        </w:rPr>
        <w:t>Several</w:t>
      </w:r>
      <w:r w:rsidR="00454EF9" w:rsidRPr="0075223D">
        <w:rPr>
          <w:lang w:val="en-GB"/>
        </w:rPr>
        <w:t xml:space="preserve"> key differences were notable among individuals reporting polysubstance use.</w:t>
      </w:r>
    </w:p>
    <w:p w14:paraId="5DD370F9" w14:textId="24872762" w:rsidR="005E5765" w:rsidRPr="0075223D" w:rsidRDefault="003C6D65" w:rsidP="00C57582">
      <w:pPr>
        <w:spacing w:line="276" w:lineRule="auto"/>
        <w:ind w:firstLine="567"/>
        <w:rPr>
          <w:lang w:val="en-GB"/>
        </w:rPr>
      </w:pPr>
      <w:r w:rsidRPr="0075223D">
        <w:rPr>
          <w:lang w:val="en-GB"/>
        </w:rPr>
        <w:t xml:space="preserve">In terms of </w:t>
      </w:r>
      <w:r w:rsidRPr="0075223D">
        <w:rPr>
          <w:b/>
          <w:bCs/>
          <w:lang w:val="en-GB"/>
        </w:rPr>
        <w:t>demographics</w:t>
      </w:r>
      <w:r w:rsidRPr="0075223D">
        <w:rPr>
          <w:lang w:val="en-GB"/>
        </w:rPr>
        <w:t xml:space="preserve"> at baseline, people with PSU</w:t>
      </w:r>
      <w:r w:rsidR="005E5765" w:rsidRPr="0075223D">
        <w:rPr>
          <w:lang w:val="en-GB"/>
        </w:rPr>
        <w:t>,</w:t>
      </w:r>
      <w:r w:rsidRPr="0075223D">
        <w:rPr>
          <w:lang w:val="en-GB"/>
        </w:rPr>
        <w:t xml:space="preserve"> </w:t>
      </w:r>
      <w:r w:rsidR="0059331A" w:rsidRPr="0075223D">
        <w:rPr>
          <w:lang w:val="en-GB"/>
        </w:rPr>
        <w:t xml:space="preserve">when compared to people </w:t>
      </w:r>
      <w:r w:rsidR="005E5765" w:rsidRPr="0075223D">
        <w:rPr>
          <w:lang w:val="en-GB"/>
        </w:rPr>
        <w:t>who</w:t>
      </w:r>
      <w:r w:rsidR="0059331A" w:rsidRPr="0075223D">
        <w:rPr>
          <w:lang w:val="en-GB"/>
        </w:rPr>
        <w:t xml:space="preserve"> report single substance use </w:t>
      </w:r>
      <w:r w:rsidRPr="0075223D">
        <w:rPr>
          <w:lang w:val="en-GB"/>
        </w:rPr>
        <w:t>had their first admission to treatment earlier in life</w:t>
      </w:r>
      <w:r w:rsidR="0018795C" w:rsidRPr="0075223D">
        <w:rPr>
          <w:lang w:val="en-GB"/>
        </w:rPr>
        <w:t>. Also,</w:t>
      </w:r>
      <w:r w:rsidRPr="0075223D">
        <w:rPr>
          <w:lang w:val="en-GB"/>
        </w:rPr>
        <w:t xml:space="preserve"> a higher percentage </w:t>
      </w:r>
      <w:r w:rsidR="0059331A" w:rsidRPr="0075223D">
        <w:rPr>
          <w:lang w:val="en-GB"/>
        </w:rPr>
        <w:t xml:space="preserve">of them </w:t>
      </w:r>
      <w:r w:rsidRPr="0075223D">
        <w:rPr>
          <w:lang w:val="en-GB"/>
        </w:rPr>
        <w:t>were unemployed</w:t>
      </w:r>
      <w:r w:rsidR="0059331A" w:rsidRPr="0075223D">
        <w:rPr>
          <w:lang w:val="en-GB"/>
        </w:rPr>
        <w:t>.</w:t>
      </w:r>
      <w:r w:rsidR="0018795C">
        <w:rPr>
          <w:lang w:val="en-GB"/>
        </w:rPr>
        <w:t xml:space="preserve"> </w:t>
      </w:r>
      <w:r w:rsidR="005E5765" w:rsidRPr="0075223D">
        <w:rPr>
          <w:lang w:val="en-GB"/>
        </w:rPr>
        <w:t>Regarding</w:t>
      </w:r>
      <w:r w:rsidR="0059331A" w:rsidRPr="0075223D">
        <w:rPr>
          <w:lang w:val="en-GB"/>
        </w:rPr>
        <w:t xml:space="preserve"> of </w:t>
      </w:r>
      <w:r w:rsidR="0059331A" w:rsidRPr="0075223D">
        <w:rPr>
          <w:b/>
          <w:bCs/>
          <w:lang w:val="en-GB"/>
        </w:rPr>
        <w:t>substance use</w:t>
      </w:r>
      <w:r w:rsidR="005E5765" w:rsidRPr="0075223D">
        <w:rPr>
          <w:lang w:val="en-GB"/>
        </w:rPr>
        <w:t xml:space="preserve"> at baseline</w:t>
      </w:r>
      <w:r w:rsidR="0059331A" w:rsidRPr="0075223D">
        <w:rPr>
          <w:lang w:val="en-GB"/>
        </w:rPr>
        <w:t xml:space="preserve">, people with PSU when compared to people </w:t>
      </w:r>
      <w:r w:rsidR="005E5765" w:rsidRPr="0075223D">
        <w:rPr>
          <w:lang w:val="en-GB"/>
        </w:rPr>
        <w:t>who</w:t>
      </w:r>
      <w:r w:rsidR="0059331A" w:rsidRPr="0075223D">
        <w:rPr>
          <w:lang w:val="en-GB"/>
        </w:rPr>
        <w:t xml:space="preserve"> report single substance use: </w:t>
      </w:r>
      <w:r w:rsidR="0018795C">
        <w:rPr>
          <w:lang w:val="en-GB"/>
        </w:rPr>
        <w:t>we</w:t>
      </w:r>
      <w:r w:rsidR="0059331A" w:rsidRPr="0075223D">
        <w:rPr>
          <w:lang w:val="en-GB"/>
        </w:rPr>
        <w:t>re more likely to report using cocaine paste and hydrochloride cocaine instead of alcohol as the primary substance that led them to treatment. In terms of the type of initiation substance, fewer started with alcohol, while more began with marijuana.</w:t>
      </w:r>
      <w:r w:rsidR="0018795C">
        <w:rPr>
          <w:lang w:val="en-GB"/>
        </w:rPr>
        <w:t xml:space="preserve"> </w:t>
      </w:r>
      <w:r w:rsidR="005E5765" w:rsidRPr="0075223D">
        <w:rPr>
          <w:lang w:val="en-GB"/>
        </w:rPr>
        <w:t>In terms of</w:t>
      </w:r>
      <w:r w:rsidR="0059331A" w:rsidRPr="0075223D">
        <w:rPr>
          <w:lang w:val="en-GB"/>
        </w:rPr>
        <w:t xml:space="preserve"> other </w:t>
      </w:r>
      <w:r w:rsidR="0059331A" w:rsidRPr="0075223D">
        <w:rPr>
          <w:b/>
          <w:bCs/>
          <w:lang w:val="en-GB"/>
        </w:rPr>
        <w:t>health</w:t>
      </w:r>
      <w:r w:rsidR="0059331A" w:rsidRPr="0075223D">
        <w:rPr>
          <w:lang w:val="en-GB"/>
        </w:rPr>
        <w:t xml:space="preserve"> information</w:t>
      </w:r>
      <w:r w:rsidR="005E5765" w:rsidRPr="0075223D">
        <w:rPr>
          <w:lang w:val="en-GB"/>
        </w:rPr>
        <w:t xml:space="preserve"> at baseline</w:t>
      </w:r>
      <w:r w:rsidR="0059331A" w:rsidRPr="0075223D">
        <w:rPr>
          <w:lang w:val="en-GB"/>
        </w:rPr>
        <w:t>, severe biopsychosocial compromise was more frequent among people with PSU (See Table 1).</w:t>
      </w:r>
    </w:p>
    <w:p w14:paraId="79FA84A4" w14:textId="29676BEF" w:rsidR="00AC4D23" w:rsidRPr="0075223D" w:rsidRDefault="008773DF" w:rsidP="00310331">
      <w:pPr>
        <w:pStyle w:val="Prrafodelista"/>
        <w:numPr>
          <w:ilvl w:val="0"/>
          <w:numId w:val="28"/>
        </w:numPr>
        <w:spacing w:line="276" w:lineRule="auto"/>
      </w:pPr>
      <w:r w:rsidRPr="0075223D">
        <w:t>Treatment history</w:t>
      </w:r>
    </w:p>
    <w:p w14:paraId="4208E568" w14:textId="45AB8EFA" w:rsidR="00DA3B40" w:rsidRDefault="008A3020" w:rsidP="00C57582">
      <w:pPr>
        <w:spacing w:line="276" w:lineRule="auto"/>
        <w:ind w:firstLine="567"/>
      </w:pPr>
      <w:r w:rsidRPr="0075223D">
        <w:t xml:space="preserve">Interestingly, among patients with only one treatment, 72% reported PSU. However, when examining patients with multiple treatment episodes, between 80% and 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and more, respectively, correspond to noncompletion status. </w:t>
      </w:r>
      <w:r w:rsidR="009E1ACA" w:rsidRPr="0075223D">
        <w:t xml:space="preserve">According to Figure </w:t>
      </w:r>
      <w:r w:rsidR="006F399C">
        <w:t>2</w:t>
      </w:r>
      <w:r w:rsidR="009E1ACA" w:rsidRPr="0075223D">
        <w:t xml:space="preserve">, </w:t>
      </w:r>
      <w:r w:rsidR="0023633B" w:rsidRPr="0075223D">
        <w:t>when</w:t>
      </w:r>
      <w:r w:rsidR="009E1ACA" w:rsidRPr="0075223D">
        <w:t xml:space="preserve"> consider</w:t>
      </w:r>
      <w:r w:rsidR="0023633B" w:rsidRPr="0075223D">
        <w:t>ing</w:t>
      </w:r>
      <w:r w:rsidR="009E1ACA" w:rsidRPr="0075223D">
        <w:t xml:space="preserve"> a bin width of 2% of the gap between treatments, </w:t>
      </w:r>
      <w:r w:rsidR="00784BFA" w:rsidRPr="0075223D">
        <w:t xml:space="preserve">the proportion of patients with </w:t>
      </w:r>
      <w:r w:rsidR="00BB415E" w:rsidRPr="0075223D">
        <w:t xml:space="preserve">two or more </w:t>
      </w:r>
      <w:r w:rsidR="00784BFA" w:rsidRPr="0075223D">
        <w:t>admission</w:t>
      </w:r>
      <w:r w:rsidR="00BB415E" w:rsidRPr="0075223D">
        <w:t>s</w:t>
      </w:r>
      <w:r w:rsidR="00784BFA" w:rsidRPr="0075223D">
        <w:t xml:space="preserve"> was 0.</w:t>
      </w:r>
      <w:r w:rsidR="0098434D">
        <w:t>33</w:t>
      </w:r>
      <w:r w:rsidR="00784BFA" w:rsidRPr="0075223D">
        <w:t xml:space="preserve">, </w:t>
      </w:r>
      <w:r w:rsidR="00BB415E" w:rsidRPr="0075223D">
        <w:t>de</w:t>
      </w:r>
      <w:r w:rsidR="0023633B" w:rsidRPr="0075223D">
        <w:t>creasing to a proportion of 0.0</w:t>
      </w:r>
      <w:r w:rsidR="0098434D">
        <w:t>4</w:t>
      </w:r>
      <w:r w:rsidR="0023633B" w:rsidRPr="0075223D">
        <w:t xml:space="preserve"> </w:t>
      </w:r>
      <w:r w:rsidR="00BB415E" w:rsidRPr="0075223D">
        <w:t>when considering</w:t>
      </w:r>
      <w:r w:rsidR="0023633B" w:rsidRPr="0075223D">
        <w:t xml:space="preserve"> </w:t>
      </w:r>
      <w:r w:rsidR="00784BFA" w:rsidRPr="0075223D">
        <w:t>a bin width of 6%</w:t>
      </w:r>
      <w:r w:rsidR="009E1ACA" w:rsidRPr="0075223D">
        <w:t>.</w:t>
      </w:r>
      <w:r w:rsidR="008948E7" w:rsidRPr="0075223D">
        <w:t xml:space="preserve"> </w:t>
      </w:r>
      <w:r w:rsidR="00E71A99" w:rsidRPr="0075223D">
        <w:t>An AUC of 0</w:t>
      </w:r>
      <w:r w:rsidR="0098434D">
        <w:t>.21</w:t>
      </w:r>
      <w:r w:rsidR="00E71A99" w:rsidRPr="0075223D">
        <w:t xml:space="preserve"> (log-transformed= </w:t>
      </w:r>
      <w:r w:rsidR="00F55E67">
        <w:t>80</w:t>
      </w:r>
      <w:r w:rsidR="00E71A99" w:rsidRPr="0075223D">
        <w:t xml:space="preserve">) </w:t>
      </w:r>
      <w:r w:rsidR="008948E7" w:rsidRPr="0075223D">
        <w:t xml:space="preserve">suggest </w:t>
      </w:r>
      <w:r w:rsidR="0023633B" w:rsidRPr="0075223D">
        <w:t>there is likely a</w:t>
      </w:r>
      <w:r w:rsidR="008948E7" w:rsidRPr="0075223D">
        <w:t xml:space="preserve"> counting process behind visits rather than perfect</w:t>
      </w:r>
      <w:r w:rsidR="006D4DEC" w:rsidRPr="0075223D">
        <w:t>ly</w:t>
      </w:r>
      <w:r w:rsidR="008948E7" w:rsidRPr="0075223D">
        <w:t xml:space="preserve"> repeated and thus regular measures</w:t>
      </w:r>
      <w:r w:rsidR="009C1122">
        <w:t xml:space="preserve">. </w:t>
      </w:r>
      <w:r w:rsidR="006D4DEC" w:rsidRPr="0075223D">
        <w:t>Therefore</w:t>
      </w:r>
      <w:r w:rsidR="008948E7" w:rsidRPr="0075223D">
        <w:t xml:space="preserve">, it seems reasonable to conduct an analysis </w:t>
      </w:r>
      <w:r w:rsidR="00A41501" w:rsidRPr="0075223D">
        <w:t xml:space="preserve">to measure the association between reported PSU and dropouts </w:t>
      </w:r>
      <w:r w:rsidR="008948E7" w:rsidRPr="0075223D">
        <w:t>that consider</w:t>
      </w:r>
      <w:r w:rsidR="006D4DEC" w:rsidRPr="0075223D">
        <w:t>s</w:t>
      </w:r>
      <w:r w:rsidR="008948E7" w:rsidRPr="0075223D">
        <w:t xml:space="preserve"> irregularity in observations and an extent of informative assessment times, conditional on </w:t>
      </w:r>
      <w:r w:rsidR="005C350D" w:rsidRPr="0075223D">
        <w:t>several</w:t>
      </w:r>
      <w:r w:rsidR="008948E7" w:rsidRPr="0075223D">
        <w:t xml:space="preserve"> covariates, including past observed outcomes, past assessment history, and baseline covariates</w:t>
      </w:r>
      <w:r w:rsidR="005D7F62" w:rsidRPr="0075223D">
        <w:t xml:space="preserve"> </w:t>
      </w:r>
      <w:r w:rsidR="00830795" w:rsidRPr="0075223D">
        <w:fldChar w:fldCharType="begin"/>
      </w:r>
      <w:r w:rsidR="00CA7FD0">
        <w:instrText xml:space="preserve"> ADDIN ZOTERO_ITEM CSL_CITATION {"citationID":"1GNH0w7r","properties":{"formattedCitation":"(Lokku et al., 2020)","plainCitation":"(Lokku et al., 2020)","noteIndex":0},"citationItems":[{"id":"RQr8hPvX/GLYjuAqk","uris":["http://zotero.org/users/12673371/items/5VTQWERS"],"itemData":{"id":622,"type":"article-journal","abstract":"Observational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830795" w:rsidRPr="0075223D">
        <w:fldChar w:fldCharType="separate"/>
      </w:r>
      <w:r w:rsidR="00830795" w:rsidRPr="0075223D">
        <w:t>(Lokku et al., 2020)</w:t>
      </w:r>
      <w:r w:rsidR="00830795" w:rsidRPr="0075223D">
        <w:fldChar w:fldCharType="end"/>
      </w:r>
      <w:r w:rsidR="008948E7" w:rsidRPr="0075223D">
        <w:t>.</w:t>
      </w:r>
    </w:p>
    <w:p w14:paraId="0E762E95" w14:textId="4411AAF1" w:rsidR="006D1784" w:rsidRPr="0075223D" w:rsidRDefault="00B659EB" w:rsidP="00C57582">
      <w:pPr>
        <w:spacing w:line="276" w:lineRule="auto"/>
        <w:ind w:firstLine="567"/>
      </w:pPr>
      <w:r w:rsidRPr="00B659EB">
        <w:t>A higher incidence of noncompletion was observed in patients who reported PSU at admission, without the need to distinguish whether it was the first event or occurred later during the study period</w:t>
      </w:r>
      <w:r>
        <w:t xml:space="preserve"> </w:t>
      </w:r>
      <w:r w:rsidR="006D1784">
        <w:t>(See Table 2).</w:t>
      </w:r>
    </w:p>
    <w:p w14:paraId="7FE0DFE5" w14:textId="1B41C17E" w:rsidR="00BE2802" w:rsidRPr="0075223D" w:rsidRDefault="00CA4553" w:rsidP="00BE2802">
      <w:pPr>
        <w:pStyle w:val="Prrafodelista"/>
        <w:numPr>
          <w:ilvl w:val="0"/>
          <w:numId w:val="28"/>
        </w:numPr>
        <w:spacing w:line="276" w:lineRule="auto"/>
        <w:jc w:val="left"/>
      </w:pPr>
      <w:r w:rsidRPr="0075223D">
        <w:t>Modelling of the observation process</w:t>
      </w:r>
    </w:p>
    <w:p w14:paraId="10520260" w14:textId="5FAABD32" w:rsidR="001A6372" w:rsidRPr="0075223D" w:rsidRDefault="00577EBC" w:rsidP="00C57582">
      <w:pPr>
        <w:spacing w:line="276" w:lineRule="auto"/>
        <w:ind w:right="-2" w:firstLine="567"/>
      </w:pPr>
      <w:r w:rsidRPr="000A202A">
        <w:t>W</w:t>
      </w:r>
      <w:r w:rsidR="00812040" w:rsidRPr="000A202A">
        <w:t xml:space="preserve">e </w:t>
      </w:r>
      <w:r w:rsidR="00A41501" w:rsidRPr="000A202A">
        <w:t>analysed the</w:t>
      </w:r>
      <w:r w:rsidR="00812040" w:rsidRPr="000A202A">
        <w:t xml:space="preserve"> visiting process</w:t>
      </w:r>
      <w:r w:rsidR="00A41501" w:rsidRPr="000A202A">
        <w:t xml:space="preserve"> of the patients readmitted to treatment as a function of several predictors</w:t>
      </w:r>
      <w:r w:rsidR="00A544AD" w:rsidRPr="000A202A">
        <w:t>.</w:t>
      </w:r>
      <w:r w:rsidR="00A41501" w:rsidRPr="000A202A">
        <w:t xml:space="preserve"> The intensity model identifies several significant </w:t>
      </w:r>
      <w:r w:rsidR="00235A22" w:rsidRPr="000A202A">
        <w:t>factors</w:t>
      </w:r>
      <w:r w:rsidR="00A41501" w:rsidRPr="000A202A">
        <w:t xml:space="preserve"> of treatment visits. </w:t>
      </w:r>
      <w:r w:rsidR="00235A22" w:rsidRPr="000A202A">
        <w:t xml:space="preserve">Previous </w:t>
      </w:r>
      <w:r w:rsidR="00A41501" w:rsidRPr="000A202A">
        <w:t xml:space="preserve">treatment </w:t>
      </w:r>
      <w:r w:rsidR="00235A22" w:rsidRPr="000A202A">
        <w:t>dropout or misspelling (HR[Hazard ratio]= 1.17, 95% CI 1.13, 1.21)</w:t>
      </w:r>
      <w:r w:rsidR="00A41501" w:rsidRPr="000A202A">
        <w:t>, severe biopsychosocial compromise</w:t>
      </w:r>
      <w:r w:rsidR="00235A22" w:rsidRPr="000A202A">
        <w:t xml:space="preserve"> diagnosed in the previous treatment (HR= 1.06 95%CI 1.03, 1.10)</w:t>
      </w:r>
      <w:r w:rsidR="00A41501" w:rsidRPr="000A202A">
        <w:t>,</w:t>
      </w:r>
      <w:r w:rsidR="00235A22" w:rsidRPr="000A202A">
        <w:t xml:space="preserve"> less than 90 days in the previous treatment (HR= 1.11 95%CI 1.06, 1.16) a reduction of one unit in the log scale of days in the previous treatment (HR= 0.98 95%CI 0.96, 1.00)</w:t>
      </w:r>
      <w:r w:rsidR="00A41501" w:rsidRPr="000A202A">
        <w:t xml:space="preserve">, </w:t>
      </w:r>
      <w:r w:rsidR="00235A22" w:rsidRPr="000A202A">
        <w:t>a one unit increase in age at admission to the initial treatment (HR= 1.26 95%CI 1.25, 1.27)</w:t>
      </w:r>
      <w:r w:rsidR="00A41501" w:rsidRPr="000A202A">
        <w:t>,</w:t>
      </w:r>
      <w:r w:rsidR="00C24106" w:rsidRPr="000A202A">
        <w:t xml:space="preserve"> and</w:t>
      </w:r>
      <w:r w:rsidR="00A41501" w:rsidRPr="000A202A">
        <w:t xml:space="preserve"> </w:t>
      </w:r>
      <w:r w:rsidR="00235A22" w:rsidRPr="000A202A">
        <w:t xml:space="preserve">one unit increase in </w:t>
      </w:r>
      <w:r w:rsidR="00A41501" w:rsidRPr="000A202A">
        <w:t xml:space="preserve">birth year </w:t>
      </w:r>
      <w:r w:rsidR="00235A22" w:rsidRPr="000A202A">
        <w:t xml:space="preserve">(HR= 1.27 95%CI 1.26, 1.28) </w:t>
      </w:r>
      <w:r w:rsidR="00A41501" w:rsidRPr="000A202A">
        <w:t xml:space="preserve">are associated with an increased likelihood of subsequent treatment </w:t>
      </w:r>
      <w:r w:rsidR="00A41501" w:rsidRPr="000A202A">
        <w:lastRenderedPageBreak/>
        <w:t xml:space="preserve">visits. Specific </w:t>
      </w:r>
      <w:commentRangeStart w:id="131"/>
      <w:r w:rsidR="00A41501" w:rsidRPr="000A202A">
        <w:t xml:space="preserve">substances at initial diagnosis </w:t>
      </w:r>
      <w:commentRangeEnd w:id="131"/>
      <w:r w:rsidR="00C24106" w:rsidRPr="000A202A">
        <w:rPr>
          <w:rStyle w:val="Refdecomentario"/>
          <w:rFonts w:ascii="Times New Roman" w:eastAsia="Times New Roman" w:hAnsi="Times New Roman" w:cs="Times New Roman"/>
          <w:lang w:val="es-CL" w:eastAsia="es-ES_tradnl"/>
        </w:rPr>
        <w:commentReference w:id="131"/>
      </w:r>
      <w:r w:rsidR="00C24106" w:rsidRPr="000A202A">
        <w:t xml:space="preserve">such as cocaine base paste (HR= 1.17 95%CI 1.06, 1.30) and marijuana (HR= 1.17 95%CI 1.07, 1.29) (vs. </w:t>
      </w:r>
      <w:commentRangeStart w:id="132"/>
      <w:r w:rsidR="00C24106" w:rsidRPr="000A202A">
        <w:t>other</w:t>
      </w:r>
      <w:commentRangeEnd w:id="132"/>
      <w:r w:rsidR="00C24106" w:rsidRPr="000A202A">
        <w:rPr>
          <w:rStyle w:val="Refdecomentario"/>
          <w:rFonts w:ascii="Times New Roman" w:eastAsia="Times New Roman" w:hAnsi="Times New Roman" w:cs="Times New Roman"/>
          <w:lang w:val="es-CL" w:eastAsia="es-ES_tradnl"/>
        </w:rPr>
        <w:commentReference w:id="132"/>
      </w:r>
      <w:r w:rsidR="00C24106" w:rsidRPr="000A202A">
        <w:t xml:space="preserve">) </w:t>
      </w:r>
      <w:r w:rsidR="00A41501" w:rsidRPr="000A202A">
        <w:t xml:space="preserve">and </w:t>
      </w:r>
      <w:r w:rsidR="00C24106" w:rsidRPr="000A202A">
        <w:t xml:space="preserve">inactive (HR= 1.06 95%CI 1.02, 1.11) or unemployed (HR= 1.06 95%CI 1.03, 1.10) </w:t>
      </w:r>
      <w:r w:rsidR="00A41501" w:rsidRPr="000A202A">
        <w:t xml:space="preserve">occupational status </w:t>
      </w:r>
      <w:r w:rsidR="00C24106" w:rsidRPr="000A202A">
        <w:t xml:space="preserve">(vs. employed) </w:t>
      </w:r>
      <w:r w:rsidR="00A41501" w:rsidRPr="000A202A">
        <w:t xml:space="preserve">also influence the </w:t>
      </w:r>
      <w:r w:rsidR="00E54086" w:rsidRPr="000A202A">
        <w:t xml:space="preserve">time to </w:t>
      </w:r>
      <w:r w:rsidR="00A41501" w:rsidRPr="000A202A">
        <w:t>returning for treatment</w:t>
      </w:r>
      <w:r w:rsidR="00E54086" w:rsidRPr="000A202A">
        <w:t>, thus, being observed again in the database</w:t>
      </w:r>
      <w:r w:rsidR="00A41501" w:rsidRPr="000A202A">
        <w:t xml:space="preserve"> (See Table 2).</w:t>
      </w:r>
      <w:r w:rsidR="00F93652" w:rsidRPr="000A202A">
        <w:t xml:space="preserve"> </w:t>
      </w:r>
      <w:ins w:id="133" w:author="Andrés González Santa Cruz" w:date="2024-05-19T21:01:00Z" w16du:dateUtc="2024-05-20T01:01:00Z">
        <w:r w:rsidR="000A202A" w:rsidRPr="000A202A">
          <w:t xml:space="preserve">Hazard ratios of the </w:t>
        </w:r>
      </w:ins>
      <w:ins w:id="134" w:author="Andrés González Santa Cruz" w:date="2024-05-19T21:02:00Z" w16du:dateUtc="2024-05-20T01:02:00Z">
        <w:r w:rsidR="000A202A" w:rsidRPr="000A202A">
          <w:t>visit process under the different of not observable lagged scenarios are shown in Table S2, and t</w:t>
        </w:r>
      </w:ins>
      <w:ins w:id="135" w:author="Andrés González Santa Cruz" w:date="2024-05-19T20:58:00Z" w16du:dateUtc="2024-05-20T00:58:00Z">
        <w:r w:rsidR="00E53F5F" w:rsidRPr="000A202A">
          <w:t xml:space="preserve">runcated </w:t>
        </w:r>
      </w:ins>
      <w:del w:id="136" w:author="Andrés González Santa Cruz" w:date="2024-05-19T20:58:00Z" w16du:dateUtc="2024-05-20T00:58:00Z">
        <w:r w:rsidR="001A6372" w:rsidRPr="000A202A" w:rsidDel="00E53F5F">
          <w:delText>I</w:delText>
        </w:r>
      </w:del>
      <w:ins w:id="137" w:author="Andrés González Santa Cruz" w:date="2024-05-19T20:58:00Z" w16du:dateUtc="2024-05-20T00:58:00Z">
        <w:r w:rsidR="00E53F5F" w:rsidRPr="000A202A">
          <w:t>i</w:t>
        </w:r>
      </w:ins>
      <w:r w:rsidR="001A6372" w:rsidRPr="000A202A">
        <w:t xml:space="preserve">nverse intensity weights are shown in </w:t>
      </w:r>
      <w:del w:id="138" w:author="Andrés González Santa Cruz" w:date="2024-05-19T20:56:00Z" w16du:dateUtc="2024-05-20T00:56:00Z">
        <w:r w:rsidR="001A6372" w:rsidRPr="000A202A" w:rsidDel="00E53F5F">
          <w:delText xml:space="preserve">Supplemental </w:delText>
        </w:r>
      </w:del>
      <w:r w:rsidR="001A6372" w:rsidRPr="000A202A">
        <w:t xml:space="preserve">Table </w:t>
      </w:r>
      <w:ins w:id="139" w:author="Andrés González Santa Cruz" w:date="2024-05-19T20:56:00Z" w16du:dateUtc="2024-05-20T00:56:00Z">
        <w:r w:rsidR="00E53F5F" w:rsidRPr="000A202A">
          <w:t>S3</w:t>
        </w:r>
      </w:ins>
      <w:ins w:id="140" w:author="Andrés González Santa Cruz" w:date="2024-05-19T20:58:00Z" w16du:dateUtc="2024-05-20T00:58:00Z">
        <w:r w:rsidR="00E53F5F" w:rsidRPr="000A202A">
          <w:t>.</w:t>
        </w:r>
      </w:ins>
      <w:del w:id="141" w:author="Andrés González Santa Cruz" w:date="2024-05-19T20:56:00Z" w16du:dateUtc="2024-05-20T00:56:00Z">
        <w:r w:rsidR="001A6372" w:rsidRPr="000A202A" w:rsidDel="00E53F5F">
          <w:delText>1</w:delText>
        </w:r>
      </w:del>
      <w:del w:id="142" w:author="Andrés González Santa Cruz" w:date="2024-05-19T20:58:00Z" w16du:dateUtc="2024-05-20T00:58:00Z">
        <w:r w:rsidR="00F93652" w:rsidRPr="000A202A" w:rsidDel="00E53F5F">
          <w:delText xml:space="preserve"> and models by </w:delText>
        </w:r>
        <w:r w:rsidR="001A6372" w:rsidRPr="000A202A" w:rsidDel="00E53F5F">
          <w:delText>.</w:delText>
        </w:r>
      </w:del>
    </w:p>
    <w:p w14:paraId="75B1D48B" w14:textId="06BA9E70" w:rsidR="00E54086" w:rsidRDefault="00E54086" w:rsidP="00E54086">
      <w:pPr>
        <w:pStyle w:val="Prrafodelista"/>
        <w:numPr>
          <w:ilvl w:val="0"/>
          <w:numId w:val="28"/>
        </w:numPr>
        <w:spacing w:line="276" w:lineRule="auto"/>
        <w:jc w:val="left"/>
      </w:pPr>
      <w:r>
        <w:t>Marginal longitudinal association between Polysubstance use at admission and treatment outcome</w:t>
      </w:r>
    </w:p>
    <w:p w14:paraId="6FE66036" w14:textId="0D37258B" w:rsidR="00B659EB" w:rsidRDefault="00B659EB" w:rsidP="00C57582">
      <w:pPr>
        <w:ind w:firstLine="567"/>
      </w:pPr>
      <w:r>
        <w:t>According to the Table 4, we found a modest association between polysubstance use at any admission to treatment among users in intensive ambulatory settings for the general population (</w:t>
      </w:r>
      <w:proofErr w:type="gramStart"/>
      <w:r>
        <w:t>RR[</w:t>
      </w:r>
      <w:proofErr w:type="gramEnd"/>
      <w:r w:rsidRPr="00B659EB">
        <w:rPr>
          <w:i/>
          <w:iCs/>
        </w:rPr>
        <w:t>relative risk</w:t>
      </w:r>
      <w:r>
        <w:t>]= 1.04, 95% CI 1.01, 1.07). Also, t</w:t>
      </w:r>
      <w:r w:rsidRPr="00B659EB">
        <w:t>he risk is higher for residential settings</w:t>
      </w:r>
      <w:r>
        <w:t xml:space="preserve"> exclusive to women</w:t>
      </w:r>
      <w:r w:rsidRPr="00B659EB">
        <w:t>, with RR values around 1.1</w:t>
      </w:r>
      <w:r>
        <w:t>3</w:t>
      </w:r>
      <w:r w:rsidRPr="00B659EB">
        <w:t>-1.15</w:t>
      </w:r>
      <w:r>
        <w:t xml:space="preserve"> with intervals not including the null across all models and </w:t>
      </w:r>
      <w:del w:id="143" w:author="Andrés González Santa Cruz" w:date="2024-05-19T20:59:00Z" w16du:dateUtc="2024-05-20T00:59:00Z">
        <w:r w:rsidDel="000A202A">
          <w:delText xml:space="preserve">lag </w:delText>
        </w:r>
      </w:del>
      <w:r>
        <w:t>scenarios</w:t>
      </w:r>
      <w:ins w:id="144" w:author="Andrés González Santa Cruz" w:date="2024-05-19T20:59:00Z" w16du:dateUtc="2024-05-20T00:59:00Z">
        <w:r w:rsidR="000A202A">
          <w:t xml:space="preserve"> of lagged variables</w:t>
        </w:r>
      </w:ins>
      <w:r>
        <w:t>.</w:t>
      </w:r>
    </w:p>
    <w:p w14:paraId="3669B423" w14:textId="775F272E" w:rsidR="00E54086" w:rsidRDefault="00E54086" w:rsidP="00E54086">
      <w:pPr>
        <w:pStyle w:val="Prrafodelista"/>
        <w:numPr>
          <w:ilvl w:val="0"/>
          <w:numId w:val="28"/>
        </w:numPr>
        <w:spacing w:line="276" w:lineRule="auto"/>
        <w:jc w:val="left"/>
      </w:pPr>
      <w:r>
        <w:t>Sensitivity analyses</w:t>
      </w:r>
    </w:p>
    <w:p w14:paraId="28E8E110" w14:textId="78EC8AB3" w:rsidR="00B659EB" w:rsidRDefault="00E33143" w:rsidP="00886CB9">
      <w:pPr>
        <w:spacing w:line="276" w:lineRule="auto"/>
        <w:ind w:firstLine="567"/>
        <w:jc w:val="left"/>
      </w:pPr>
      <w:r>
        <w:t>The magnitude and direction of the associations presented in the main analysis remained stable</w:t>
      </w:r>
      <w:r w:rsidR="001B79DB">
        <w:t xml:space="preserve"> despite different weighting schemes and different distributions used (See Table S</w:t>
      </w:r>
      <w:ins w:id="145" w:author="Andrés González Santa Cruz" w:date="2024-05-19T20:55:00Z" w16du:dateUtc="2024-05-20T00:55:00Z">
        <w:r w:rsidR="00E53F5F">
          <w:t>4)</w:t>
        </w:r>
      </w:ins>
      <w:r w:rsidR="001B79DB">
        <w:t>.</w:t>
      </w:r>
    </w:p>
    <w:p w14:paraId="217B65AC" w14:textId="37721EC3" w:rsidR="008A4DE2" w:rsidRDefault="008A4DE2" w:rsidP="00E91325">
      <w:pPr>
        <w:jc w:val="left"/>
        <w:rPr>
          <w:szCs w:val="20"/>
        </w:rPr>
      </w:pPr>
    </w:p>
    <w:p w14:paraId="0EE4542E" w14:textId="686A34CA" w:rsidR="001B729A" w:rsidRPr="001B729A" w:rsidRDefault="00086178" w:rsidP="001B729A">
      <w:pPr>
        <w:pStyle w:val="Ttulo1"/>
        <w:numPr>
          <w:ilvl w:val="0"/>
          <w:numId w:val="11"/>
        </w:numPr>
        <w:tabs>
          <w:tab w:val="left" w:pos="567"/>
        </w:tabs>
        <w:spacing w:before="0" w:beforeAutospacing="0"/>
        <w:ind w:right="565"/>
        <w:rPr>
          <w:rFonts w:ascii="Verdana" w:hAnsi="Verdana"/>
          <w:sz w:val="20"/>
          <w:szCs w:val="20"/>
        </w:rPr>
      </w:pPr>
      <w:r>
        <w:rPr>
          <w:rFonts w:ascii="Verdana" w:hAnsi="Verdana"/>
          <w:sz w:val="20"/>
          <w:szCs w:val="20"/>
        </w:rPr>
        <w:t>Discussion</w:t>
      </w:r>
    </w:p>
    <w:p w14:paraId="52632D15" w14:textId="34299032" w:rsidR="001B729A" w:rsidRDefault="001B729A" w:rsidP="00C57582">
      <w:pPr>
        <w:ind w:firstLine="567"/>
        <w:rPr>
          <w:lang w:val="en-US"/>
        </w:rPr>
      </w:pPr>
      <w:r w:rsidRPr="001B729A">
        <w:rPr>
          <w:lang w:val="en-US"/>
        </w:rPr>
        <w:t xml:space="preserve">This study is focused on people who probably had a persistent pattern of substance use disorder rather than transient substance use disorder. These patients are characterized by repeated treatment episodes, varying periods of abstinence, and relapses leading to the resumption of moderate or problematic substance use as highlighted in the </w:t>
      </w:r>
      <w:commentRangeStart w:id="146"/>
      <w:r w:rsidRPr="001B729A">
        <w:rPr>
          <w:lang w:val="en-US"/>
        </w:rPr>
        <w:t>literature</w:t>
      </w:r>
      <w:commentRangeEnd w:id="146"/>
      <w:r>
        <w:rPr>
          <w:rStyle w:val="Refdecomentario"/>
          <w:rFonts w:ascii="Times New Roman" w:eastAsia="Times New Roman" w:hAnsi="Times New Roman" w:cs="Times New Roman"/>
          <w:lang w:val="es-CL" w:eastAsia="es-ES_tradnl"/>
        </w:rPr>
        <w:commentReference w:id="146"/>
      </w:r>
      <w:r w:rsidRPr="001B729A">
        <w:rPr>
          <w:lang w:val="en-US"/>
        </w:rPr>
        <w:t>.</w:t>
      </w:r>
      <w:r>
        <w:rPr>
          <w:lang w:val="en-US"/>
        </w:rPr>
        <w:t xml:space="preserve"> </w:t>
      </w:r>
      <w:r w:rsidR="00E54086" w:rsidRPr="00E54086">
        <w:rPr>
          <w:lang w:val="en-US"/>
        </w:rPr>
        <w:t xml:space="preserve">The results of the inverse intensity model also provide unique insights into patient characteristics associated with increased </w:t>
      </w:r>
      <w:r w:rsidR="00E54086">
        <w:rPr>
          <w:lang w:val="en-US"/>
        </w:rPr>
        <w:t>readmissions to SUD treatments</w:t>
      </w:r>
      <w:r w:rsidR="00E54086" w:rsidRPr="00E54086">
        <w:rPr>
          <w:lang w:val="en-US"/>
        </w:rPr>
        <w:t>.</w:t>
      </w:r>
      <w:r w:rsidR="00E54086">
        <w:rPr>
          <w:lang w:val="en-US"/>
        </w:rPr>
        <w:t xml:space="preserve"> </w:t>
      </w:r>
      <w:r w:rsidR="00514158" w:rsidRPr="00514158">
        <w:rPr>
          <w:lang w:val="en-US"/>
        </w:rPr>
        <w:t xml:space="preserve">Age at admission to treatment and recent birth years may suggest the presence of an age-cohort effect, where younger individuals </w:t>
      </w:r>
      <w:r w:rsidR="00514158">
        <w:rPr>
          <w:lang w:val="en-US"/>
        </w:rPr>
        <w:t>might be</w:t>
      </w:r>
      <w:r w:rsidR="00514158" w:rsidRPr="00514158">
        <w:rPr>
          <w:lang w:val="en-US"/>
        </w:rPr>
        <w:t xml:space="preserve"> less reluctant to seek subsequent treatment. Additionally, the expansion of treatment offerings, the broader reach of SENDA into more sectors and the healthcare network, or a gradual reduction in the stigma associated with returning to treatment could also contribute to this </w:t>
      </w:r>
      <w:r w:rsidR="00514158">
        <w:rPr>
          <w:lang w:val="en-US"/>
        </w:rPr>
        <w:t>pattern</w:t>
      </w:r>
      <w:r w:rsidR="00E54086">
        <w:rPr>
          <w:lang w:val="en-US"/>
        </w:rPr>
        <w:t xml:space="preserve">. </w:t>
      </w:r>
      <w:commentRangeStart w:id="147"/>
      <w:r w:rsidR="00E54086">
        <w:rPr>
          <w:lang w:val="en-US"/>
        </w:rPr>
        <w:t>I</w:t>
      </w:r>
      <w:r w:rsidR="00E54086" w:rsidRPr="00235A22">
        <w:rPr>
          <w:lang w:val="en-US"/>
        </w:rPr>
        <w:t>nterestingly</w:t>
      </w:r>
      <w:commentRangeEnd w:id="147"/>
      <w:r w:rsidR="006039C6">
        <w:rPr>
          <w:rStyle w:val="Refdecomentario"/>
          <w:rFonts w:ascii="Times New Roman" w:eastAsia="Times New Roman" w:hAnsi="Times New Roman" w:cs="Times New Roman"/>
          <w:lang w:val="es-CL" w:eastAsia="es-ES_tradnl"/>
        </w:rPr>
        <w:commentReference w:id="147"/>
      </w:r>
      <w:r w:rsidR="00E54086" w:rsidRPr="00235A22">
        <w:rPr>
          <w:lang w:val="en-US"/>
        </w:rPr>
        <w:t xml:space="preserve">, some factors that </w:t>
      </w:r>
      <w:r w:rsidR="00E54086">
        <w:rPr>
          <w:lang w:val="en-US"/>
        </w:rPr>
        <w:t>we</w:t>
      </w:r>
      <w:r w:rsidR="00E54086" w:rsidRPr="00235A22">
        <w:rPr>
          <w:lang w:val="en-US"/>
        </w:rPr>
        <w:t xml:space="preserve"> expect</w:t>
      </w:r>
      <w:r w:rsidR="00E54086">
        <w:rPr>
          <w:lang w:val="en-US"/>
        </w:rPr>
        <w:t>ed</w:t>
      </w:r>
      <w:r w:rsidR="00E54086" w:rsidRPr="00235A22">
        <w:rPr>
          <w:lang w:val="en-US"/>
        </w:rPr>
        <w:t xml:space="preserve"> to be influential, such as polysubstance use</w:t>
      </w:r>
      <w:r w:rsidR="00E54086">
        <w:rPr>
          <w:lang w:val="en-US"/>
        </w:rPr>
        <w:t xml:space="preserve"> in the previous treatment</w:t>
      </w:r>
      <w:r w:rsidR="00E54086" w:rsidRPr="00235A22">
        <w:rPr>
          <w:lang w:val="en-US"/>
        </w:rPr>
        <w:t xml:space="preserve">, specific primary substances at admission, and certain psychiatric </w:t>
      </w:r>
      <w:commentRangeStart w:id="148"/>
      <w:r w:rsidR="00E54086" w:rsidRPr="00235A22">
        <w:rPr>
          <w:lang w:val="en-US"/>
        </w:rPr>
        <w:t>comorbidities</w:t>
      </w:r>
      <w:commentRangeEnd w:id="148"/>
      <w:r w:rsidR="006039C6">
        <w:rPr>
          <w:rStyle w:val="Refdecomentario"/>
          <w:rFonts w:ascii="Times New Roman" w:eastAsia="Times New Roman" w:hAnsi="Times New Roman" w:cs="Times New Roman"/>
          <w:lang w:val="es-CL" w:eastAsia="es-ES_tradnl"/>
        </w:rPr>
        <w:commentReference w:id="148"/>
      </w:r>
      <w:r w:rsidR="00E54086" w:rsidRPr="00235A22">
        <w:rPr>
          <w:lang w:val="en-US"/>
        </w:rPr>
        <w:t>, were found to have negligible or non-significant effects on treatment return rates.</w:t>
      </w:r>
      <w:r w:rsidR="00E54086">
        <w:rPr>
          <w:lang w:val="en-US"/>
        </w:rPr>
        <w:t xml:space="preserve"> Possibly, the fact of being adjusting for biopsychosocial compromise and stratifying by treatment settings would have capture</w:t>
      </w:r>
      <w:ins w:id="149" w:author="Andrés González Santa Cruz" w:date="2024-05-19T21:17:00Z" w16du:dateUtc="2024-05-20T01:17:00Z">
        <w:r w:rsidR="005479B7">
          <w:rPr>
            <w:lang w:val="en-US"/>
          </w:rPr>
          <w:t>d</w:t>
        </w:r>
      </w:ins>
      <w:r w:rsidR="00E54086">
        <w:rPr>
          <w:lang w:val="en-US"/>
        </w:rPr>
        <w:t xml:space="preserve"> the variability attributed to these </w:t>
      </w:r>
      <w:commentRangeStart w:id="150"/>
      <w:r w:rsidR="00E54086">
        <w:rPr>
          <w:lang w:val="en-US"/>
        </w:rPr>
        <w:t>factors</w:t>
      </w:r>
      <w:commentRangeEnd w:id="150"/>
      <w:r w:rsidR="00CB3E29">
        <w:rPr>
          <w:rStyle w:val="Refdecomentario"/>
          <w:rFonts w:ascii="Times New Roman" w:eastAsia="Times New Roman" w:hAnsi="Times New Roman" w:cs="Times New Roman"/>
          <w:lang w:val="es-CL" w:eastAsia="es-ES_tradnl"/>
        </w:rPr>
        <w:commentReference w:id="150"/>
      </w:r>
      <w:r w:rsidR="00E54086">
        <w:rPr>
          <w:lang w:val="en-US"/>
        </w:rPr>
        <w:t>.</w:t>
      </w:r>
      <w:del w:id="151" w:author="Andrés González Santa Cruz" w:date="2024-05-22T13:08:00Z" w16du:dateUtc="2024-05-22T17:08:00Z">
        <w:r w:rsidDel="00746E5E">
          <w:rPr>
            <w:lang w:val="en-US"/>
          </w:rPr>
          <w:delText xml:space="preserve"> </w:delText>
        </w:r>
      </w:del>
    </w:p>
    <w:p w14:paraId="28133CE0" w14:textId="77777777" w:rsidR="001B729A" w:rsidRDefault="001B729A" w:rsidP="001B729A">
      <w:pPr>
        <w:ind w:firstLine="720"/>
        <w:rPr>
          <w:lang w:val="en-US"/>
        </w:rPr>
      </w:pPr>
      <w:r>
        <w:rPr>
          <w:lang w:val="en-US"/>
        </w:rPr>
        <w:t xml:space="preserve">Nonetheless, regarding the association between polysubstance use reported at admission and treatment noncompletion is restricted to </w:t>
      </w:r>
      <w:r w:rsidRPr="001B729A">
        <w:rPr>
          <w:lang w:val="en-US"/>
        </w:rPr>
        <w:t>intensive ambulator</w:t>
      </w:r>
      <w:r>
        <w:rPr>
          <w:lang w:val="en-US"/>
        </w:rPr>
        <w:t>y settings and women-specific residential treatments.</w:t>
      </w:r>
    </w:p>
    <w:p w14:paraId="5F61380A" w14:textId="0513193F" w:rsidR="00181667" w:rsidRDefault="00181667" w:rsidP="001B729A">
      <w:pPr>
        <w:ind w:firstLine="720"/>
        <w:rPr>
          <w:lang w:val="en-US"/>
        </w:rPr>
      </w:pPr>
      <w:r>
        <w:rPr>
          <w:lang w:val="en-US"/>
        </w:rPr>
        <w:t>Limitations</w:t>
      </w:r>
    </w:p>
    <w:p w14:paraId="142D9BED" w14:textId="700CE725" w:rsidR="00CC323A" w:rsidRDefault="00181667" w:rsidP="00886CB9">
      <w:pPr>
        <w:ind w:firstLine="567"/>
        <w:rPr>
          <w:lang w:val="en-US"/>
        </w:rPr>
      </w:pPr>
      <w:r>
        <w:rPr>
          <w:lang w:val="en-US"/>
        </w:rPr>
        <w:t xml:space="preserve">The proportional intensity model to calculate IIWs </w:t>
      </w:r>
      <w:r w:rsidRPr="00181667">
        <w:rPr>
          <w:lang w:val="en-US"/>
        </w:rPr>
        <w:t xml:space="preserve">impose a proportional hazards assumption on the assessment intensity. However, this assumption is debatable. </w:t>
      </w:r>
      <w:r>
        <w:rPr>
          <w:lang w:val="en-US"/>
        </w:rPr>
        <w:t xml:space="preserve">Diagnosing proportionality in a Cox model with </w:t>
      </w:r>
      <w:r w:rsidR="000B31A1">
        <w:rPr>
          <w:lang w:val="en-US"/>
        </w:rPr>
        <w:t xml:space="preserve">recurrent events </w:t>
      </w:r>
      <w:r>
        <w:rPr>
          <w:lang w:val="en-US"/>
        </w:rPr>
        <w:t xml:space="preserve">can be quite challenging and statistical tools might not account for changes in the intensities due to </w:t>
      </w:r>
      <w:r w:rsidR="00C4381B">
        <w:rPr>
          <w:lang w:val="en-US"/>
        </w:rPr>
        <w:t xml:space="preserve">possible changes in baseline risks for cumulative events, making </w:t>
      </w:r>
      <w:r w:rsidR="004822D9">
        <w:rPr>
          <w:lang w:val="en-US"/>
        </w:rPr>
        <w:t>interpretations of nonproportionality</w:t>
      </w:r>
      <w:r w:rsidR="00C4381B">
        <w:rPr>
          <w:lang w:val="en-US"/>
        </w:rPr>
        <w:t xml:space="preserve"> less straightforward</w:t>
      </w:r>
      <w:commentRangeStart w:id="152"/>
      <w:r>
        <w:rPr>
          <w:lang w:val="en-US"/>
        </w:rPr>
        <w:t>.</w:t>
      </w:r>
      <w:commentRangeEnd w:id="152"/>
      <w:r w:rsidR="004822D9">
        <w:rPr>
          <w:rStyle w:val="Refdecomentario"/>
          <w:rFonts w:ascii="Times New Roman" w:eastAsia="Times New Roman" w:hAnsi="Times New Roman" w:cs="Times New Roman"/>
          <w:lang w:val="es-CL" w:eastAsia="es-ES_tradnl"/>
        </w:rPr>
        <w:commentReference w:id="152"/>
      </w:r>
      <w:r>
        <w:rPr>
          <w:lang w:val="en-US"/>
        </w:rPr>
        <w:t xml:space="preserve"> </w:t>
      </w:r>
      <w:ins w:id="153" w:author="Andrés González Santa Cruz" w:date="2024-05-20T20:46:00Z" w16du:dateUtc="2024-05-21T00:46:00Z">
        <w:r w:rsidR="00A468AF">
          <w:t>Theoretically</w:t>
        </w:r>
        <w:r w:rsidR="00A468AF" w:rsidRPr="00A468AF">
          <w:t xml:space="preserve">, in studies </w:t>
        </w:r>
        <w:r w:rsidR="00A468AF">
          <w:t xml:space="preserve">conducted in </w:t>
        </w:r>
        <w:r w:rsidR="00A468AF" w:rsidRPr="00A468AF">
          <w:t>other fields (e.g., cognitive impairment)</w:t>
        </w:r>
        <w:r w:rsidR="00A468AF">
          <w:t xml:space="preserve"> through simulations</w:t>
        </w:r>
        <w:r w:rsidR="00A468AF" w:rsidRPr="00A468AF">
          <w:t xml:space="preserve">, there were no differences in accuracy despite misspecifications of survival </w:t>
        </w:r>
        <w:commentRangeStart w:id="154"/>
        <w:r w:rsidR="00A468AF" w:rsidRPr="00A468AF">
          <w:t>distributions</w:t>
        </w:r>
        <w:commentRangeEnd w:id="154"/>
        <w:r w:rsidR="00A468AF">
          <w:rPr>
            <w:rStyle w:val="Refdecomentario"/>
            <w:rFonts w:ascii="Times New Roman" w:eastAsia="Times New Roman" w:hAnsi="Times New Roman" w:cs="Times New Roman"/>
            <w:lang w:val="es-CL" w:eastAsia="es-ES_tradnl"/>
          </w:rPr>
          <w:commentReference w:id="154"/>
        </w:r>
        <w:r w:rsidR="00A468AF" w:rsidRPr="00A468AF">
          <w:t>.</w:t>
        </w:r>
        <w:r w:rsidR="00A468AF">
          <w:t xml:space="preserve"> </w:t>
        </w:r>
      </w:ins>
      <w:r w:rsidR="004822D9">
        <w:rPr>
          <w:lang w:val="en-US"/>
        </w:rPr>
        <w:t>T</w:t>
      </w:r>
      <w:r w:rsidRPr="00181667">
        <w:rPr>
          <w:lang w:val="en-US"/>
        </w:rPr>
        <w:t>est</w:t>
      </w:r>
      <w:r w:rsidR="004822D9">
        <w:rPr>
          <w:lang w:val="en-US"/>
        </w:rPr>
        <w:t xml:space="preserve">s such </w:t>
      </w:r>
      <w:r w:rsidR="00CC323A">
        <w:rPr>
          <w:lang w:val="en-US"/>
        </w:rPr>
        <w:t>based on</w:t>
      </w:r>
      <w:r w:rsidRPr="00181667">
        <w:rPr>
          <w:lang w:val="en-US"/>
        </w:rPr>
        <w:t xml:space="preserve"> Schoenfeld residuals </w:t>
      </w:r>
      <w:r w:rsidR="00CC323A">
        <w:rPr>
          <w:lang w:val="en-US"/>
        </w:rPr>
        <w:t>are</w:t>
      </w:r>
      <w:r w:rsidRPr="00181667">
        <w:rPr>
          <w:lang w:val="en-US"/>
        </w:rPr>
        <w:t xml:space="preserve"> insufficient as</w:t>
      </w:r>
      <w:r w:rsidR="00CC323A">
        <w:rPr>
          <w:lang w:val="en-US"/>
        </w:rPr>
        <w:t xml:space="preserve"> contrasting for the null for changes as a function of time</w:t>
      </w:r>
      <w:r w:rsidR="00EB4460">
        <w:rPr>
          <w:lang w:val="en-US"/>
        </w:rPr>
        <w:t xml:space="preserve"> may not be fully indicative of nonproportional </w:t>
      </w:r>
      <w:commentRangeStart w:id="155"/>
      <w:r w:rsidR="00EB4460">
        <w:rPr>
          <w:lang w:val="en-US"/>
        </w:rPr>
        <w:t>hazards</w:t>
      </w:r>
      <w:commentRangeEnd w:id="155"/>
      <w:r w:rsidR="00EB4460">
        <w:rPr>
          <w:rStyle w:val="Refdecomentario"/>
          <w:rFonts w:ascii="Times New Roman" w:eastAsia="Times New Roman" w:hAnsi="Times New Roman" w:cs="Times New Roman"/>
          <w:lang w:val="es-CL" w:eastAsia="es-ES_tradnl"/>
        </w:rPr>
        <w:commentReference w:id="155"/>
      </w:r>
      <w:r w:rsidRPr="00181667">
        <w:rPr>
          <w:lang w:val="en-US"/>
        </w:rPr>
        <w:t>. Even small violations can become apparent due to the sample size</w:t>
      </w:r>
      <w:commentRangeStart w:id="156"/>
      <w:r w:rsidR="004822D9">
        <w:rPr>
          <w:lang w:val="en-US"/>
        </w:rPr>
        <w:t>.</w:t>
      </w:r>
      <w:commentRangeEnd w:id="156"/>
      <w:r w:rsidR="004822D9">
        <w:rPr>
          <w:rStyle w:val="Refdecomentario"/>
          <w:rFonts w:ascii="Times New Roman" w:eastAsia="Times New Roman" w:hAnsi="Times New Roman" w:cs="Times New Roman"/>
          <w:lang w:val="es-CL" w:eastAsia="es-ES_tradnl"/>
        </w:rPr>
        <w:commentReference w:id="156"/>
      </w:r>
      <w:r w:rsidR="00CC323A">
        <w:rPr>
          <w:lang w:val="en-US"/>
        </w:rPr>
        <w:t xml:space="preserve"> </w:t>
      </w:r>
      <w:r w:rsidR="00CC323A" w:rsidRPr="00CC323A">
        <w:rPr>
          <w:lang w:val="en-US"/>
        </w:rPr>
        <w:t>Additionally, given that the intensity model has prediction purposes (i.e., readmission), it can still be used effectively even if hazards might not be proportional</w:t>
      </w:r>
      <w:commentRangeStart w:id="157"/>
      <w:r w:rsidR="00CC323A" w:rsidRPr="00CC323A">
        <w:rPr>
          <w:lang w:val="en-US"/>
        </w:rPr>
        <w:t>.</w:t>
      </w:r>
      <w:commentRangeEnd w:id="157"/>
      <w:r w:rsidR="00CC323A">
        <w:rPr>
          <w:rStyle w:val="Refdecomentario"/>
          <w:rFonts w:ascii="Times New Roman" w:eastAsia="Times New Roman" w:hAnsi="Times New Roman" w:cs="Times New Roman"/>
          <w:lang w:val="es-CL" w:eastAsia="es-ES_tradnl"/>
        </w:rPr>
        <w:commentReference w:id="157"/>
      </w:r>
    </w:p>
    <w:p w14:paraId="353C7451" w14:textId="383CF0E3" w:rsidR="00566E44" w:rsidRPr="00181667" w:rsidRDefault="00566E44" w:rsidP="00886CB9">
      <w:pPr>
        <w:ind w:firstLine="567"/>
        <w:rPr>
          <w:lang w:val="en-US"/>
        </w:rPr>
      </w:pPr>
      <w:r>
        <w:rPr>
          <w:lang w:val="en-US"/>
        </w:rPr>
        <w:lastRenderedPageBreak/>
        <w:t xml:space="preserve">Although, the association described here lacks a causal interpretation given that the recurrent event process might be associated with </w:t>
      </w:r>
      <w:r w:rsidRPr="00566E44">
        <w:rPr>
          <w:lang w:val="en-US"/>
        </w:rPr>
        <w:t>right</w:t>
      </w:r>
      <w:r>
        <w:rPr>
          <w:lang w:val="en-US"/>
        </w:rPr>
        <w:t xml:space="preserve"> censoring</w:t>
      </w:r>
      <w:r w:rsidR="00EB4460">
        <w:rPr>
          <w:lang w:val="en-US"/>
        </w:rPr>
        <w:t xml:space="preserve"> mechanism</w:t>
      </w:r>
      <w:r>
        <w:rPr>
          <w:lang w:val="en-US"/>
        </w:rPr>
        <w:t xml:space="preserve">. For example, patients admitted to treatment in dates closer to administrative censorship or in ongoing treatments might had different characteristics that may change the inverse of the susceptibility of having recurrent </w:t>
      </w:r>
      <w:commentRangeStart w:id="158"/>
      <w:r>
        <w:rPr>
          <w:lang w:val="en-US"/>
        </w:rPr>
        <w:t>treatments</w:t>
      </w:r>
      <w:commentRangeEnd w:id="158"/>
      <w:r>
        <w:rPr>
          <w:rStyle w:val="Refdecomentario"/>
          <w:rFonts w:ascii="Times New Roman" w:eastAsia="Times New Roman" w:hAnsi="Times New Roman" w:cs="Times New Roman"/>
          <w:lang w:val="es-CL" w:eastAsia="es-ES_tradnl"/>
        </w:rPr>
        <w:commentReference w:id="158"/>
      </w:r>
      <w:r>
        <w:rPr>
          <w:lang w:val="en-US"/>
        </w:rPr>
        <w:t>.</w:t>
      </w:r>
      <w:ins w:id="159" w:author="Andrés González Santa Cruz" w:date="2024-05-19T21:20:00Z" w16du:dateUtc="2024-05-20T01:20:00Z">
        <w:r w:rsidR="005479B7">
          <w:rPr>
            <w:lang w:val="en-US"/>
          </w:rPr>
          <w:t xml:space="preserve"> </w:t>
        </w:r>
      </w:ins>
    </w:p>
    <w:p w14:paraId="11522A2E" w14:textId="45FBDA37" w:rsidR="00E54086" w:rsidRDefault="00E54086">
      <w:pPr>
        <w:jc w:val="left"/>
      </w:pPr>
      <w:r>
        <w:br w:type="page"/>
      </w:r>
    </w:p>
    <w:p w14:paraId="12F32A97" w14:textId="64DEA1B6" w:rsidR="008A4DE2" w:rsidRPr="0075223D" w:rsidRDefault="008A4DE2" w:rsidP="00E54086">
      <w:pPr>
        <w:pStyle w:val="Ttulo1"/>
        <w:numPr>
          <w:ilvl w:val="0"/>
          <w:numId w:val="11"/>
        </w:numPr>
        <w:tabs>
          <w:tab w:val="left" w:pos="567"/>
        </w:tabs>
        <w:spacing w:before="0" w:beforeAutospacing="0"/>
        <w:ind w:right="565"/>
        <w:rPr>
          <w:rFonts w:ascii="Verdana" w:hAnsi="Verdana"/>
          <w:sz w:val="20"/>
          <w:szCs w:val="20"/>
        </w:rPr>
      </w:pPr>
      <w:bookmarkStart w:id="160" w:name="_Toc162862601"/>
      <w:r w:rsidRPr="0075223D">
        <w:rPr>
          <w:rFonts w:ascii="Verdana" w:hAnsi="Verdana"/>
          <w:sz w:val="20"/>
          <w:szCs w:val="20"/>
        </w:rPr>
        <w:lastRenderedPageBreak/>
        <w:t>References</w:t>
      </w:r>
      <w:bookmarkEnd w:id="160"/>
    </w:p>
    <w:p w14:paraId="59B91D92" w14:textId="77777777" w:rsidR="00CA7FD0" w:rsidRDefault="00830795" w:rsidP="00CA7FD0">
      <w:pPr>
        <w:pStyle w:val="Bibliografa"/>
      </w:pPr>
      <w:r w:rsidRPr="0075223D">
        <w:rPr>
          <w:color w:val="3A3A3A"/>
          <w:shd w:val="clear" w:color="auto" w:fill="FFFFFF"/>
        </w:rPr>
        <w:fldChar w:fldCharType="begin"/>
      </w:r>
      <w:r w:rsidR="00CA7FD0">
        <w:rPr>
          <w:color w:val="3A3A3A"/>
          <w:shd w:val="clear" w:color="auto" w:fill="FFFFFF"/>
        </w:rPr>
        <w:instrText xml:space="preserve"> ADDIN ZOTERO_BIBL {"uncited":[],"omitted":[],"custom":[]} CSL_BIBLIOGRAPHY </w:instrText>
      </w:r>
      <w:r w:rsidRPr="0075223D">
        <w:rPr>
          <w:color w:val="3A3A3A"/>
          <w:shd w:val="clear" w:color="auto" w:fill="FFFFFF"/>
        </w:rPr>
        <w:fldChar w:fldCharType="separate"/>
      </w:r>
      <w:r w:rsidR="00CA7FD0">
        <w:t xml:space="preserve">Andersson, H. W., Lauvsnes, A. D. F., &amp; Nordfjærn, T. (2021). Emerging Adults in Inpatient Substance Use Treatment: A Prospective Cohort Study of Patient Characteristics and Treatment Outcomes. </w:t>
      </w:r>
      <w:r w:rsidR="00CA7FD0">
        <w:rPr>
          <w:i/>
          <w:iCs/>
        </w:rPr>
        <w:t>European Addiction Research</w:t>
      </w:r>
      <w:r w:rsidR="00CA7FD0">
        <w:t xml:space="preserve">, </w:t>
      </w:r>
      <w:r w:rsidR="00CA7FD0">
        <w:rPr>
          <w:i/>
          <w:iCs/>
        </w:rPr>
        <w:t>27</w:t>
      </w:r>
      <w:r w:rsidR="00CA7FD0">
        <w:t>(3), 206–215. https://doi.org/10.1159/000512156</w:t>
      </w:r>
    </w:p>
    <w:p w14:paraId="2DB06140" w14:textId="77777777" w:rsidR="00CA7FD0" w:rsidRDefault="00CA7FD0" w:rsidP="00CA7FD0">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628FADB6" w14:textId="77777777" w:rsidR="00CA7FD0" w:rsidRDefault="00CA7FD0" w:rsidP="00CA7FD0">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3D081AAD" w14:textId="77777777" w:rsidR="00CA7FD0" w:rsidRDefault="00CA7FD0" w:rsidP="00CA7FD0">
      <w:pPr>
        <w:pStyle w:val="Bibliografa"/>
      </w:pPr>
      <w:r>
        <w:t xml:space="preserve">Babor, T. F. (2021). Treatment Systems for Population Management of Substance Use Disorders: Requirements and Priorities from a Public Health Perspective. In N. el-Guebaly, G. Carrà, M. Galanter, &amp; A. M. Baldacchino (Eds.), </w:t>
      </w:r>
      <w:r>
        <w:rPr>
          <w:i/>
          <w:iCs/>
        </w:rPr>
        <w:t>Textbook of Addiction Treatment: International Perspectives</w:t>
      </w:r>
      <w:r>
        <w:t xml:space="preserve"> (pp. 553–567). Springer International Publishing. https://doi.org/10.1007/978-3-030-36391-8_39</w:t>
      </w:r>
    </w:p>
    <w:p w14:paraId="7AF4267A" w14:textId="77777777" w:rsidR="00CA7FD0" w:rsidRDefault="00CA7FD0" w:rsidP="00CA7FD0">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375090A" w14:textId="77777777" w:rsidR="00CA7FD0" w:rsidRDefault="00CA7FD0" w:rsidP="00CA7FD0">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BE87BB5" w14:textId="77777777" w:rsidR="00CA7FD0" w:rsidRDefault="00CA7FD0" w:rsidP="00CA7FD0">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0DE95A2" w14:textId="77777777" w:rsidR="00CA7FD0" w:rsidRDefault="00CA7FD0" w:rsidP="00CA7FD0">
      <w:pPr>
        <w:pStyle w:val="Bibliografa"/>
      </w:pPr>
      <w:r w:rsidRPr="00CA7FD0">
        <w:rPr>
          <w:lang w:val="es-CL"/>
        </w:rPr>
        <w:lastRenderedPageBreak/>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561F619C" w14:textId="77777777" w:rsidR="00CA7FD0" w:rsidRDefault="00CA7FD0" w:rsidP="00CA7FD0">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0CF07DE2" w14:textId="77777777" w:rsidR="00CA7FD0" w:rsidRDefault="00CA7FD0" w:rsidP="00CA7FD0">
      <w:pPr>
        <w:pStyle w:val="Bibliografa"/>
      </w:pPr>
      <w: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Pr>
          <w:i/>
          <w:iCs/>
        </w:rPr>
        <w:t>Kidney International</w:t>
      </w:r>
      <w:r>
        <w:t xml:space="preserve">, </w:t>
      </w:r>
      <w:r>
        <w:rPr>
          <w:i/>
          <w:iCs/>
        </w:rPr>
        <w:t>103</w:t>
      </w:r>
      <w:r>
        <w:t>(1), 53–69. https://doi.org/10.1016/j.kint.2022.09.020</w:t>
      </w:r>
    </w:p>
    <w:p w14:paraId="011A0346" w14:textId="77777777" w:rsidR="00CA7FD0" w:rsidRDefault="00CA7FD0" w:rsidP="00CA7FD0">
      <w:pPr>
        <w:pStyle w:val="Bibliografa"/>
      </w:pPr>
      <w: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Pr>
          <w:i/>
          <w:iCs/>
        </w:rPr>
        <w:t>The Lancet Psychiatry</w:t>
      </w:r>
      <w:r>
        <w:t xml:space="preserve">, </w:t>
      </w:r>
      <w:r>
        <w:rPr>
          <w:i/>
          <w:iCs/>
        </w:rPr>
        <w:t>10</w:t>
      </w:r>
      <w:r>
        <w:t>(2), 85–97. https://doi.org/10.1016/S2215-0366(22)00339-X</w:t>
      </w:r>
    </w:p>
    <w:p w14:paraId="5DFC426F" w14:textId="77777777" w:rsidR="00CA7FD0" w:rsidRDefault="00CA7FD0" w:rsidP="00CA7FD0">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318D8A65" w14:textId="77777777" w:rsidR="00CA7FD0" w:rsidRDefault="00CA7FD0" w:rsidP="00CA7FD0">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1E03237A" w14:textId="77777777" w:rsidR="00CA7FD0" w:rsidRDefault="00CA7FD0" w:rsidP="00CA7FD0">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7974D08A" w14:textId="77777777" w:rsidR="00CA7FD0" w:rsidRDefault="00CA7FD0" w:rsidP="00CA7FD0">
      <w:pPr>
        <w:pStyle w:val="Bibliografa"/>
      </w:pPr>
      <w:r>
        <w:lastRenderedPageBreak/>
        <w:t xml:space="preserve">Cole, S. R., &amp; Hernán, M. A. (2008). Constructing Inverse Probability Weights for Marginal Structural Models. </w:t>
      </w:r>
      <w:r>
        <w:rPr>
          <w:i/>
          <w:iCs/>
        </w:rPr>
        <w:t>American Journal of Epidemiology</w:t>
      </w:r>
      <w:r>
        <w:t xml:space="preserve">, </w:t>
      </w:r>
      <w:r>
        <w:rPr>
          <w:i/>
          <w:iCs/>
        </w:rPr>
        <w:t>168</w:t>
      </w:r>
      <w:r>
        <w:t>(6), 656–664. https://doi.org/10.1093/aje/kwn164</w:t>
      </w:r>
    </w:p>
    <w:p w14:paraId="11713A71" w14:textId="77777777" w:rsidR="00CA7FD0" w:rsidRDefault="00CA7FD0" w:rsidP="00CA7FD0">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3FDBC1B7" w14:textId="77777777" w:rsidR="00CA7FD0" w:rsidRDefault="00CA7FD0" w:rsidP="00CA7FD0">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6CA359F3" w14:textId="77777777" w:rsidR="00CA7FD0" w:rsidRPr="00CA7FD0" w:rsidRDefault="00CA7FD0" w:rsidP="00CA7FD0">
      <w:pPr>
        <w:pStyle w:val="Bibliografa"/>
        <w:rPr>
          <w:lang w:val="es-CL"/>
        </w:rPr>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sidRPr="00CA7FD0">
        <w:rPr>
          <w:i/>
          <w:iCs/>
          <w:lang w:val="es-CL"/>
        </w:rPr>
        <w:t>The Lancet HIV</w:t>
      </w:r>
      <w:r w:rsidRPr="00CA7FD0">
        <w:rPr>
          <w:lang w:val="es-CL"/>
        </w:rPr>
        <w:t xml:space="preserve">, </w:t>
      </w:r>
      <w:r w:rsidRPr="00CA7FD0">
        <w:rPr>
          <w:i/>
          <w:iCs/>
          <w:lang w:val="es-CL"/>
        </w:rPr>
        <w:t>1</w:t>
      </w:r>
      <w:r w:rsidRPr="00CA7FD0">
        <w:rPr>
          <w:lang w:val="es-CL"/>
        </w:rPr>
        <w:t>(1), e22–e31. https://doi.org/10.1016/S2352-3018(14)70001-3</w:t>
      </w:r>
    </w:p>
    <w:p w14:paraId="51BEC2A0" w14:textId="77777777" w:rsidR="00CA7FD0" w:rsidRPr="00CA7FD0" w:rsidRDefault="00CA7FD0" w:rsidP="00CA7FD0">
      <w:pPr>
        <w:pStyle w:val="Bibliografa"/>
        <w:rPr>
          <w:lang w:val="es-CL"/>
        </w:rPr>
      </w:pPr>
      <w:r w:rsidRPr="00CA7FD0">
        <w:rPr>
          <w:lang w:val="es-CL"/>
        </w:rPr>
        <w:t xml:space="preserve">DIPRES. (2017). </w:t>
      </w:r>
      <w:r w:rsidRPr="00CA7FD0">
        <w:rPr>
          <w:i/>
          <w:iCs/>
          <w:lang w:val="es-CL"/>
        </w:rPr>
        <w:t>Informe Final: Evaluación de resultados de los programas de tratamiento y rehabilitación del Servicio Nacional para la Prevención y Rehabilitación del Consumo de Drogas y Alcohol, SENDA.</w:t>
      </w:r>
    </w:p>
    <w:p w14:paraId="1E3D5E00" w14:textId="77777777" w:rsidR="00CA7FD0" w:rsidRPr="00CA7FD0" w:rsidRDefault="00CA7FD0" w:rsidP="00CA7FD0">
      <w:pPr>
        <w:pStyle w:val="Bibliografa"/>
        <w:rPr>
          <w:lang w:val="es-CL"/>
        </w:rPr>
      </w:pPr>
      <w:r w:rsidRPr="00CA7FD0">
        <w:rPr>
          <w:lang w:val="es-CL"/>
        </w:rPr>
        <w:t xml:space="preserve">Fiestas, F., &amp; Ponce, J. (2012). Eficacia de las comunidades terapéuticas en el tratamiento de problemas por uso de sustancias psicoactivas: Una revisión sistemática. </w:t>
      </w:r>
      <w:r w:rsidRPr="00CA7FD0">
        <w:rPr>
          <w:i/>
          <w:iCs/>
          <w:lang w:val="es-CL"/>
        </w:rPr>
        <w:t>Revista Peruana de Medicina Experimental y Salud Publica</w:t>
      </w:r>
      <w:r w:rsidRPr="00CA7FD0">
        <w:rPr>
          <w:lang w:val="es-CL"/>
        </w:rPr>
        <w:t xml:space="preserve">, </w:t>
      </w:r>
      <w:r w:rsidRPr="00CA7FD0">
        <w:rPr>
          <w:i/>
          <w:iCs/>
          <w:lang w:val="es-CL"/>
        </w:rPr>
        <w:t>29</w:t>
      </w:r>
      <w:r w:rsidRPr="00CA7FD0">
        <w:rPr>
          <w:lang w:val="es-CL"/>
        </w:rPr>
        <w:t>(1), 12–20.</w:t>
      </w:r>
    </w:p>
    <w:p w14:paraId="334BF2BA" w14:textId="77777777" w:rsidR="00CA7FD0" w:rsidRDefault="00CA7FD0" w:rsidP="00CA7FD0">
      <w:pPr>
        <w:pStyle w:val="Bibliografa"/>
      </w:pPr>
      <w:r w:rsidRPr="00CA7FD0">
        <w:rPr>
          <w:lang w:val="es-CL"/>
        </w:rPr>
        <w:t xml:space="preserve">Font-Mayolas, S., &amp; Calvo, F. (2022). </w:t>
      </w:r>
      <w:r>
        <w:t xml:space="preserve">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3ABA36A" w14:textId="77777777" w:rsidR="00CA7FD0" w:rsidRDefault="00CA7FD0" w:rsidP="00CA7FD0">
      <w:pPr>
        <w:pStyle w:val="Bibliografa"/>
      </w:pPr>
      <w:r>
        <w:t xml:space="preserve">Gjersing, L., &amp; Bretteville-Jensen, A. L. (2018). Patterns of substance use and mortality risk in a cohort of ‘hard-to-reach’ polysubstance users. </w:t>
      </w:r>
      <w:r>
        <w:rPr>
          <w:i/>
          <w:iCs/>
        </w:rPr>
        <w:t>Addiction</w:t>
      </w:r>
      <w:r>
        <w:t xml:space="preserve">, </w:t>
      </w:r>
      <w:r>
        <w:rPr>
          <w:i/>
          <w:iCs/>
        </w:rPr>
        <w:t>113</w:t>
      </w:r>
      <w:r>
        <w:t>(4), 729–739. https://doi.org/10.1111/add.14053</w:t>
      </w:r>
    </w:p>
    <w:p w14:paraId="6AA8C4D0" w14:textId="77777777" w:rsidR="00CA7FD0" w:rsidRDefault="00CA7FD0" w:rsidP="00CA7FD0">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67935F50" w14:textId="77777777" w:rsidR="00CA7FD0" w:rsidRDefault="00CA7FD0" w:rsidP="00CA7FD0">
      <w:pPr>
        <w:pStyle w:val="Bibliografa"/>
      </w:pPr>
      <w:r>
        <w:lastRenderedPageBreak/>
        <w:t xml:space="preserve">Griffin, B. A., Ramchand, R., Almirall, D., Slaughter, M. E., Burgette, L. F., &amp; McCaffery, D. F. (2014). Estimating the causal effects of cumulative treatment episodes for adolescents using marginal structural models and inverse probability of treatment weighting. </w:t>
      </w:r>
      <w:r>
        <w:rPr>
          <w:i/>
          <w:iCs/>
        </w:rPr>
        <w:t>Drug and Alcohol Dependence</w:t>
      </w:r>
      <w:r>
        <w:t xml:space="preserve">, </w:t>
      </w:r>
      <w:r>
        <w:rPr>
          <w:i/>
          <w:iCs/>
        </w:rPr>
        <w:t>136</w:t>
      </w:r>
      <w:r>
        <w:t>, 69–78. https://doi.org/10.1016/j.drugalcdep.2013.12.017</w:t>
      </w:r>
    </w:p>
    <w:p w14:paraId="1BBC74A7" w14:textId="77777777" w:rsidR="00CA7FD0" w:rsidRDefault="00CA7FD0" w:rsidP="00CA7FD0">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7D3F66C" w14:textId="77777777" w:rsidR="00CA7FD0" w:rsidRDefault="00CA7FD0" w:rsidP="00CA7FD0">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9A15937" w14:textId="77777777" w:rsidR="00CA7FD0" w:rsidRDefault="00CA7FD0" w:rsidP="00CA7FD0">
      <w:pPr>
        <w:pStyle w:val="Bibliografa"/>
      </w:pPr>
      <w:r>
        <w:t xml:space="preserve">Hernan, M. A., &amp; Robins, J. M. (2020). </w:t>
      </w:r>
      <w:r>
        <w:rPr>
          <w:i/>
          <w:iCs/>
        </w:rPr>
        <w:t>Causal inference: What if</w:t>
      </w:r>
      <w:r>
        <w:t xml:space="preserve"> (First edition). Chapman &amp; Hall/CRC.</w:t>
      </w:r>
    </w:p>
    <w:p w14:paraId="0DE84D81" w14:textId="77777777" w:rsidR="00CA7FD0" w:rsidRDefault="00CA7FD0" w:rsidP="00CA7FD0">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23F1FC05" w14:textId="77777777" w:rsidR="00CA7FD0" w:rsidRDefault="00CA7FD0" w:rsidP="00CA7FD0">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155E2176" w14:textId="77777777" w:rsidR="00CA7FD0" w:rsidRDefault="00CA7FD0" w:rsidP="00CA7FD0">
      <w:pPr>
        <w:pStyle w:val="Bibliografa"/>
      </w:pPr>
      <w:r>
        <w:t xml:space="preserve">Körkel,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73676F2" w14:textId="77777777" w:rsidR="00CA7FD0" w:rsidRDefault="00CA7FD0" w:rsidP="00CA7FD0">
      <w:pPr>
        <w:pStyle w:val="Bibliografa"/>
      </w:pPr>
      <w:r>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5F7DFBE7" w14:textId="77777777" w:rsidR="00CA7FD0" w:rsidRDefault="00CA7FD0" w:rsidP="00CA7FD0">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F35AC86" w14:textId="77777777" w:rsidR="00CA7FD0" w:rsidRDefault="00CA7FD0" w:rsidP="00CA7FD0">
      <w:pPr>
        <w:pStyle w:val="Bibliografa"/>
      </w:pPr>
      <w:r>
        <w:lastRenderedPageBreak/>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49288831" w14:textId="77777777" w:rsidR="00CA7FD0" w:rsidRPr="00CA7FD0" w:rsidRDefault="00CA7FD0" w:rsidP="00CA7FD0">
      <w:pPr>
        <w:pStyle w:val="Bibliografa"/>
        <w:rPr>
          <w:lang w:val="es-CL"/>
        </w:rPr>
      </w:pPr>
      <w:r>
        <w:t xml:space="preserve">Lokku, A., Lim, L. S., Birken, C. S., Pullenayegum, E. M., &amp; on behalf of the TARGet Kids! Collaboration. (2020). Summarizing the extent of visit irregularity in longitudinal data. </w:t>
      </w:r>
      <w:r w:rsidRPr="00CA7FD0">
        <w:rPr>
          <w:i/>
          <w:iCs/>
          <w:lang w:val="es-CL"/>
        </w:rPr>
        <w:t>BMC Medical Research Methodology</w:t>
      </w:r>
      <w:r w:rsidRPr="00CA7FD0">
        <w:rPr>
          <w:lang w:val="es-CL"/>
        </w:rPr>
        <w:t xml:space="preserve">, </w:t>
      </w:r>
      <w:r w:rsidRPr="00CA7FD0">
        <w:rPr>
          <w:i/>
          <w:iCs/>
          <w:lang w:val="es-CL"/>
        </w:rPr>
        <w:t>20</w:t>
      </w:r>
      <w:r w:rsidRPr="00CA7FD0">
        <w:rPr>
          <w:lang w:val="es-CL"/>
        </w:rPr>
        <w:t>(1), 135. https://doi.org/10.1186/s12874-020-01023-w</w:t>
      </w:r>
    </w:p>
    <w:p w14:paraId="32FD8EDA" w14:textId="77777777" w:rsidR="00CA7FD0" w:rsidRDefault="00CA7FD0" w:rsidP="00CA7FD0">
      <w:pPr>
        <w:pStyle w:val="Bibliografa"/>
      </w:pPr>
      <w:r w:rsidRPr="00CA7FD0">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445E0CDF" w14:textId="77777777" w:rsidR="00CA7FD0" w:rsidRDefault="00CA7FD0" w:rsidP="00CA7FD0">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6720B262" w14:textId="77777777" w:rsidR="00CA7FD0" w:rsidRPr="00CA7FD0" w:rsidRDefault="00CA7FD0" w:rsidP="00CA7FD0">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CA7FD0">
        <w:rPr>
          <w:i/>
          <w:iCs/>
          <w:lang w:val="es-CL"/>
        </w:rPr>
        <w:t>Addiction (Abingdon, England)</w:t>
      </w:r>
      <w:r w:rsidRPr="00CA7FD0">
        <w:rPr>
          <w:lang w:val="es-CL"/>
        </w:rPr>
        <w:t xml:space="preserve">, </w:t>
      </w:r>
      <w:r w:rsidRPr="00CA7FD0">
        <w:rPr>
          <w:i/>
          <w:iCs/>
          <w:lang w:val="es-CL"/>
        </w:rPr>
        <w:t>117</w:t>
      </w:r>
      <w:r w:rsidRPr="00CA7FD0">
        <w:rPr>
          <w:lang w:val="es-CL"/>
        </w:rPr>
        <w:t>(12), 3110–3120. https://doi.org/10.1111/add.16008</w:t>
      </w:r>
    </w:p>
    <w:p w14:paraId="6C683E9A" w14:textId="77777777" w:rsidR="00CA7FD0" w:rsidRDefault="00CA7FD0" w:rsidP="00CA7FD0">
      <w:pPr>
        <w:pStyle w:val="Bibliografa"/>
      </w:pPr>
      <w:r w:rsidRPr="00CA7FD0">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76369473" w14:textId="77777777" w:rsidR="00CA7FD0" w:rsidRDefault="00CA7FD0" w:rsidP="00CA7FD0">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26E9FF62" w14:textId="77777777" w:rsidR="00CA7FD0" w:rsidRDefault="00CA7FD0" w:rsidP="00CA7FD0">
      <w:pPr>
        <w:pStyle w:val="Bibliografa"/>
      </w:pPr>
      <w:r>
        <w:t xml:space="preserve">Pullenayegum, E. (2022). </w:t>
      </w:r>
      <w:r>
        <w:rPr>
          <w:i/>
          <w:iCs/>
        </w:rPr>
        <w:t>IrregLong: Analysis of Longitudinal Data with Irregular Observation Times</w:t>
      </w:r>
      <w:r>
        <w:t xml:space="preserve"> [Computer software]. https://cran.r-project.org/web/packages/IrregLong/index.html</w:t>
      </w:r>
    </w:p>
    <w:p w14:paraId="79F712F6" w14:textId="77777777" w:rsidR="00CA7FD0" w:rsidRDefault="00CA7FD0" w:rsidP="00CA7FD0">
      <w:pPr>
        <w:pStyle w:val="Bibliografa"/>
      </w:pPr>
      <w:r>
        <w:lastRenderedPageBreak/>
        <w:t xml:space="preserve">Pullenayegum, E. M., Birken, C., Maguire, J., &amp; TARGet Kids! Collaboration. (2023). Causal inference with longitudinal data subject to irregular assessment times. </w:t>
      </w:r>
      <w:r>
        <w:rPr>
          <w:i/>
          <w:iCs/>
        </w:rPr>
        <w:t>Statistics in Medicine</w:t>
      </w:r>
      <w:r>
        <w:t xml:space="preserve">, </w:t>
      </w:r>
      <w:r>
        <w:rPr>
          <w:i/>
          <w:iCs/>
        </w:rPr>
        <w:t>42</w:t>
      </w:r>
      <w:r>
        <w:t>(14), 2361–2393. https://doi.org/10.1002/sim.9727</w:t>
      </w:r>
    </w:p>
    <w:p w14:paraId="169F68B2" w14:textId="77777777" w:rsidR="00CA7FD0" w:rsidRDefault="00CA7FD0" w:rsidP="00CA7FD0">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7C803BEB" w14:textId="77777777" w:rsidR="00CA7FD0" w:rsidRDefault="00CA7FD0" w:rsidP="00CA7FD0">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5E879C9B" w14:textId="77777777" w:rsidR="00CA7FD0" w:rsidRPr="00CA7FD0" w:rsidRDefault="00CA7FD0" w:rsidP="00CA7FD0">
      <w:pPr>
        <w:pStyle w:val="Bibliografa"/>
        <w:rPr>
          <w:lang w:val="es-CL"/>
        </w:rPr>
      </w:pPr>
      <w:r w:rsidRPr="00CA7FD0">
        <w:rPr>
          <w:lang w:val="es-CL"/>
        </w:rPr>
        <w:t xml:space="preserve">Reyes, J., Perez, C., Colon, H., Dowell, M., &amp; Cumsille, F. (2013). </w:t>
      </w:r>
      <w:r>
        <w:t xml:space="preserve">Prevalence and Patterns of Polydrug Use in Latin America: Analysis of Population-based Surveys in Six Countries. </w:t>
      </w:r>
      <w:r w:rsidRPr="00CA7FD0">
        <w:rPr>
          <w:i/>
          <w:iCs/>
          <w:lang w:val="es-CL"/>
        </w:rPr>
        <w:t>Review of European Studies</w:t>
      </w:r>
      <w:r w:rsidRPr="00CA7FD0">
        <w:rPr>
          <w:lang w:val="es-CL"/>
        </w:rPr>
        <w:t xml:space="preserve">, </w:t>
      </w:r>
      <w:r w:rsidRPr="00CA7FD0">
        <w:rPr>
          <w:i/>
          <w:iCs/>
          <w:lang w:val="es-CL"/>
        </w:rPr>
        <w:t>5</w:t>
      </w:r>
      <w:r w:rsidRPr="00CA7FD0">
        <w:rPr>
          <w:lang w:val="es-CL"/>
        </w:rPr>
        <w:t>(1), Article 1. https://doi.org/10.5539/res.v5n1p10</w:t>
      </w:r>
    </w:p>
    <w:p w14:paraId="138FD86D" w14:textId="77777777" w:rsidR="00CA7FD0" w:rsidRPr="00CA7FD0" w:rsidRDefault="00CA7FD0" w:rsidP="00CA7FD0">
      <w:pPr>
        <w:pStyle w:val="Bibliografa"/>
        <w:rPr>
          <w:lang w:val="es-CL"/>
        </w:rPr>
      </w:pPr>
      <w:r w:rsidRPr="00CA7FD0">
        <w:rPr>
          <w:lang w:val="es-CL"/>
        </w:rPr>
        <w:t xml:space="preserve">Ruiz-Tagle Maturana, J., González-Santa Cruz, A., Rocha-Jiménez, T., &amp; Castillo-Carniglia, Á. (2023). </w:t>
      </w:r>
      <w:r>
        <w:t xml:space="preserve">Does substance use disorder treatment completion reduce the risk of treatment readmission in Chile? </w:t>
      </w:r>
      <w:r w:rsidRPr="00CA7FD0">
        <w:rPr>
          <w:i/>
          <w:iCs/>
          <w:lang w:val="es-CL"/>
        </w:rPr>
        <w:t>Drug and Alcohol Dependence</w:t>
      </w:r>
      <w:r w:rsidRPr="00CA7FD0">
        <w:rPr>
          <w:lang w:val="es-CL"/>
        </w:rPr>
        <w:t xml:space="preserve">, </w:t>
      </w:r>
      <w:r w:rsidRPr="00CA7FD0">
        <w:rPr>
          <w:i/>
          <w:iCs/>
          <w:lang w:val="es-CL"/>
        </w:rPr>
        <w:t>248</w:t>
      </w:r>
      <w:r w:rsidRPr="00CA7FD0">
        <w:rPr>
          <w:lang w:val="es-CL"/>
        </w:rPr>
        <w:t>, 109907. https://doi.org/10.1016/j.drugalcdep.2023.109907</w:t>
      </w:r>
    </w:p>
    <w:p w14:paraId="106E9994" w14:textId="77777777" w:rsidR="00CA7FD0" w:rsidRDefault="00CA7FD0" w:rsidP="00CA7FD0">
      <w:pPr>
        <w:pStyle w:val="Bibliografa"/>
      </w:pPr>
      <w:r w:rsidRPr="00CA7FD0">
        <w:rPr>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Pr>
          <w:i/>
          <w:iCs/>
        </w:rPr>
        <w:t>Revista Médica de Chile</w:t>
      </w:r>
      <w:r>
        <w:t xml:space="preserve">, </w:t>
      </w:r>
      <w:r>
        <w:rPr>
          <w:i/>
          <w:iCs/>
        </w:rPr>
        <w:t>135</w:t>
      </w:r>
      <w:r>
        <w:t>(1), 45–53. https://doi.org/10.4067/S0034-98872007000100007</w:t>
      </w:r>
    </w:p>
    <w:p w14:paraId="7E067D48" w14:textId="77777777" w:rsidR="00CA7FD0" w:rsidRDefault="00CA7FD0" w:rsidP="00CA7FD0">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5A012E0A" w14:textId="77777777" w:rsidR="00CA7FD0" w:rsidRDefault="00CA7FD0" w:rsidP="00CA7FD0">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7A500B46" w14:textId="77777777" w:rsidR="00CA7FD0" w:rsidRDefault="00CA7FD0" w:rsidP="00CA7FD0">
      <w:pPr>
        <w:pStyle w:val="Bibliografa"/>
      </w:pPr>
      <w:r>
        <w:lastRenderedPageBreak/>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6BCD6DDE" w14:textId="77777777" w:rsidR="00CA7FD0" w:rsidRDefault="00CA7FD0" w:rsidP="00CA7FD0">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42FCDE27" w14:textId="77777777" w:rsidR="00CA7FD0" w:rsidRPr="00CA7FD0" w:rsidRDefault="00CA7FD0" w:rsidP="00CA7FD0">
      <w:pPr>
        <w:pStyle w:val="Bibliografa"/>
        <w:rPr>
          <w:lang w:val="es-CL"/>
        </w:rPr>
      </w:pPr>
      <w:r>
        <w:t xml:space="preserve">Vázquez-Real, M., Talero-Barrientos, E. M., &amp; Franco-Fernández, M. D. (2022). Sociodemographic, clinical and pharmacological factors influencing early readmission in mental health settings. </w:t>
      </w:r>
      <w:r w:rsidRPr="00CA7FD0">
        <w:rPr>
          <w:i/>
          <w:iCs/>
          <w:lang w:val="es-CL"/>
        </w:rPr>
        <w:t>Actas Espanolas De Psiquiatria</w:t>
      </w:r>
      <w:r w:rsidRPr="00CA7FD0">
        <w:rPr>
          <w:lang w:val="es-CL"/>
        </w:rPr>
        <w:t xml:space="preserve">, </w:t>
      </w:r>
      <w:r w:rsidRPr="00CA7FD0">
        <w:rPr>
          <w:i/>
          <w:iCs/>
          <w:lang w:val="es-CL"/>
        </w:rPr>
        <w:t>50</w:t>
      </w:r>
      <w:r w:rsidRPr="00CA7FD0">
        <w:rPr>
          <w:lang w:val="es-CL"/>
        </w:rPr>
        <w:t>(6), 248–255.</w:t>
      </w:r>
    </w:p>
    <w:p w14:paraId="79E3456C" w14:textId="77777777" w:rsidR="00CA7FD0" w:rsidRDefault="00CA7FD0" w:rsidP="00CA7FD0">
      <w:pPr>
        <w:pStyle w:val="Bibliografa"/>
      </w:pPr>
      <w:r w:rsidRPr="00CA7FD0">
        <w:rPr>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Pr>
          <w:i/>
          <w:iCs/>
        </w:rPr>
        <w:t>Revista Médica de Chile</w:t>
      </w:r>
      <w:r>
        <w:t xml:space="preserve">, </w:t>
      </w:r>
      <w:r>
        <w:rPr>
          <w:i/>
          <w:iCs/>
        </w:rPr>
        <w:t>150</w:t>
      </w:r>
      <w:r>
        <w:t>(5), 584–596. https://doi.org/10.4067/s0034-98872022000500584</w:t>
      </w:r>
    </w:p>
    <w:p w14:paraId="2236A6A6" w14:textId="40958BB6" w:rsidR="008542A0" w:rsidRPr="008D0663" w:rsidRDefault="00830795" w:rsidP="00E54D88">
      <w:pPr>
        <w:spacing w:line="276" w:lineRule="auto"/>
        <w:jc w:val="left"/>
        <w:rPr>
          <w:color w:val="3A3A3A"/>
          <w:shd w:val="clear" w:color="auto" w:fill="FFFFFF"/>
          <w:lang w:val="en-US"/>
        </w:rPr>
        <w:sectPr w:rsidR="008542A0" w:rsidRPr="008D0663" w:rsidSect="00EA2255">
          <w:headerReference w:type="default" r:id="rId14"/>
          <w:footerReference w:type="default" r:id="rId15"/>
          <w:pgSz w:w="11906" w:h="16838" w:code="9"/>
          <w:pgMar w:top="851" w:right="851" w:bottom="851" w:left="851" w:header="709" w:footer="709" w:gutter="0"/>
          <w:cols w:space="708"/>
          <w:docGrid w:linePitch="360"/>
        </w:sectPr>
      </w:pPr>
      <w:r w:rsidRPr="0075223D">
        <w:rPr>
          <w:color w:val="3A3A3A"/>
          <w:shd w:val="clear" w:color="auto" w:fill="FFFFFF"/>
        </w:rPr>
        <w:fldChar w:fldCharType="end"/>
      </w:r>
    </w:p>
    <w:p w14:paraId="7026A000" w14:textId="734616AF" w:rsidR="0018795C" w:rsidRDefault="00A912ED">
      <w:pPr>
        <w:jc w:val="left"/>
        <w:rPr>
          <w:rFonts w:eastAsia="Times New Roman" w:cs="Times New Roman"/>
          <w:color w:val="3A3A3A"/>
          <w:szCs w:val="20"/>
          <w:shd w:val="clear" w:color="auto" w:fill="FFFFFF"/>
          <w:lang w:eastAsia="en-AU"/>
        </w:rPr>
      </w:pPr>
      <w:r w:rsidRPr="006D1784">
        <w:rPr>
          <w:rFonts w:eastAsia="Times New Roman" w:cs="Times New Roman"/>
          <w:color w:val="3A3A3A"/>
          <w:szCs w:val="20"/>
          <w:shd w:val="clear" w:color="auto" w:fill="FFFFFF"/>
          <w:lang w:val="en-US" w:eastAsia="en-AU"/>
        </w:rPr>
        <w:lastRenderedPageBreak/>
        <w:t xml:space="preserve">Table 1. </w:t>
      </w:r>
      <w:r w:rsidRPr="0075223D">
        <w:rPr>
          <w:rFonts w:eastAsia="Times New Roman" w:cs="Times New Roman"/>
          <w:color w:val="3A3A3A"/>
          <w:szCs w:val="20"/>
          <w:shd w:val="clear" w:color="auto" w:fill="FFFFFF"/>
          <w:lang w:eastAsia="en-AU"/>
        </w:rPr>
        <w:t>Characteristics of the study sample</w:t>
      </w:r>
    </w:p>
    <w:tbl>
      <w:tblPr>
        <w:tblW w:w="0" w:type="auto"/>
        <w:jc w:val="center"/>
        <w:tblCellMar>
          <w:left w:w="70" w:type="dxa"/>
          <w:right w:w="70" w:type="dxa"/>
        </w:tblCellMar>
        <w:tblLook w:val="04A0" w:firstRow="1" w:lastRow="0" w:firstColumn="1" w:lastColumn="0" w:noHBand="0" w:noVBand="1"/>
      </w:tblPr>
      <w:tblGrid>
        <w:gridCol w:w="4841"/>
        <w:gridCol w:w="1802"/>
        <w:gridCol w:w="1795"/>
        <w:gridCol w:w="1688"/>
        <w:gridCol w:w="1945"/>
        <w:gridCol w:w="539"/>
      </w:tblGrid>
      <w:tr w:rsidR="0018795C" w:rsidRPr="0018795C" w14:paraId="2A96F6EA" w14:textId="77777777" w:rsidTr="002432E1">
        <w:trPr>
          <w:trHeight w:val="300"/>
          <w:jc w:val="center"/>
        </w:trPr>
        <w:tc>
          <w:tcPr>
            <w:tcW w:w="0" w:type="auto"/>
            <w:tcBorders>
              <w:top w:val="single" w:sz="4" w:space="0" w:color="auto"/>
              <w:left w:val="nil"/>
              <w:bottom w:val="single" w:sz="4" w:space="0" w:color="auto"/>
              <w:right w:val="nil"/>
            </w:tcBorders>
            <w:shd w:val="clear" w:color="auto" w:fill="auto"/>
            <w:noWrap/>
            <w:vAlign w:val="center"/>
            <w:hideMark/>
          </w:tcPr>
          <w:p w14:paraId="26F55A2E" w14:textId="6415131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Variable</w:t>
            </w:r>
          </w:p>
        </w:tc>
        <w:tc>
          <w:tcPr>
            <w:tcW w:w="0" w:type="auto"/>
            <w:tcBorders>
              <w:top w:val="single" w:sz="4" w:space="0" w:color="auto"/>
              <w:left w:val="nil"/>
              <w:bottom w:val="single" w:sz="4" w:space="0" w:color="auto"/>
              <w:right w:val="nil"/>
            </w:tcBorders>
            <w:shd w:val="clear" w:color="auto" w:fill="auto"/>
            <w:noWrap/>
            <w:vAlign w:val="center"/>
            <w:hideMark/>
          </w:tcPr>
          <w:p w14:paraId="2D916370" w14:textId="44667C21"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Category</w:t>
            </w:r>
          </w:p>
        </w:tc>
        <w:tc>
          <w:tcPr>
            <w:tcW w:w="0" w:type="auto"/>
            <w:tcBorders>
              <w:top w:val="single" w:sz="4" w:space="0" w:color="auto"/>
              <w:left w:val="nil"/>
              <w:bottom w:val="single" w:sz="4" w:space="0" w:color="auto"/>
              <w:right w:val="nil"/>
            </w:tcBorders>
            <w:shd w:val="clear" w:color="auto" w:fill="auto"/>
            <w:noWrap/>
            <w:vAlign w:val="center"/>
          </w:tcPr>
          <w:p w14:paraId="3DA09987" w14:textId="094244EF"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No PSU (n=2,383)</w:t>
            </w:r>
          </w:p>
        </w:tc>
        <w:tc>
          <w:tcPr>
            <w:tcW w:w="0" w:type="auto"/>
            <w:tcBorders>
              <w:top w:val="single" w:sz="4" w:space="0" w:color="auto"/>
              <w:left w:val="nil"/>
              <w:bottom w:val="single" w:sz="4" w:space="0" w:color="auto"/>
              <w:right w:val="nil"/>
            </w:tcBorders>
            <w:shd w:val="clear" w:color="auto" w:fill="auto"/>
            <w:noWrap/>
            <w:vAlign w:val="center"/>
            <w:hideMark/>
          </w:tcPr>
          <w:p w14:paraId="552EA1B7" w14:textId="1C16DC77"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PSU (n=10,934)</w:t>
            </w:r>
          </w:p>
        </w:tc>
        <w:tc>
          <w:tcPr>
            <w:tcW w:w="0" w:type="auto"/>
            <w:tcBorders>
              <w:top w:val="single" w:sz="4" w:space="0" w:color="auto"/>
              <w:left w:val="nil"/>
              <w:bottom w:val="single" w:sz="4" w:space="0" w:color="auto"/>
              <w:right w:val="nil"/>
            </w:tcBorders>
            <w:shd w:val="clear" w:color="auto" w:fill="auto"/>
            <w:noWrap/>
            <w:vAlign w:val="center"/>
            <w:hideMark/>
          </w:tcPr>
          <w:p w14:paraId="78FEC2DE" w14:textId="14A6ADA6"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Overall (n= 13,317)</w:t>
            </w:r>
          </w:p>
        </w:tc>
        <w:tc>
          <w:tcPr>
            <w:tcW w:w="0" w:type="auto"/>
            <w:tcBorders>
              <w:top w:val="single" w:sz="4" w:space="0" w:color="auto"/>
              <w:left w:val="nil"/>
              <w:bottom w:val="single" w:sz="4" w:space="0" w:color="auto"/>
              <w:right w:val="nil"/>
            </w:tcBorders>
            <w:shd w:val="clear" w:color="auto" w:fill="auto"/>
            <w:noWrap/>
            <w:vAlign w:val="center"/>
            <w:hideMark/>
          </w:tcPr>
          <w:p w14:paraId="6086B33C" w14:textId="2F25E2D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SMD</w:t>
            </w:r>
          </w:p>
        </w:tc>
      </w:tr>
      <w:tr w:rsidR="0018795C" w:rsidRPr="0018795C" w14:paraId="476C3AC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46A6A57" w14:textId="2302A78A"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Complete status of treatment (</w:t>
            </w:r>
            <w:r w:rsidR="00D76889">
              <w:rPr>
                <w:rFonts w:ascii="Calibri" w:eastAsia="Times New Roman" w:hAnsi="Calibri" w:cs="Calibri"/>
                <w:color w:val="000000"/>
                <w:sz w:val="16"/>
                <w:szCs w:val="18"/>
                <w:lang w:val="en-US" w:eastAsia="es-CL"/>
              </w:rPr>
              <w:t>Dropout / Misspelled</w:t>
            </w:r>
            <w:r w:rsidRPr="0018795C">
              <w:rPr>
                <w:rFonts w:ascii="Calibri" w:eastAsia="Times New Roman" w:hAnsi="Calibri" w:cs="Calibri"/>
                <w:color w:val="000000"/>
                <w:sz w:val="16"/>
                <w:szCs w:val="18"/>
                <w:lang w:val="en-US" w:eastAsia="es-CL"/>
              </w:rPr>
              <w:t>) (%)</w:t>
            </w:r>
          </w:p>
        </w:tc>
        <w:tc>
          <w:tcPr>
            <w:tcW w:w="0" w:type="auto"/>
            <w:tcBorders>
              <w:top w:val="nil"/>
              <w:left w:val="nil"/>
              <w:bottom w:val="nil"/>
              <w:right w:val="nil"/>
            </w:tcBorders>
            <w:shd w:val="clear" w:color="auto" w:fill="auto"/>
            <w:noWrap/>
            <w:vAlign w:val="center"/>
            <w:hideMark/>
          </w:tcPr>
          <w:p w14:paraId="417E5C74"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7ADA79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1833 (76.9)</w:t>
            </w:r>
          </w:p>
        </w:tc>
        <w:tc>
          <w:tcPr>
            <w:tcW w:w="0" w:type="auto"/>
            <w:tcBorders>
              <w:top w:val="nil"/>
              <w:left w:val="nil"/>
              <w:bottom w:val="nil"/>
              <w:right w:val="nil"/>
            </w:tcBorders>
            <w:shd w:val="clear" w:color="auto" w:fill="auto"/>
            <w:noWrap/>
            <w:vAlign w:val="center"/>
            <w:hideMark/>
          </w:tcPr>
          <w:p w14:paraId="4C03BA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8615 (78.8)</w:t>
            </w:r>
          </w:p>
        </w:tc>
        <w:tc>
          <w:tcPr>
            <w:tcW w:w="0" w:type="auto"/>
            <w:tcBorders>
              <w:top w:val="nil"/>
              <w:left w:val="nil"/>
              <w:bottom w:val="nil"/>
              <w:right w:val="nil"/>
            </w:tcBorders>
            <w:shd w:val="clear" w:color="auto" w:fill="auto"/>
            <w:noWrap/>
            <w:vAlign w:val="center"/>
            <w:hideMark/>
          </w:tcPr>
          <w:p w14:paraId="4616AE7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10448 (78.5)</w:t>
            </w:r>
          </w:p>
        </w:tc>
        <w:tc>
          <w:tcPr>
            <w:tcW w:w="0" w:type="auto"/>
            <w:tcBorders>
              <w:top w:val="nil"/>
              <w:left w:val="nil"/>
              <w:bottom w:val="nil"/>
              <w:right w:val="nil"/>
            </w:tcBorders>
            <w:shd w:val="clear" w:color="auto" w:fill="auto"/>
            <w:noWrap/>
            <w:vAlign w:val="center"/>
            <w:hideMark/>
          </w:tcPr>
          <w:p w14:paraId="6F310A7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0.045</w:t>
            </w:r>
          </w:p>
        </w:tc>
      </w:tr>
      <w:tr w:rsidR="0018795C" w:rsidRPr="0018795C" w14:paraId="38E7B55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E177DF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Biopsychosocial</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compromise</w:t>
            </w:r>
            <w:proofErr w:type="spellEnd"/>
            <w:r w:rsidRPr="0018795C">
              <w:rPr>
                <w:rFonts w:ascii="Calibri" w:eastAsia="Times New Roman" w:hAnsi="Calibri" w:cs="Calibri"/>
                <w:color w:val="000000"/>
                <w:sz w:val="16"/>
                <w:szCs w:val="18"/>
                <w:lang w:val="es-CL" w:eastAsia="es-CL"/>
              </w:rPr>
              <w:t xml:space="preserve"> (Severe) (%)</w:t>
            </w:r>
          </w:p>
        </w:tc>
        <w:tc>
          <w:tcPr>
            <w:tcW w:w="0" w:type="auto"/>
            <w:tcBorders>
              <w:top w:val="nil"/>
              <w:left w:val="nil"/>
              <w:bottom w:val="nil"/>
              <w:right w:val="nil"/>
            </w:tcBorders>
            <w:shd w:val="clear" w:color="auto" w:fill="auto"/>
            <w:noWrap/>
            <w:vAlign w:val="center"/>
            <w:hideMark/>
          </w:tcPr>
          <w:p w14:paraId="06495EB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7C3DD2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690 (29.0)</w:t>
            </w:r>
          </w:p>
        </w:tc>
        <w:tc>
          <w:tcPr>
            <w:tcW w:w="0" w:type="auto"/>
            <w:tcBorders>
              <w:top w:val="nil"/>
              <w:left w:val="nil"/>
              <w:bottom w:val="nil"/>
              <w:right w:val="nil"/>
            </w:tcBorders>
            <w:shd w:val="clear" w:color="auto" w:fill="auto"/>
            <w:noWrap/>
            <w:vAlign w:val="center"/>
            <w:hideMark/>
          </w:tcPr>
          <w:p w14:paraId="400854B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4806 (44.0)</w:t>
            </w:r>
          </w:p>
        </w:tc>
        <w:tc>
          <w:tcPr>
            <w:tcW w:w="0" w:type="auto"/>
            <w:tcBorders>
              <w:top w:val="nil"/>
              <w:left w:val="nil"/>
              <w:bottom w:val="nil"/>
              <w:right w:val="nil"/>
            </w:tcBorders>
            <w:shd w:val="clear" w:color="auto" w:fill="auto"/>
            <w:noWrap/>
            <w:vAlign w:val="center"/>
            <w:hideMark/>
          </w:tcPr>
          <w:p w14:paraId="1AA612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5496 (41.3)</w:t>
            </w:r>
          </w:p>
        </w:tc>
        <w:tc>
          <w:tcPr>
            <w:tcW w:w="0" w:type="auto"/>
            <w:tcBorders>
              <w:top w:val="nil"/>
              <w:left w:val="nil"/>
              <w:bottom w:val="nil"/>
              <w:right w:val="nil"/>
            </w:tcBorders>
            <w:shd w:val="clear" w:color="auto" w:fill="auto"/>
            <w:noWrap/>
            <w:vAlign w:val="center"/>
            <w:hideMark/>
          </w:tcPr>
          <w:p w14:paraId="70243A9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0.315</w:t>
            </w:r>
          </w:p>
        </w:tc>
      </w:tr>
      <w:tr w:rsidR="0018795C" w:rsidRPr="0018795C" w14:paraId="7088112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C250E1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duration</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binary</w:t>
            </w:r>
            <w:proofErr w:type="spellEnd"/>
            <w:r w:rsidRPr="0018795C">
              <w:rPr>
                <w:rFonts w:ascii="Calibri" w:eastAsia="Times New Roman" w:hAnsi="Calibri" w:cs="Calibri"/>
                <w:color w:val="000000"/>
                <w:sz w:val="16"/>
                <w:szCs w:val="18"/>
                <w:lang w:val="es-CL" w:eastAsia="es-CL"/>
              </w:rPr>
              <w:t xml:space="preserve">) (&lt;90 </w:t>
            </w:r>
            <w:proofErr w:type="spellStart"/>
            <w:r w:rsidRPr="0018795C">
              <w:rPr>
                <w:rFonts w:ascii="Calibri" w:eastAsia="Times New Roman" w:hAnsi="Calibri" w:cs="Calibri"/>
                <w:color w:val="000000"/>
                <w:sz w:val="16"/>
                <w:szCs w:val="18"/>
                <w:lang w:val="es-CL" w:eastAsia="es-CL"/>
              </w:rPr>
              <w:t>days</w:t>
            </w:r>
            <w:proofErr w:type="spellEnd"/>
            <w:r w:rsidRPr="0018795C">
              <w:rPr>
                <w:rFonts w:ascii="Calibri" w:eastAsia="Times New Roman" w:hAnsi="Calibri" w:cs="Calibri"/>
                <w:color w:val="000000"/>
                <w:sz w:val="16"/>
                <w:szCs w:val="18"/>
                <w:lang w:val="es-CL" w:eastAsia="es-CL"/>
              </w:rPr>
              <w:t>) (%)</w:t>
            </w:r>
          </w:p>
        </w:tc>
        <w:tc>
          <w:tcPr>
            <w:tcW w:w="0" w:type="auto"/>
            <w:tcBorders>
              <w:top w:val="nil"/>
              <w:left w:val="nil"/>
              <w:bottom w:val="nil"/>
              <w:right w:val="nil"/>
            </w:tcBorders>
            <w:shd w:val="clear" w:color="auto" w:fill="auto"/>
            <w:noWrap/>
            <w:vAlign w:val="center"/>
            <w:hideMark/>
          </w:tcPr>
          <w:p w14:paraId="249A84B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E30E3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567 (23.8)</w:t>
            </w:r>
          </w:p>
        </w:tc>
        <w:tc>
          <w:tcPr>
            <w:tcW w:w="0" w:type="auto"/>
            <w:tcBorders>
              <w:top w:val="nil"/>
              <w:left w:val="nil"/>
              <w:bottom w:val="nil"/>
              <w:right w:val="nil"/>
            </w:tcBorders>
            <w:shd w:val="clear" w:color="auto" w:fill="auto"/>
            <w:noWrap/>
            <w:vAlign w:val="center"/>
            <w:hideMark/>
          </w:tcPr>
          <w:p w14:paraId="5FA53F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2702 (24.7)</w:t>
            </w:r>
          </w:p>
        </w:tc>
        <w:tc>
          <w:tcPr>
            <w:tcW w:w="0" w:type="auto"/>
            <w:tcBorders>
              <w:top w:val="nil"/>
              <w:left w:val="nil"/>
              <w:bottom w:val="nil"/>
              <w:right w:val="nil"/>
            </w:tcBorders>
            <w:shd w:val="clear" w:color="auto" w:fill="auto"/>
            <w:noWrap/>
            <w:vAlign w:val="center"/>
            <w:hideMark/>
          </w:tcPr>
          <w:p w14:paraId="618AA4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3269 (24.5)</w:t>
            </w:r>
          </w:p>
        </w:tc>
        <w:tc>
          <w:tcPr>
            <w:tcW w:w="0" w:type="auto"/>
            <w:tcBorders>
              <w:top w:val="nil"/>
              <w:left w:val="nil"/>
              <w:bottom w:val="nil"/>
              <w:right w:val="nil"/>
            </w:tcBorders>
            <w:shd w:val="clear" w:color="auto" w:fill="auto"/>
            <w:noWrap/>
            <w:vAlign w:val="center"/>
            <w:hideMark/>
          </w:tcPr>
          <w:p w14:paraId="1EC46CA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0.021</w:t>
            </w:r>
          </w:p>
        </w:tc>
      </w:tr>
      <w:tr w:rsidR="0018795C" w:rsidRPr="0018795C" w14:paraId="5E4E0A40"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F07465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Treatment duration (log-scaled days) (median [IQR])</w:t>
            </w:r>
          </w:p>
        </w:tc>
        <w:tc>
          <w:tcPr>
            <w:tcW w:w="0" w:type="auto"/>
            <w:tcBorders>
              <w:top w:val="nil"/>
              <w:left w:val="nil"/>
              <w:bottom w:val="nil"/>
              <w:right w:val="nil"/>
            </w:tcBorders>
            <w:shd w:val="clear" w:color="auto" w:fill="auto"/>
            <w:noWrap/>
            <w:vAlign w:val="center"/>
            <w:hideMark/>
          </w:tcPr>
          <w:p w14:paraId="45220F3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46AE466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5.6]</w:t>
            </w:r>
          </w:p>
        </w:tc>
        <w:tc>
          <w:tcPr>
            <w:tcW w:w="0" w:type="auto"/>
            <w:tcBorders>
              <w:top w:val="nil"/>
              <w:left w:val="nil"/>
              <w:bottom w:val="nil"/>
              <w:right w:val="nil"/>
            </w:tcBorders>
            <w:shd w:val="clear" w:color="auto" w:fill="auto"/>
            <w:noWrap/>
            <w:vAlign w:val="center"/>
            <w:hideMark/>
          </w:tcPr>
          <w:p w14:paraId="26D002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5.7]</w:t>
            </w:r>
          </w:p>
        </w:tc>
        <w:tc>
          <w:tcPr>
            <w:tcW w:w="0" w:type="auto"/>
            <w:tcBorders>
              <w:top w:val="nil"/>
              <w:left w:val="nil"/>
              <w:bottom w:val="nil"/>
              <w:right w:val="nil"/>
            </w:tcBorders>
            <w:shd w:val="clear" w:color="auto" w:fill="auto"/>
            <w:noWrap/>
            <w:vAlign w:val="center"/>
            <w:hideMark/>
          </w:tcPr>
          <w:p w14:paraId="14EAEF9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5.11 [4.5, 5.7]</w:t>
            </w:r>
          </w:p>
        </w:tc>
        <w:tc>
          <w:tcPr>
            <w:tcW w:w="0" w:type="auto"/>
            <w:tcBorders>
              <w:top w:val="nil"/>
              <w:left w:val="nil"/>
              <w:bottom w:val="nil"/>
              <w:right w:val="nil"/>
            </w:tcBorders>
            <w:shd w:val="clear" w:color="auto" w:fill="auto"/>
            <w:noWrap/>
            <w:vAlign w:val="center"/>
            <w:hideMark/>
          </w:tcPr>
          <w:p w14:paraId="13F5F89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0.043</w:t>
            </w:r>
          </w:p>
        </w:tc>
      </w:tr>
      <w:tr w:rsidR="0018795C" w:rsidRPr="0018795C" w14:paraId="4228F6E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2EC13D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Age at admission to treatment (median [IQR])</w:t>
            </w:r>
          </w:p>
        </w:tc>
        <w:tc>
          <w:tcPr>
            <w:tcW w:w="0" w:type="auto"/>
            <w:tcBorders>
              <w:top w:val="nil"/>
              <w:left w:val="nil"/>
              <w:bottom w:val="nil"/>
              <w:right w:val="nil"/>
            </w:tcBorders>
            <w:shd w:val="clear" w:color="auto" w:fill="auto"/>
            <w:noWrap/>
            <w:vAlign w:val="center"/>
            <w:hideMark/>
          </w:tcPr>
          <w:p w14:paraId="65C1E9BB"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5B30A7D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37.1 [29.4, 46.2]</w:t>
            </w:r>
          </w:p>
        </w:tc>
        <w:tc>
          <w:tcPr>
            <w:tcW w:w="0" w:type="auto"/>
            <w:tcBorders>
              <w:top w:val="nil"/>
              <w:left w:val="nil"/>
              <w:bottom w:val="nil"/>
              <w:right w:val="nil"/>
            </w:tcBorders>
            <w:shd w:val="clear" w:color="auto" w:fill="auto"/>
            <w:noWrap/>
            <w:vAlign w:val="center"/>
            <w:hideMark/>
          </w:tcPr>
          <w:p w14:paraId="74A3B51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 [26.1, 38.1]</w:t>
            </w:r>
          </w:p>
        </w:tc>
        <w:tc>
          <w:tcPr>
            <w:tcW w:w="0" w:type="auto"/>
            <w:tcBorders>
              <w:top w:val="nil"/>
              <w:left w:val="nil"/>
              <w:bottom w:val="nil"/>
              <w:right w:val="nil"/>
            </w:tcBorders>
            <w:shd w:val="clear" w:color="auto" w:fill="auto"/>
            <w:noWrap/>
            <w:vAlign w:val="center"/>
            <w:hideMark/>
          </w:tcPr>
          <w:p w14:paraId="47668F2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32.18 [26.5, 39.6]</w:t>
            </w:r>
          </w:p>
        </w:tc>
        <w:tc>
          <w:tcPr>
            <w:tcW w:w="0" w:type="auto"/>
            <w:tcBorders>
              <w:top w:val="nil"/>
              <w:left w:val="nil"/>
              <w:bottom w:val="nil"/>
              <w:right w:val="nil"/>
            </w:tcBorders>
            <w:shd w:val="clear" w:color="auto" w:fill="auto"/>
            <w:noWrap/>
            <w:vAlign w:val="center"/>
            <w:hideMark/>
          </w:tcPr>
          <w:p w14:paraId="448F227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0.542</w:t>
            </w:r>
          </w:p>
        </w:tc>
      </w:tr>
      <w:tr w:rsidR="0018795C" w:rsidRPr="0018795C" w14:paraId="5222E46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895026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Birth</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year</w:t>
            </w:r>
            <w:proofErr w:type="spellEnd"/>
            <w:r w:rsidRPr="0018795C">
              <w:rPr>
                <w:rFonts w:ascii="Calibri" w:eastAsia="Times New Roman" w:hAnsi="Calibri" w:cs="Calibri"/>
                <w:color w:val="000000"/>
                <w:sz w:val="16"/>
                <w:szCs w:val="18"/>
                <w:lang w:val="es-CL" w:eastAsia="es-CL"/>
              </w:rPr>
              <w:t xml:space="preserve"> (median [IQR])</w:t>
            </w:r>
          </w:p>
        </w:tc>
        <w:tc>
          <w:tcPr>
            <w:tcW w:w="0" w:type="auto"/>
            <w:tcBorders>
              <w:top w:val="nil"/>
              <w:left w:val="nil"/>
              <w:bottom w:val="nil"/>
              <w:right w:val="nil"/>
            </w:tcBorders>
            <w:shd w:val="clear" w:color="auto" w:fill="auto"/>
            <w:noWrap/>
            <w:vAlign w:val="center"/>
            <w:hideMark/>
          </w:tcPr>
          <w:p w14:paraId="478A7812"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262D230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1976.0 [1968.0, 1984.0]</w:t>
            </w:r>
          </w:p>
        </w:tc>
        <w:tc>
          <w:tcPr>
            <w:tcW w:w="0" w:type="auto"/>
            <w:tcBorders>
              <w:top w:val="nil"/>
              <w:left w:val="nil"/>
              <w:bottom w:val="nil"/>
              <w:right w:val="nil"/>
            </w:tcBorders>
            <w:shd w:val="clear" w:color="auto" w:fill="auto"/>
            <w:noWrap/>
            <w:vAlign w:val="center"/>
            <w:hideMark/>
          </w:tcPr>
          <w:p w14:paraId="2CA5B1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[1974.0, 1987.0]</w:t>
            </w:r>
          </w:p>
        </w:tc>
        <w:tc>
          <w:tcPr>
            <w:tcW w:w="0" w:type="auto"/>
            <w:tcBorders>
              <w:top w:val="nil"/>
              <w:left w:val="nil"/>
              <w:bottom w:val="nil"/>
              <w:right w:val="nil"/>
            </w:tcBorders>
            <w:shd w:val="clear" w:color="auto" w:fill="auto"/>
            <w:noWrap/>
            <w:vAlign w:val="center"/>
            <w:hideMark/>
          </w:tcPr>
          <w:p w14:paraId="6B8D480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[1973.0, 1986.0]</w:t>
            </w:r>
          </w:p>
        </w:tc>
        <w:tc>
          <w:tcPr>
            <w:tcW w:w="0" w:type="auto"/>
            <w:tcBorders>
              <w:top w:val="nil"/>
              <w:left w:val="nil"/>
              <w:bottom w:val="nil"/>
              <w:right w:val="nil"/>
            </w:tcBorders>
            <w:shd w:val="clear" w:color="auto" w:fill="auto"/>
            <w:noWrap/>
            <w:vAlign w:val="center"/>
            <w:hideMark/>
          </w:tcPr>
          <w:p w14:paraId="261015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0.446</w:t>
            </w:r>
          </w:p>
        </w:tc>
      </w:tr>
      <w:tr w:rsidR="0018795C" w:rsidRPr="0018795C" w14:paraId="0B6B5A8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FA0EA3C"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commentRangeStart w:id="161"/>
            <w:r w:rsidRPr="0018795C">
              <w:rPr>
                <w:rFonts w:ascii="Calibri" w:eastAsia="Times New Roman" w:hAnsi="Calibri" w:cs="Calibri"/>
                <w:color w:val="000000"/>
                <w:sz w:val="16"/>
                <w:szCs w:val="18"/>
                <w:lang w:val="en-US" w:eastAsia="es-CL"/>
              </w:rPr>
              <w:t>Primary substance (initial diagnosis</w:t>
            </w:r>
            <w:commentRangeEnd w:id="161"/>
            <w:r>
              <w:rPr>
                <w:rStyle w:val="Refdecomentario"/>
                <w:rFonts w:ascii="Times New Roman" w:eastAsia="Times New Roman" w:hAnsi="Times New Roman" w:cs="Times New Roman"/>
                <w:lang w:val="es-CL" w:eastAsia="es-ES_tradnl"/>
              </w:rPr>
              <w:commentReference w:id="161"/>
            </w:r>
            <w:r w:rsidRPr="0018795C">
              <w:rPr>
                <w:rFonts w:ascii="Calibri" w:eastAsia="Times New Roman" w:hAnsi="Calibri" w:cs="Calibri"/>
                <w:color w:val="000000"/>
                <w:sz w:val="16"/>
                <w:szCs w:val="18"/>
                <w:lang w:val="en-US" w:eastAsia="es-CL"/>
              </w:rPr>
              <w:t>): alcohol (%)</w:t>
            </w:r>
          </w:p>
        </w:tc>
        <w:tc>
          <w:tcPr>
            <w:tcW w:w="0" w:type="auto"/>
            <w:tcBorders>
              <w:top w:val="nil"/>
              <w:left w:val="nil"/>
              <w:bottom w:val="nil"/>
              <w:right w:val="nil"/>
            </w:tcBorders>
            <w:shd w:val="clear" w:color="auto" w:fill="auto"/>
            <w:noWrap/>
            <w:vAlign w:val="center"/>
            <w:hideMark/>
          </w:tcPr>
          <w:p w14:paraId="7B46B6B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2DC902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1484 (62.3)</w:t>
            </w:r>
          </w:p>
        </w:tc>
        <w:tc>
          <w:tcPr>
            <w:tcW w:w="0" w:type="auto"/>
            <w:tcBorders>
              <w:top w:val="nil"/>
              <w:left w:val="nil"/>
              <w:bottom w:val="nil"/>
              <w:right w:val="nil"/>
            </w:tcBorders>
            <w:shd w:val="clear" w:color="auto" w:fill="auto"/>
            <w:noWrap/>
            <w:vAlign w:val="center"/>
            <w:hideMark/>
          </w:tcPr>
          <w:p w14:paraId="429303C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5440 (49.8)</w:t>
            </w:r>
          </w:p>
        </w:tc>
        <w:tc>
          <w:tcPr>
            <w:tcW w:w="0" w:type="auto"/>
            <w:tcBorders>
              <w:top w:val="nil"/>
              <w:left w:val="nil"/>
              <w:bottom w:val="nil"/>
              <w:right w:val="nil"/>
            </w:tcBorders>
            <w:shd w:val="clear" w:color="auto" w:fill="auto"/>
            <w:noWrap/>
            <w:vAlign w:val="center"/>
            <w:hideMark/>
          </w:tcPr>
          <w:p w14:paraId="1D05D54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6924 (52.0)</w:t>
            </w:r>
          </w:p>
        </w:tc>
        <w:tc>
          <w:tcPr>
            <w:tcW w:w="0" w:type="auto"/>
            <w:tcBorders>
              <w:top w:val="nil"/>
              <w:left w:val="nil"/>
              <w:bottom w:val="nil"/>
              <w:right w:val="nil"/>
            </w:tcBorders>
            <w:shd w:val="clear" w:color="auto" w:fill="auto"/>
            <w:noWrap/>
            <w:vAlign w:val="center"/>
            <w:hideMark/>
          </w:tcPr>
          <w:p w14:paraId="03D487D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0.254</w:t>
            </w:r>
          </w:p>
        </w:tc>
      </w:tr>
      <w:tr w:rsidR="0018795C" w:rsidRPr="0018795C" w14:paraId="01D75BCF"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07BF13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(initial diagnosis): cocaine hydrochloride (%)</w:t>
            </w:r>
          </w:p>
        </w:tc>
        <w:tc>
          <w:tcPr>
            <w:tcW w:w="0" w:type="auto"/>
            <w:tcBorders>
              <w:top w:val="nil"/>
              <w:left w:val="nil"/>
              <w:bottom w:val="nil"/>
              <w:right w:val="nil"/>
            </w:tcBorders>
            <w:shd w:val="clear" w:color="auto" w:fill="auto"/>
            <w:noWrap/>
            <w:vAlign w:val="center"/>
            <w:hideMark/>
          </w:tcPr>
          <w:p w14:paraId="1DE08E9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ACBDE2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 (4.5)</w:t>
            </w:r>
          </w:p>
        </w:tc>
        <w:tc>
          <w:tcPr>
            <w:tcW w:w="0" w:type="auto"/>
            <w:tcBorders>
              <w:top w:val="nil"/>
              <w:left w:val="nil"/>
              <w:bottom w:val="nil"/>
              <w:right w:val="nil"/>
            </w:tcBorders>
            <w:shd w:val="clear" w:color="auto" w:fill="auto"/>
            <w:noWrap/>
            <w:vAlign w:val="center"/>
            <w:hideMark/>
          </w:tcPr>
          <w:p w14:paraId="0A162B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519 (4.7)</w:t>
            </w:r>
          </w:p>
        </w:tc>
        <w:tc>
          <w:tcPr>
            <w:tcW w:w="0" w:type="auto"/>
            <w:tcBorders>
              <w:top w:val="nil"/>
              <w:left w:val="nil"/>
              <w:bottom w:val="nil"/>
              <w:right w:val="nil"/>
            </w:tcBorders>
            <w:shd w:val="clear" w:color="auto" w:fill="auto"/>
            <w:noWrap/>
            <w:vAlign w:val="center"/>
            <w:hideMark/>
          </w:tcPr>
          <w:p w14:paraId="0F9842D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627 (4.7)</w:t>
            </w:r>
          </w:p>
        </w:tc>
        <w:tc>
          <w:tcPr>
            <w:tcW w:w="0" w:type="auto"/>
            <w:tcBorders>
              <w:top w:val="nil"/>
              <w:left w:val="nil"/>
              <w:bottom w:val="nil"/>
              <w:right w:val="nil"/>
            </w:tcBorders>
            <w:shd w:val="clear" w:color="auto" w:fill="auto"/>
            <w:noWrap/>
            <w:vAlign w:val="center"/>
            <w:hideMark/>
          </w:tcPr>
          <w:p w14:paraId="5F48AB1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0.010</w:t>
            </w:r>
          </w:p>
        </w:tc>
      </w:tr>
      <w:tr w:rsidR="0018795C" w:rsidRPr="0018795C" w14:paraId="57DF157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DE9C3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w:t>
            </w:r>
            <w:proofErr w:type="spellStart"/>
            <w:r w:rsidRPr="0018795C">
              <w:rPr>
                <w:rFonts w:ascii="Calibri" w:eastAsia="Times New Roman" w:hAnsi="Calibri" w:cs="Calibri"/>
                <w:color w:val="000000"/>
                <w:sz w:val="16"/>
                <w:szCs w:val="18"/>
                <w:lang w:val="es-CL" w:eastAsia="es-CL"/>
              </w:rPr>
              <w:t>cocaine</w:t>
            </w:r>
            <w:proofErr w:type="spellEnd"/>
            <w:r w:rsidRPr="0018795C">
              <w:rPr>
                <w:rFonts w:ascii="Calibri" w:eastAsia="Times New Roman" w:hAnsi="Calibri" w:cs="Calibri"/>
                <w:color w:val="000000"/>
                <w:sz w:val="16"/>
                <w:szCs w:val="18"/>
                <w:lang w:val="es-CL" w:eastAsia="es-CL"/>
              </w:rPr>
              <w:t xml:space="preserve"> base paste (%)</w:t>
            </w:r>
          </w:p>
        </w:tc>
        <w:tc>
          <w:tcPr>
            <w:tcW w:w="0" w:type="auto"/>
            <w:tcBorders>
              <w:top w:val="nil"/>
              <w:left w:val="nil"/>
              <w:bottom w:val="nil"/>
              <w:right w:val="nil"/>
            </w:tcBorders>
            <w:shd w:val="clear" w:color="auto" w:fill="auto"/>
            <w:noWrap/>
            <w:vAlign w:val="center"/>
            <w:hideMark/>
          </w:tcPr>
          <w:p w14:paraId="4BF4712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BA5B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251 (10.5)</w:t>
            </w:r>
          </w:p>
        </w:tc>
        <w:tc>
          <w:tcPr>
            <w:tcW w:w="0" w:type="auto"/>
            <w:tcBorders>
              <w:top w:val="nil"/>
              <w:left w:val="nil"/>
              <w:bottom w:val="nil"/>
              <w:right w:val="nil"/>
            </w:tcBorders>
            <w:shd w:val="clear" w:color="auto" w:fill="auto"/>
            <w:noWrap/>
            <w:vAlign w:val="center"/>
            <w:hideMark/>
          </w:tcPr>
          <w:p w14:paraId="2030465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872 (8.0)</w:t>
            </w:r>
          </w:p>
        </w:tc>
        <w:tc>
          <w:tcPr>
            <w:tcW w:w="0" w:type="auto"/>
            <w:tcBorders>
              <w:top w:val="nil"/>
              <w:left w:val="nil"/>
              <w:bottom w:val="nil"/>
              <w:right w:val="nil"/>
            </w:tcBorders>
            <w:shd w:val="clear" w:color="auto" w:fill="auto"/>
            <w:noWrap/>
            <w:vAlign w:val="center"/>
            <w:hideMark/>
          </w:tcPr>
          <w:p w14:paraId="770647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1123 (8.4)</w:t>
            </w:r>
          </w:p>
        </w:tc>
        <w:tc>
          <w:tcPr>
            <w:tcW w:w="0" w:type="auto"/>
            <w:tcBorders>
              <w:top w:val="nil"/>
              <w:left w:val="nil"/>
              <w:bottom w:val="nil"/>
              <w:right w:val="nil"/>
            </w:tcBorders>
            <w:shd w:val="clear" w:color="auto" w:fill="auto"/>
            <w:noWrap/>
            <w:vAlign w:val="center"/>
            <w:hideMark/>
          </w:tcPr>
          <w:p w14:paraId="46F59EE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0.088</w:t>
            </w:r>
          </w:p>
        </w:tc>
      </w:tr>
      <w:tr w:rsidR="0018795C" w:rsidRPr="0018795C" w14:paraId="384C3C6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447132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marijuana (%)</w:t>
            </w:r>
          </w:p>
        </w:tc>
        <w:tc>
          <w:tcPr>
            <w:tcW w:w="0" w:type="auto"/>
            <w:tcBorders>
              <w:top w:val="nil"/>
              <w:left w:val="nil"/>
              <w:bottom w:val="nil"/>
              <w:right w:val="nil"/>
            </w:tcBorders>
            <w:shd w:val="clear" w:color="auto" w:fill="auto"/>
            <w:noWrap/>
            <w:vAlign w:val="center"/>
            <w:hideMark/>
          </w:tcPr>
          <w:p w14:paraId="55B69D5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9BF6B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483 (20.3)</w:t>
            </w:r>
          </w:p>
        </w:tc>
        <w:tc>
          <w:tcPr>
            <w:tcW w:w="0" w:type="auto"/>
            <w:tcBorders>
              <w:top w:val="nil"/>
              <w:left w:val="nil"/>
              <w:bottom w:val="nil"/>
              <w:right w:val="nil"/>
            </w:tcBorders>
            <w:shd w:val="clear" w:color="auto" w:fill="auto"/>
            <w:noWrap/>
            <w:vAlign w:val="center"/>
            <w:hideMark/>
          </w:tcPr>
          <w:p w14:paraId="1F9B271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3865 (35.3)</w:t>
            </w:r>
          </w:p>
        </w:tc>
        <w:tc>
          <w:tcPr>
            <w:tcW w:w="0" w:type="auto"/>
            <w:tcBorders>
              <w:top w:val="nil"/>
              <w:left w:val="nil"/>
              <w:bottom w:val="nil"/>
              <w:right w:val="nil"/>
            </w:tcBorders>
            <w:shd w:val="clear" w:color="auto" w:fill="auto"/>
            <w:noWrap/>
            <w:vAlign w:val="center"/>
            <w:hideMark/>
          </w:tcPr>
          <w:p w14:paraId="1E37F46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4348 (32.6)</w:t>
            </w:r>
          </w:p>
        </w:tc>
        <w:tc>
          <w:tcPr>
            <w:tcW w:w="0" w:type="auto"/>
            <w:tcBorders>
              <w:top w:val="nil"/>
              <w:left w:val="nil"/>
              <w:bottom w:val="nil"/>
              <w:right w:val="nil"/>
            </w:tcBorders>
            <w:shd w:val="clear" w:color="auto" w:fill="auto"/>
            <w:noWrap/>
            <w:vAlign w:val="center"/>
            <w:hideMark/>
          </w:tcPr>
          <w:p w14:paraId="63A7D2B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0.341</w:t>
            </w:r>
          </w:p>
        </w:tc>
      </w:tr>
      <w:tr w:rsidR="0018795C" w:rsidRPr="0018795C" w14:paraId="1452E681"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FB7226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Psychiatric comorbidity (ICD-10): In study (%)</w:t>
            </w:r>
          </w:p>
        </w:tc>
        <w:tc>
          <w:tcPr>
            <w:tcW w:w="0" w:type="auto"/>
            <w:tcBorders>
              <w:top w:val="nil"/>
              <w:left w:val="nil"/>
              <w:bottom w:val="nil"/>
              <w:right w:val="nil"/>
            </w:tcBorders>
            <w:shd w:val="clear" w:color="auto" w:fill="auto"/>
            <w:noWrap/>
            <w:vAlign w:val="center"/>
            <w:hideMark/>
          </w:tcPr>
          <w:p w14:paraId="0FAF861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BB8BEF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420 (17.6)</w:t>
            </w:r>
          </w:p>
        </w:tc>
        <w:tc>
          <w:tcPr>
            <w:tcW w:w="0" w:type="auto"/>
            <w:tcBorders>
              <w:top w:val="nil"/>
              <w:left w:val="nil"/>
              <w:bottom w:val="nil"/>
              <w:right w:val="nil"/>
            </w:tcBorders>
            <w:shd w:val="clear" w:color="auto" w:fill="auto"/>
            <w:noWrap/>
            <w:vAlign w:val="center"/>
            <w:hideMark/>
          </w:tcPr>
          <w:p w14:paraId="59828E3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2233 (20.4)</w:t>
            </w:r>
          </w:p>
        </w:tc>
        <w:tc>
          <w:tcPr>
            <w:tcW w:w="0" w:type="auto"/>
            <w:tcBorders>
              <w:top w:val="nil"/>
              <w:left w:val="nil"/>
              <w:bottom w:val="nil"/>
              <w:right w:val="nil"/>
            </w:tcBorders>
            <w:shd w:val="clear" w:color="auto" w:fill="auto"/>
            <w:noWrap/>
            <w:vAlign w:val="center"/>
            <w:hideMark/>
          </w:tcPr>
          <w:p w14:paraId="00971D0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2653 (19.9)</w:t>
            </w:r>
          </w:p>
        </w:tc>
        <w:tc>
          <w:tcPr>
            <w:tcW w:w="0" w:type="auto"/>
            <w:tcBorders>
              <w:top w:val="nil"/>
              <w:left w:val="nil"/>
              <w:bottom w:val="nil"/>
              <w:right w:val="nil"/>
            </w:tcBorders>
            <w:shd w:val="clear" w:color="auto" w:fill="auto"/>
            <w:noWrap/>
            <w:vAlign w:val="center"/>
            <w:hideMark/>
          </w:tcPr>
          <w:p w14:paraId="4040E30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0.071</w:t>
            </w:r>
          </w:p>
        </w:tc>
      </w:tr>
      <w:tr w:rsidR="0018795C" w:rsidRPr="0018795C" w14:paraId="77445D8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B61A912" w14:textId="2659381F"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Psychiatric</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comorbidity</w:t>
            </w:r>
            <w:proofErr w:type="spellEnd"/>
            <w:r w:rsidRPr="0018795C">
              <w:rPr>
                <w:rFonts w:ascii="Calibri" w:eastAsia="Times New Roman" w:hAnsi="Calibri" w:cs="Calibri"/>
                <w:color w:val="000000"/>
                <w:sz w:val="16"/>
                <w:szCs w:val="18"/>
                <w:lang w:val="es-CL" w:eastAsia="es-CL"/>
              </w:rPr>
              <w:t xml:space="preserve"> (ICD-10): </w:t>
            </w:r>
            <w:r w:rsidR="005F274E" w:rsidRPr="0018795C">
              <w:rPr>
                <w:rFonts w:ascii="Calibri" w:eastAsia="Times New Roman" w:hAnsi="Calibri" w:cs="Calibri"/>
                <w:color w:val="000000"/>
                <w:sz w:val="16"/>
                <w:szCs w:val="18"/>
                <w:lang w:val="es-CL" w:eastAsia="es-CL"/>
              </w:rPr>
              <w:t>Diagnosis</w:t>
            </w:r>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C9FF8F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01E3AD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986 (41.4)</w:t>
            </w:r>
          </w:p>
        </w:tc>
        <w:tc>
          <w:tcPr>
            <w:tcW w:w="0" w:type="auto"/>
            <w:tcBorders>
              <w:top w:val="nil"/>
              <w:left w:val="nil"/>
              <w:bottom w:val="nil"/>
              <w:right w:val="nil"/>
            </w:tcBorders>
            <w:shd w:val="clear" w:color="auto" w:fill="auto"/>
            <w:noWrap/>
            <w:vAlign w:val="center"/>
            <w:hideMark/>
          </w:tcPr>
          <w:p w14:paraId="42C4761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4850 (44.4)</w:t>
            </w:r>
          </w:p>
        </w:tc>
        <w:tc>
          <w:tcPr>
            <w:tcW w:w="0" w:type="auto"/>
            <w:tcBorders>
              <w:top w:val="nil"/>
              <w:left w:val="nil"/>
              <w:bottom w:val="nil"/>
              <w:right w:val="nil"/>
            </w:tcBorders>
            <w:shd w:val="clear" w:color="auto" w:fill="auto"/>
            <w:noWrap/>
            <w:vAlign w:val="center"/>
            <w:hideMark/>
          </w:tcPr>
          <w:p w14:paraId="05F23E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5836 (43.8)</w:t>
            </w:r>
          </w:p>
        </w:tc>
        <w:tc>
          <w:tcPr>
            <w:tcW w:w="0" w:type="auto"/>
            <w:tcBorders>
              <w:top w:val="nil"/>
              <w:left w:val="nil"/>
              <w:bottom w:val="nil"/>
              <w:right w:val="nil"/>
            </w:tcBorders>
            <w:shd w:val="clear" w:color="auto" w:fill="auto"/>
            <w:noWrap/>
            <w:vAlign w:val="center"/>
            <w:hideMark/>
          </w:tcPr>
          <w:p w14:paraId="3961C8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0.060</w:t>
            </w:r>
          </w:p>
        </w:tc>
      </w:tr>
      <w:tr w:rsidR="0018795C" w:rsidRPr="0018795C" w14:paraId="5F2010B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4C611B1" w14:textId="2E2BFFEC" w:rsidR="0018795C" w:rsidRPr="0018795C" w:rsidRDefault="002D26C3" w:rsidP="0018795C">
            <w:pPr>
              <w:spacing w:after="0" w:line="240" w:lineRule="auto"/>
              <w:jc w:val="left"/>
              <w:rPr>
                <w:rFonts w:ascii="Calibri" w:eastAsia="Times New Roman" w:hAnsi="Calibri" w:cs="Calibri"/>
                <w:color w:val="000000"/>
                <w:sz w:val="16"/>
                <w:szCs w:val="18"/>
                <w:lang w:val="en-US" w:eastAsia="es-CL"/>
              </w:rPr>
            </w:pPr>
            <w:r w:rsidRPr="002D26C3">
              <w:rPr>
                <w:rFonts w:ascii="Calibri" w:eastAsia="Times New Roman" w:hAnsi="Calibri" w:cs="Calibri"/>
                <w:color w:val="000000"/>
                <w:sz w:val="16"/>
                <w:szCs w:val="18"/>
                <w:lang w:val="en-US" w:eastAsia="es-CL"/>
              </w:rPr>
              <w:t>Daily frequence of primary substance use at admission</w:t>
            </w:r>
            <w:r>
              <w:rPr>
                <w:rFonts w:ascii="Calibri" w:eastAsia="Times New Roman" w:hAnsi="Calibri" w:cs="Calibri"/>
                <w:color w:val="000000"/>
                <w:sz w:val="16"/>
                <w:szCs w:val="18"/>
                <w:lang w:val="en-US" w:eastAsia="es-CL"/>
              </w:rPr>
              <w:t xml:space="preserve"> (%)</w:t>
            </w:r>
          </w:p>
        </w:tc>
        <w:tc>
          <w:tcPr>
            <w:tcW w:w="0" w:type="auto"/>
            <w:tcBorders>
              <w:top w:val="nil"/>
              <w:left w:val="nil"/>
              <w:bottom w:val="nil"/>
              <w:right w:val="nil"/>
            </w:tcBorders>
            <w:shd w:val="clear" w:color="auto" w:fill="auto"/>
            <w:noWrap/>
            <w:vAlign w:val="center"/>
            <w:hideMark/>
          </w:tcPr>
          <w:p w14:paraId="0DA165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03C2B4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1013 (42.5)</w:t>
            </w:r>
          </w:p>
        </w:tc>
        <w:tc>
          <w:tcPr>
            <w:tcW w:w="0" w:type="auto"/>
            <w:tcBorders>
              <w:top w:val="nil"/>
              <w:left w:val="nil"/>
              <w:bottom w:val="nil"/>
              <w:right w:val="nil"/>
            </w:tcBorders>
            <w:shd w:val="clear" w:color="auto" w:fill="auto"/>
            <w:noWrap/>
            <w:vAlign w:val="center"/>
            <w:hideMark/>
          </w:tcPr>
          <w:p w14:paraId="5F818BD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5229 (47.8)</w:t>
            </w:r>
          </w:p>
        </w:tc>
        <w:tc>
          <w:tcPr>
            <w:tcW w:w="0" w:type="auto"/>
            <w:tcBorders>
              <w:top w:val="nil"/>
              <w:left w:val="nil"/>
              <w:bottom w:val="nil"/>
              <w:right w:val="nil"/>
            </w:tcBorders>
            <w:shd w:val="clear" w:color="auto" w:fill="auto"/>
            <w:noWrap/>
            <w:vAlign w:val="center"/>
            <w:hideMark/>
          </w:tcPr>
          <w:p w14:paraId="07DFB23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6242 (46.9)</w:t>
            </w:r>
          </w:p>
        </w:tc>
        <w:tc>
          <w:tcPr>
            <w:tcW w:w="0" w:type="auto"/>
            <w:tcBorders>
              <w:top w:val="nil"/>
              <w:left w:val="nil"/>
              <w:bottom w:val="nil"/>
              <w:right w:val="nil"/>
            </w:tcBorders>
            <w:shd w:val="clear" w:color="auto" w:fill="auto"/>
            <w:noWrap/>
            <w:vAlign w:val="center"/>
            <w:hideMark/>
          </w:tcPr>
          <w:p w14:paraId="2BC5D24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0.107</w:t>
            </w:r>
          </w:p>
        </w:tc>
      </w:tr>
      <w:tr w:rsidR="0018795C" w:rsidRPr="0018795C" w14:paraId="2C50865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C2EBF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Inactive (%)</w:t>
            </w:r>
          </w:p>
        </w:tc>
        <w:tc>
          <w:tcPr>
            <w:tcW w:w="0" w:type="auto"/>
            <w:tcBorders>
              <w:top w:val="nil"/>
              <w:left w:val="nil"/>
              <w:bottom w:val="nil"/>
              <w:right w:val="nil"/>
            </w:tcBorders>
            <w:shd w:val="clear" w:color="auto" w:fill="auto"/>
            <w:noWrap/>
            <w:vAlign w:val="center"/>
            <w:hideMark/>
          </w:tcPr>
          <w:p w14:paraId="586A35F6"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DA4F2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468 (19.6)</w:t>
            </w:r>
          </w:p>
        </w:tc>
        <w:tc>
          <w:tcPr>
            <w:tcW w:w="0" w:type="auto"/>
            <w:tcBorders>
              <w:top w:val="nil"/>
              <w:left w:val="nil"/>
              <w:bottom w:val="nil"/>
              <w:right w:val="nil"/>
            </w:tcBorders>
            <w:shd w:val="clear" w:color="auto" w:fill="auto"/>
            <w:noWrap/>
            <w:vAlign w:val="center"/>
            <w:hideMark/>
          </w:tcPr>
          <w:p w14:paraId="3C03E4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1942 (17.8)</w:t>
            </w:r>
          </w:p>
        </w:tc>
        <w:tc>
          <w:tcPr>
            <w:tcW w:w="0" w:type="auto"/>
            <w:tcBorders>
              <w:top w:val="nil"/>
              <w:left w:val="nil"/>
              <w:bottom w:val="nil"/>
              <w:right w:val="nil"/>
            </w:tcBorders>
            <w:shd w:val="clear" w:color="auto" w:fill="auto"/>
            <w:noWrap/>
            <w:vAlign w:val="center"/>
            <w:hideMark/>
          </w:tcPr>
          <w:p w14:paraId="7C57C78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2410 (18.1)</w:t>
            </w:r>
          </w:p>
        </w:tc>
        <w:tc>
          <w:tcPr>
            <w:tcW w:w="0" w:type="auto"/>
            <w:tcBorders>
              <w:top w:val="nil"/>
              <w:left w:val="nil"/>
              <w:bottom w:val="nil"/>
              <w:right w:val="nil"/>
            </w:tcBorders>
            <w:shd w:val="clear" w:color="auto" w:fill="auto"/>
            <w:noWrap/>
            <w:vAlign w:val="center"/>
            <w:hideMark/>
          </w:tcPr>
          <w:p w14:paraId="4E8DADC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0.048</w:t>
            </w:r>
          </w:p>
        </w:tc>
      </w:tr>
      <w:tr w:rsidR="0018795C" w:rsidRPr="0018795C" w14:paraId="099B7CF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83E38F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w:t>
            </w:r>
            <w:proofErr w:type="spellStart"/>
            <w:r w:rsidRPr="0018795C">
              <w:rPr>
                <w:rFonts w:ascii="Calibri" w:eastAsia="Times New Roman" w:hAnsi="Calibri" w:cs="Calibri"/>
                <w:color w:val="000000"/>
                <w:sz w:val="16"/>
                <w:szCs w:val="18"/>
                <w:lang w:val="es-CL" w:eastAsia="es-CL"/>
              </w:rPr>
              <w:t>Unemployed</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61BCCD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38D68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764 (32.1)</w:t>
            </w:r>
          </w:p>
        </w:tc>
        <w:tc>
          <w:tcPr>
            <w:tcW w:w="0" w:type="auto"/>
            <w:tcBorders>
              <w:top w:val="nil"/>
              <w:left w:val="nil"/>
              <w:bottom w:val="nil"/>
              <w:right w:val="nil"/>
            </w:tcBorders>
            <w:shd w:val="clear" w:color="auto" w:fill="auto"/>
            <w:noWrap/>
            <w:vAlign w:val="center"/>
            <w:hideMark/>
          </w:tcPr>
          <w:p w14:paraId="02EF235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4507 (41.2)</w:t>
            </w:r>
          </w:p>
        </w:tc>
        <w:tc>
          <w:tcPr>
            <w:tcW w:w="0" w:type="auto"/>
            <w:tcBorders>
              <w:top w:val="nil"/>
              <w:left w:val="nil"/>
              <w:bottom w:val="nil"/>
              <w:right w:val="nil"/>
            </w:tcBorders>
            <w:shd w:val="clear" w:color="auto" w:fill="auto"/>
            <w:noWrap/>
            <w:vAlign w:val="center"/>
            <w:hideMark/>
          </w:tcPr>
          <w:p w14:paraId="2B2C5BF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5271 (39.6)</w:t>
            </w:r>
          </w:p>
        </w:tc>
        <w:tc>
          <w:tcPr>
            <w:tcW w:w="0" w:type="auto"/>
            <w:tcBorders>
              <w:top w:val="nil"/>
              <w:left w:val="nil"/>
              <w:bottom w:val="nil"/>
              <w:right w:val="nil"/>
            </w:tcBorders>
            <w:shd w:val="clear" w:color="auto" w:fill="auto"/>
            <w:noWrap/>
            <w:vAlign w:val="center"/>
            <w:hideMark/>
          </w:tcPr>
          <w:p w14:paraId="5FD1AB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0.191</w:t>
            </w:r>
          </w:p>
        </w:tc>
      </w:tr>
      <w:tr w:rsidR="0018795C" w:rsidRPr="0018795C" w14:paraId="530AEDB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D1603DF"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hydrochloride (%)</w:t>
            </w:r>
          </w:p>
        </w:tc>
        <w:tc>
          <w:tcPr>
            <w:tcW w:w="0" w:type="auto"/>
            <w:tcBorders>
              <w:top w:val="nil"/>
              <w:left w:val="nil"/>
              <w:bottom w:val="nil"/>
              <w:right w:val="nil"/>
            </w:tcBorders>
            <w:shd w:val="clear" w:color="auto" w:fill="auto"/>
            <w:noWrap/>
            <w:vAlign w:val="center"/>
            <w:hideMark/>
          </w:tcPr>
          <w:p w14:paraId="409F4A5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39F2EA2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292 (12.3)</w:t>
            </w:r>
          </w:p>
        </w:tc>
        <w:tc>
          <w:tcPr>
            <w:tcW w:w="0" w:type="auto"/>
            <w:tcBorders>
              <w:top w:val="nil"/>
              <w:left w:val="nil"/>
              <w:bottom w:val="nil"/>
              <w:right w:val="nil"/>
            </w:tcBorders>
            <w:shd w:val="clear" w:color="auto" w:fill="auto"/>
            <w:noWrap/>
            <w:vAlign w:val="center"/>
            <w:hideMark/>
          </w:tcPr>
          <w:p w14:paraId="370CD2A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2078 (19.0)</w:t>
            </w:r>
          </w:p>
        </w:tc>
        <w:tc>
          <w:tcPr>
            <w:tcW w:w="0" w:type="auto"/>
            <w:tcBorders>
              <w:top w:val="nil"/>
              <w:left w:val="nil"/>
              <w:bottom w:val="nil"/>
              <w:right w:val="nil"/>
            </w:tcBorders>
            <w:shd w:val="clear" w:color="auto" w:fill="auto"/>
            <w:noWrap/>
            <w:vAlign w:val="center"/>
            <w:hideMark/>
          </w:tcPr>
          <w:p w14:paraId="01F9076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2370 (17.8)</w:t>
            </w:r>
          </w:p>
        </w:tc>
        <w:tc>
          <w:tcPr>
            <w:tcW w:w="0" w:type="auto"/>
            <w:tcBorders>
              <w:top w:val="nil"/>
              <w:left w:val="nil"/>
              <w:bottom w:val="nil"/>
              <w:right w:val="nil"/>
            </w:tcBorders>
            <w:shd w:val="clear" w:color="auto" w:fill="auto"/>
            <w:noWrap/>
            <w:vAlign w:val="center"/>
            <w:hideMark/>
          </w:tcPr>
          <w:p w14:paraId="499E255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0.187</w:t>
            </w:r>
          </w:p>
        </w:tc>
      </w:tr>
      <w:tr w:rsidR="0018795C" w:rsidRPr="0018795C" w14:paraId="40DCA29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54E936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base paste (%)</w:t>
            </w:r>
          </w:p>
        </w:tc>
        <w:tc>
          <w:tcPr>
            <w:tcW w:w="0" w:type="auto"/>
            <w:tcBorders>
              <w:top w:val="nil"/>
              <w:left w:val="nil"/>
              <w:bottom w:val="nil"/>
              <w:right w:val="nil"/>
            </w:tcBorders>
            <w:shd w:val="clear" w:color="auto" w:fill="auto"/>
            <w:noWrap/>
            <w:vAlign w:val="center"/>
            <w:hideMark/>
          </w:tcPr>
          <w:p w14:paraId="127964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14684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902 (37.9)</w:t>
            </w:r>
          </w:p>
        </w:tc>
        <w:tc>
          <w:tcPr>
            <w:tcW w:w="0" w:type="auto"/>
            <w:tcBorders>
              <w:top w:val="nil"/>
              <w:left w:val="nil"/>
              <w:bottom w:val="nil"/>
              <w:right w:val="nil"/>
            </w:tcBorders>
            <w:shd w:val="clear" w:color="auto" w:fill="auto"/>
            <w:noWrap/>
            <w:vAlign w:val="center"/>
            <w:hideMark/>
          </w:tcPr>
          <w:p w14:paraId="67F0E51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5996 (54.8)</w:t>
            </w:r>
          </w:p>
        </w:tc>
        <w:tc>
          <w:tcPr>
            <w:tcW w:w="0" w:type="auto"/>
            <w:tcBorders>
              <w:top w:val="nil"/>
              <w:left w:val="nil"/>
              <w:bottom w:val="nil"/>
              <w:right w:val="nil"/>
            </w:tcBorders>
            <w:shd w:val="clear" w:color="auto" w:fill="auto"/>
            <w:noWrap/>
            <w:vAlign w:val="center"/>
            <w:hideMark/>
          </w:tcPr>
          <w:p w14:paraId="1F92D01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6898 (51.8)</w:t>
            </w:r>
          </w:p>
        </w:tc>
        <w:tc>
          <w:tcPr>
            <w:tcW w:w="0" w:type="auto"/>
            <w:tcBorders>
              <w:top w:val="nil"/>
              <w:left w:val="nil"/>
              <w:bottom w:val="nil"/>
              <w:right w:val="nil"/>
            </w:tcBorders>
            <w:shd w:val="clear" w:color="auto" w:fill="auto"/>
            <w:noWrap/>
            <w:vAlign w:val="center"/>
            <w:hideMark/>
          </w:tcPr>
          <w:p w14:paraId="5E460F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0.346</w:t>
            </w:r>
          </w:p>
        </w:tc>
      </w:tr>
      <w:tr w:rsidR="0018795C" w:rsidRPr="0018795C" w14:paraId="001D8F2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B56C2B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marijuana (%)</w:t>
            </w:r>
          </w:p>
        </w:tc>
        <w:tc>
          <w:tcPr>
            <w:tcW w:w="0" w:type="auto"/>
            <w:tcBorders>
              <w:top w:val="nil"/>
              <w:left w:val="nil"/>
              <w:bottom w:val="nil"/>
              <w:right w:val="nil"/>
            </w:tcBorders>
            <w:shd w:val="clear" w:color="auto" w:fill="auto"/>
            <w:noWrap/>
            <w:vAlign w:val="center"/>
            <w:hideMark/>
          </w:tcPr>
          <w:p w14:paraId="7A77C47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FB9AE4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64 (2.7)</w:t>
            </w:r>
          </w:p>
        </w:tc>
        <w:tc>
          <w:tcPr>
            <w:tcW w:w="0" w:type="auto"/>
            <w:tcBorders>
              <w:top w:val="nil"/>
              <w:left w:val="nil"/>
              <w:bottom w:val="nil"/>
              <w:right w:val="nil"/>
            </w:tcBorders>
            <w:shd w:val="clear" w:color="auto" w:fill="auto"/>
            <w:noWrap/>
            <w:vAlign w:val="center"/>
            <w:hideMark/>
          </w:tcPr>
          <w:p w14:paraId="715F9C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653 (6.0)</w:t>
            </w:r>
          </w:p>
        </w:tc>
        <w:tc>
          <w:tcPr>
            <w:tcW w:w="0" w:type="auto"/>
            <w:tcBorders>
              <w:top w:val="nil"/>
              <w:left w:val="nil"/>
              <w:bottom w:val="nil"/>
              <w:right w:val="nil"/>
            </w:tcBorders>
            <w:shd w:val="clear" w:color="auto" w:fill="auto"/>
            <w:noWrap/>
            <w:vAlign w:val="center"/>
            <w:hideMark/>
          </w:tcPr>
          <w:p w14:paraId="7C05C75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717 (5.4)</w:t>
            </w:r>
          </w:p>
        </w:tc>
        <w:tc>
          <w:tcPr>
            <w:tcW w:w="0" w:type="auto"/>
            <w:tcBorders>
              <w:top w:val="nil"/>
              <w:left w:val="nil"/>
              <w:bottom w:val="nil"/>
              <w:right w:val="nil"/>
            </w:tcBorders>
            <w:shd w:val="clear" w:color="auto" w:fill="auto"/>
            <w:noWrap/>
            <w:vAlign w:val="center"/>
            <w:hideMark/>
          </w:tcPr>
          <w:p w14:paraId="04BDCAE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0.162</w:t>
            </w:r>
          </w:p>
        </w:tc>
      </w:tr>
      <w:tr w:rsidR="0018795C" w:rsidRPr="0018795C" w14:paraId="2DACE1E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0908B9F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alcohol (%)</w:t>
            </w:r>
          </w:p>
        </w:tc>
        <w:tc>
          <w:tcPr>
            <w:tcW w:w="0" w:type="auto"/>
            <w:tcBorders>
              <w:top w:val="nil"/>
              <w:left w:val="nil"/>
              <w:bottom w:val="nil"/>
              <w:right w:val="nil"/>
            </w:tcBorders>
            <w:shd w:val="clear" w:color="auto" w:fill="auto"/>
            <w:noWrap/>
            <w:vAlign w:val="center"/>
            <w:hideMark/>
          </w:tcPr>
          <w:p w14:paraId="2ED2C519"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6E010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1082 (45.4)</w:t>
            </w:r>
          </w:p>
        </w:tc>
        <w:tc>
          <w:tcPr>
            <w:tcW w:w="0" w:type="auto"/>
            <w:tcBorders>
              <w:top w:val="nil"/>
              <w:left w:val="nil"/>
              <w:bottom w:val="nil"/>
              <w:right w:val="nil"/>
            </w:tcBorders>
            <w:shd w:val="clear" w:color="auto" w:fill="auto"/>
            <w:noWrap/>
            <w:vAlign w:val="center"/>
            <w:hideMark/>
          </w:tcPr>
          <w:p w14:paraId="3CF1C3C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2062 (18.9)</w:t>
            </w:r>
          </w:p>
        </w:tc>
        <w:tc>
          <w:tcPr>
            <w:tcW w:w="0" w:type="auto"/>
            <w:tcBorders>
              <w:top w:val="nil"/>
              <w:left w:val="nil"/>
              <w:bottom w:val="nil"/>
              <w:right w:val="nil"/>
            </w:tcBorders>
            <w:shd w:val="clear" w:color="auto" w:fill="auto"/>
            <w:noWrap/>
            <w:vAlign w:val="center"/>
            <w:hideMark/>
          </w:tcPr>
          <w:p w14:paraId="21EFB0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3144 (23.6)</w:t>
            </w:r>
          </w:p>
        </w:tc>
        <w:tc>
          <w:tcPr>
            <w:tcW w:w="0" w:type="auto"/>
            <w:tcBorders>
              <w:top w:val="nil"/>
              <w:left w:val="nil"/>
              <w:bottom w:val="nil"/>
              <w:right w:val="nil"/>
            </w:tcBorders>
            <w:shd w:val="clear" w:color="auto" w:fill="auto"/>
            <w:noWrap/>
            <w:vAlign w:val="center"/>
            <w:hideMark/>
          </w:tcPr>
          <w:p w14:paraId="03534C9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0.593</w:t>
            </w:r>
          </w:p>
        </w:tc>
      </w:tr>
      <w:tr w:rsidR="0018795C" w:rsidRPr="0018795C" w14:paraId="371D2C9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C63B14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setting</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79548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Basic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50021C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1040 (43.6)</w:t>
            </w:r>
          </w:p>
        </w:tc>
        <w:tc>
          <w:tcPr>
            <w:tcW w:w="0" w:type="auto"/>
            <w:tcBorders>
              <w:top w:val="nil"/>
              <w:left w:val="nil"/>
              <w:bottom w:val="nil"/>
              <w:right w:val="nil"/>
            </w:tcBorders>
            <w:shd w:val="clear" w:color="auto" w:fill="auto"/>
            <w:noWrap/>
            <w:vAlign w:val="center"/>
            <w:hideMark/>
          </w:tcPr>
          <w:p w14:paraId="611C80F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3320 (30.4)</w:t>
            </w:r>
          </w:p>
        </w:tc>
        <w:tc>
          <w:tcPr>
            <w:tcW w:w="0" w:type="auto"/>
            <w:tcBorders>
              <w:top w:val="nil"/>
              <w:left w:val="nil"/>
              <w:bottom w:val="nil"/>
              <w:right w:val="nil"/>
            </w:tcBorders>
            <w:shd w:val="clear" w:color="auto" w:fill="auto"/>
            <w:noWrap/>
            <w:vAlign w:val="center"/>
            <w:hideMark/>
          </w:tcPr>
          <w:p w14:paraId="1D8C94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4360 (32.7)</w:t>
            </w:r>
          </w:p>
        </w:tc>
        <w:tc>
          <w:tcPr>
            <w:tcW w:w="0" w:type="auto"/>
            <w:tcBorders>
              <w:top w:val="nil"/>
              <w:left w:val="nil"/>
              <w:bottom w:val="nil"/>
              <w:right w:val="nil"/>
            </w:tcBorders>
            <w:shd w:val="clear" w:color="auto" w:fill="auto"/>
            <w:noWrap/>
            <w:vAlign w:val="center"/>
            <w:hideMark/>
          </w:tcPr>
          <w:p w14:paraId="3523BD2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0.298</w:t>
            </w:r>
          </w:p>
        </w:tc>
      </w:tr>
      <w:tr w:rsidR="0018795C" w:rsidRPr="0018795C" w14:paraId="19DF433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54423AC"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52196BA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442D9E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786 (33.0)</w:t>
            </w:r>
          </w:p>
        </w:tc>
        <w:tc>
          <w:tcPr>
            <w:tcW w:w="0" w:type="auto"/>
            <w:tcBorders>
              <w:top w:val="nil"/>
              <w:left w:val="nil"/>
              <w:bottom w:val="nil"/>
              <w:right w:val="nil"/>
            </w:tcBorders>
            <w:shd w:val="clear" w:color="auto" w:fill="auto"/>
            <w:noWrap/>
            <w:vAlign w:val="center"/>
            <w:hideMark/>
          </w:tcPr>
          <w:p w14:paraId="03AF3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4212 (38.5)</w:t>
            </w:r>
          </w:p>
        </w:tc>
        <w:tc>
          <w:tcPr>
            <w:tcW w:w="0" w:type="auto"/>
            <w:tcBorders>
              <w:top w:val="nil"/>
              <w:left w:val="nil"/>
              <w:bottom w:val="nil"/>
              <w:right w:val="nil"/>
            </w:tcBorders>
            <w:shd w:val="clear" w:color="auto" w:fill="auto"/>
            <w:noWrap/>
            <w:vAlign w:val="center"/>
            <w:hideMark/>
          </w:tcPr>
          <w:p w14:paraId="74A382F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4998 (37.5)</w:t>
            </w:r>
          </w:p>
        </w:tc>
        <w:tc>
          <w:tcPr>
            <w:tcW w:w="0" w:type="auto"/>
            <w:tcBorders>
              <w:top w:val="nil"/>
              <w:left w:val="nil"/>
              <w:bottom w:val="nil"/>
              <w:right w:val="nil"/>
            </w:tcBorders>
            <w:shd w:val="clear" w:color="auto" w:fill="auto"/>
            <w:noWrap/>
            <w:vAlign w:val="center"/>
            <w:hideMark/>
          </w:tcPr>
          <w:p w14:paraId="3FE39BD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5104C307"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522EF06"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nil"/>
              <w:right w:val="nil"/>
            </w:tcBorders>
            <w:shd w:val="clear" w:color="auto" w:fill="auto"/>
            <w:noWrap/>
            <w:vAlign w:val="center"/>
            <w:hideMark/>
          </w:tcPr>
          <w:p w14:paraId="483882A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nil"/>
              <w:right w:val="nil"/>
            </w:tcBorders>
            <w:shd w:val="clear" w:color="auto" w:fill="auto"/>
            <w:noWrap/>
            <w:vAlign w:val="center"/>
            <w:hideMark/>
          </w:tcPr>
          <w:p w14:paraId="3AFA54A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272 (11.4)</w:t>
            </w:r>
          </w:p>
        </w:tc>
        <w:tc>
          <w:tcPr>
            <w:tcW w:w="0" w:type="auto"/>
            <w:tcBorders>
              <w:top w:val="nil"/>
              <w:left w:val="nil"/>
              <w:bottom w:val="nil"/>
              <w:right w:val="nil"/>
            </w:tcBorders>
            <w:shd w:val="clear" w:color="auto" w:fill="auto"/>
            <w:noWrap/>
            <w:vAlign w:val="center"/>
            <w:hideMark/>
          </w:tcPr>
          <w:p w14:paraId="308F80A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1906 (17.4)</w:t>
            </w:r>
          </w:p>
        </w:tc>
        <w:tc>
          <w:tcPr>
            <w:tcW w:w="0" w:type="auto"/>
            <w:tcBorders>
              <w:top w:val="nil"/>
              <w:left w:val="nil"/>
              <w:bottom w:val="nil"/>
              <w:right w:val="nil"/>
            </w:tcBorders>
            <w:shd w:val="clear" w:color="auto" w:fill="auto"/>
            <w:noWrap/>
            <w:vAlign w:val="center"/>
            <w:hideMark/>
          </w:tcPr>
          <w:p w14:paraId="0C46B6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2178 (16.4)</w:t>
            </w:r>
          </w:p>
        </w:tc>
        <w:tc>
          <w:tcPr>
            <w:tcW w:w="0" w:type="auto"/>
            <w:tcBorders>
              <w:top w:val="nil"/>
              <w:left w:val="nil"/>
              <w:bottom w:val="nil"/>
              <w:right w:val="nil"/>
            </w:tcBorders>
            <w:shd w:val="clear" w:color="auto" w:fill="auto"/>
            <w:noWrap/>
            <w:vAlign w:val="center"/>
            <w:hideMark/>
          </w:tcPr>
          <w:p w14:paraId="0FD3F2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34385172" w14:textId="77777777" w:rsidTr="002432E1">
        <w:trPr>
          <w:trHeight w:val="300"/>
          <w:jc w:val="center"/>
        </w:trPr>
        <w:tc>
          <w:tcPr>
            <w:tcW w:w="0" w:type="auto"/>
            <w:tcBorders>
              <w:top w:val="nil"/>
              <w:left w:val="nil"/>
              <w:right w:val="nil"/>
            </w:tcBorders>
            <w:shd w:val="clear" w:color="auto" w:fill="auto"/>
            <w:noWrap/>
            <w:vAlign w:val="center"/>
            <w:hideMark/>
          </w:tcPr>
          <w:p w14:paraId="3EBAD210"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right w:val="nil"/>
            </w:tcBorders>
            <w:shd w:val="clear" w:color="auto" w:fill="auto"/>
            <w:noWrap/>
            <w:vAlign w:val="center"/>
            <w:hideMark/>
          </w:tcPr>
          <w:p w14:paraId="201986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right w:val="nil"/>
            </w:tcBorders>
            <w:shd w:val="clear" w:color="auto" w:fill="auto"/>
            <w:noWrap/>
            <w:vAlign w:val="center"/>
            <w:hideMark/>
          </w:tcPr>
          <w:p w14:paraId="0E4CC2A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138 (5.8)</w:t>
            </w:r>
          </w:p>
        </w:tc>
        <w:tc>
          <w:tcPr>
            <w:tcW w:w="0" w:type="auto"/>
            <w:tcBorders>
              <w:top w:val="nil"/>
              <w:left w:val="nil"/>
              <w:right w:val="nil"/>
            </w:tcBorders>
            <w:shd w:val="clear" w:color="auto" w:fill="auto"/>
            <w:noWrap/>
            <w:vAlign w:val="center"/>
            <w:hideMark/>
          </w:tcPr>
          <w:p w14:paraId="31D3F67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607 (5.6)</w:t>
            </w:r>
          </w:p>
        </w:tc>
        <w:tc>
          <w:tcPr>
            <w:tcW w:w="0" w:type="auto"/>
            <w:tcBorders>
              <w:top w:val="nil"/>
              <w:left w:val="nil"/>
              <w:right w:val="nil"/>
            </w:tcBorders>
            <w:shd w:val="clear" w:color="auto" w:fill="auto"/>
            <w:noWrap/>
            <w:vAlign w:val="center"/>
            <w:hideMark/>
          </w:tcPr>
          <w:p w14:paraId="2BA38B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745 (5.6)</w:t>
            </w:r>
          </w:p>
        </w:tc>
        <w:tc>
          <w:tcPr>
            <w:tcW w:w="0" w:type="auto"/>
            <w:tcBorders>
              <w:top w:val="nil"/>
              <w:left w:val="nil"/>
              <w:right w:val="nil"/>
            </w:tcBorders>
            <w:shd w:val="clear" w:color="auto" w:fill="auto"/>
            <w:noWrap/>
            <w:vAlign w:val="center"/>
            <w:hideMark/>
          </w:tcPr>
          <w:p w14:paraId="3C2D62E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23B18054" w14:textId="77777777" w:rsidTr="002432E1">
        <w:trPr>
          <w:trHeight w:val="300"/>
          <w:jc w:val="center"/>
        </w:trPr>
        <w:tc>
          <w:tcPr>
            <w:tcW w:w="0" w:type="auto"/>
            <w:tcBorders>
              <w:top w:val="nil"/>
              <w:left w:val="nil"/>
              <w:bottom w:val="single" w:sz="4" w:space="0" w:color="auto"/>
              <w:right w:val="nil"/>
            </w:tcBorders>
            <w:shd w:val="clear" w:color="auto" w:fill="auto"/>
            <w:noWrap/>
            <w:vAlign w:val="center"/>
            <w:hideMark/>
          </w:tcPr>
          <w:p w14:paraId="6F996338"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single" w:sz="4" w:space="0" w:color="auto"/>
              <w:right w:val="nil"/>
            </w:tcBorders>
            <w:shd w:val="clear" w:color="auto" w:fill="auto"/>
            <w:noWrap/>
            <w:vAlign w:val="center"/>
            <w:hideMark/>
          </w:tcPr>
          <w:p w14:paraId="6A804F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single" w:sz="4" w:space="0" w:color="auto"/>
              <w:right w:val="nil"/>
            </w:tcBorders>
            <w:shd w:val="clear" w:color="auto" w:fill="auto"/>
            <w:noWrap/>
            <w:vAlign w:val="center"/>
            <w:hideMark/>
          </w:tcPr>
          <w:p w14:paraId="576D70D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147 (6.2)</w:t>
            </w:r>
          </w:p>
        </w:tc>
        <w:tc>
          <w:tcPr>
            <w:tcW w:w="0" w:type="auto"/>
            <w:tcBorders>
              <w:top w:val="nil"/>
              <w:left w:val="nil"/>
              <w:bottom w:val="single" w:sz="4" w:space="0" w:color="auto"/>
              <w:right w:val="nil"/>
            </w:tcBorders>
            <w:shd w:val="clear" w:color="auto" w:fill="auto"/>
            <w:noWrap/>
            <w:vAlign w:val="center"/>
            <w:hideMark/>
          </w:tcPr>
          <w:p w14:paraId="1C8DD39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889 (8.1)</w:t>
            </w:r>
          </w:p>
        </w:tc>
        <w:tc>
          <w:tcPr>
            <w:tcW w:w="0" w:type="auto"/>
            <w:tcBorders>
              <w:top w:val="nil"/>
              <w:left w:val="nil"/>
              <w:bottom w:val="single" w:sz="4" w:space="0" w:color="auto"/>
              <w:right w:val="nil"/>
            </w:tcBorders>
            <w:shd w:val="clear" w:color="auto" w:fill="auto"/>
            <w:noWrap/>
            <w:vAlign w:val="center"/>
            <w:hideMark/>
          </w:tcPr>
          <w:p w14:paraId="07FB6DF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1036 (7.8)</w:t>
            </w:r>
          </w:p>
        </w:tc>
        <w:tc>
          <w:tcPr>
            <w:tcW w:w="0" w:type="auto"/>
            <w:tcBorders>
              <w:top w:val="nil"/>
              <w:left w:val="nil"/>
              <w:bottom w:val="single" w:sz="4" w:space="0" w:color="auto"/>
              <w:right w:val="nil"/>
            </w:tcBorders>
            <w:shd w:val="clear" w:color="auto" w:fill="auto"/>
            <w:noWrap/>
            <w:vAlign w:val="center"/>
            <w:hideMark/>
          </w:tcPr>
          <w:p w14:paraId="53B6B7A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bl>
    <w:p w14:paraId="566AFEBA" w14:textId="17E3B4A5" w:rsidR="00D57309" w:rsidRPr="0075223D" w:rsidRDefault="00B22120" w:rsidP="007E65FE">
      <w:pPr>
        <w:jc w:val="left"/>
        <w:rPr>
          <w:shd w:val="clear" w:color="auto" w:fill="FFFFFF"/>
        </w:rPr>
      </w:pPr>
      <w:r w:rsidRPr="0075223D">
        <w:rPr>
          <w:shd w:val="clear" w:color="auto" w:fill="FFFFFF"/>
        </w:rPr>
        <w:t xml:space="preserve">Note. </w:t>
      </w:r>
      <w:r w:rsidR="008B7475" w:rsidRPr="0075223D">
        <w:rPr>
          <w:shd w:val="clear" w:color="auto" w:fill="FFFFFF"/>
        </w:rPr>
        <w:t xml:space="preserve">n= frequency of patients; </w:t>
      </w:r>
      <w:r w:rsidRPr="0075223D">
        <w:rPr>
          <w:shd w:val="clear" w:color="auto" w:fill="FFFFFF"/>
        </w:rPr>
        <w:t>descriptive statistics of baseline</w:t>
      </w:r>
      <w:r w:rsidR="008B7475" w:rsidRPr="0075223D">
        <w:rPr>
          <w:shd w:val="clear" w:color="auto" w:fill="FFFFFF"/>
        </w:rPr>
        <w:t xml:space="preserve"> characteristics used the</w:t>
      </w:r>
      <w:r w:rsidRPr="0075223D">
        <w:rPr>
          <w:shd w:val="clear" w:color="auto" w:fill="FFFFFF"/>
        </w:rPr>
        <w:t xml:space="preserve"> median (Q2) and percentiles 25 and 75 in brackets</w:t>
      </w:r>
      <w:r w:rsidR="008B7475" w:rsidRPr="0075223D">
        <w:rPr>
          <w:shd w:val="clear" w:color="auto" w:fill="FFFFFF"/>
        </w:rPr>
        <w:t xml:space="preserve"> for continuous variables</w:t>
      </w:r>
      <w:r w:rsidRPr="0075223D">
        <w:rPr>
          <w:shd w:val="clear" w:color="auto" w:fill="FFFFFF"/>
        </w:rPr>
        <w:t xml:space="preserve">. Furthermore, categorical variables </w:t>
      </w:r>
      <w:r w:rsidR="008B7475" w:rsidRPr="0075223D">
        <w:rPr>
          <w:shd w:val="clear" w:color="auto" w:fill="FFFFFF"/>
        </w:rPr>
        <w:t xml:space="preserve">are represented </w:t>
      </w:r>
      <w:r w:rsidRPr="0075223D">
        <w:rPr>
          <w:shd w:val="clear" w:color="auto" w:fill="FFFFFF"/>
        </w:rPr>
        <w:t>in frequencies and percentages (%) in parenthesis.</w:t>
      </w:r>
    </w:p>
    <w:p w14:paraId="2EF58E5B" w14:textId="31F264C6" w:rsidR="00F22E14" w:rsidRPr="0075223D" w:rsidRDefault="00D57309" w:rsidP="0018795C">
      <w:pPr>
        <w:jc w:val="left"/>
        <w:rPr>
          <w:color w:val="3A3A3A"/>
          <w:shd w:val="clear" w:color="auto" w:fill="FFFFFF"/>
        </w:rPr>
      </w:pPr>
      <w:r w:rsidRPr="0075223D">
        <w:rPr>
          <w:color w:val="3A3A3A"/>
          <w:shd w:val="clear" w:color="auto" w:fill="FFFFFF"/>
        </w:rPr>
        <w:br w:type="page"/>
      </w:r>
    </w:p>
    <w:p w14:paraId="010B9772" w14:textId="565C3956" w:rsidR="00A51E4D" w:rsidRPr="0075223D" w:rsidRDefault="00A51E4D">
      <w:pPr>
        <w:jc w:val="left"/>
        <w:rPr>
          <w:shd w:val="clear" w:color="auto" w:fill="FFFFFF"/>
        </w:rPr>
      </w:pPr>
      <w:r w:rsidRPr="0075223D">
        <w:rPr>
          <w:shd w:val="clear" w:color="auto" w:fill="FFFFFF"/>
        </w:rPr>
        <w:lastRenderedPageBreak/>
        <w:t>Figure 1</w:t>
      </w:r>
      <w:r w:rsidR="006841D2" w:rsidRPr="0075223D">
        <w:rPr>
          <w:shd w:val="clear" w:color="auto" w:fill="FFFFFF"/>
        </w:rPr>
        <w:t>a</w:t>
      </w:r>
      <w:r w:rsidRPr="0075223D">
        <w:rPr>
          <w:shd w:val="clear" w:color="auto" w:fill="FFFFFF"/>
        </w:rPr>
        <w:t xml:space="preserve">. Causal diagram </w:t>
      </w:r>
      <w:r w:rsidR="002B77B2" w:rsidRPr="0075223D">
        <w:rPr>
          <w:shd w:val="clear" w:color="auto" w:fill="FFFFFF"/>
        </w:rPr>
        <w:t xml:space="preserve">as </w:t>
      </w:r>
      <w:r w:rsidR="00103A32" w:rsidRPr="0075223D">
        <w:rPr>
          <w:shd w:val="clear" w:color="auto" w:fill="FFFFFF"/>
        </w:rPr>
        <w:t xml:space="preserve">a </w:t>
      </w:r>
      <w:r w:rsidR="002B77B2" w:rsidRPr="0075223D">
        <w:rPr>
          <w:shd w:val="clear" w:color="auto" w:fill="FFFFFF"/>
        </w:rPr>
        <w:t xml:space="preserve">conceptual </w:t>
      </w:r>
      <w:r w:rsidRPr="0075223D">
        <w:rPr>
          <w:shd w:val="clear" w:color="auto" w:fill="FFFFFF"/>
        </w:rPr>
        <w:t>reference</w:t>
      </w:r>
    </w:p>
    <w:p w14:paraId="5DCCD529" w14:textId="77777777" w:rsidR="00A51E4D" w:rsidRPr="0075223D" w:rsidRDefault="00A51E4D" w:rsidP="00A51E4D">
      <w:pPr>
        <w:jc w:val="center"/>
        <w:rPr>
          <w:shd w:val="clear" w:color="auto" w:fill="FFFFFF"/>
        </w:rPr>
      </w:pPr>
      <w:r w:rsidRPr="0075223D">
        <w:rPr>
          <w:rFonts w:ascii="Times New Roman" w:eastAsia="Times New Roman" w:hAnsi="Times New Roman" w:cs="Times New Roman"/>
          <w:noProof/>
          <w:sz w:val="24"/>
          <w:szCs w:val="24"/>
          <w:lang w:val="es-CL" w:eastAsia="es-CL"/>
        </w:rPr>
        <w:drawing>
          <wp:inline distT="0" distB="0" distL="0" distR="0" wp14:anchorId="6853E9DF" wp14:editId="76400B4E">
            <wp:extent cx="6479540" cy="2991916"/>
            <wp:effectExtent l="0" t="0" r="0" b="0"/>
            <wp:docPr id="170070984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9843" name="Imagen 4" descr="Diagrama&#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650"/>
                    <a:stretch/>
                  </pic:blipFill>
                  <pic:spPr bwMode="auto">
                    <a:xfrm>
                      <a:off x="0" y="0"/>
                      <a:ext cx="6479540" cy="2991916"/>
                    </a:xfrm>
                    <a:prstGeom prst="rect">
                      <a:avLst/>
                    </a:prstGeom>
                    <a:noFill/>
                    <a:ln>
                      <a:noFill/>
                    </a:ln>
                    <a:extLst>
                      <a:ext uri="{53640926-AAD7-44D8-BBD7-CCE9431645EC}">
                        <a14:shadowObscured xmlns:a14="http://schemas.microsoft.com/office/drawing/2010/main"/>
                      </a:ext>
                    </a:extLst>
                  </pic:spPr>
                </pic:pic>
              </a:graphicData>
            </a:graphic>
          </wp:inline>
        </w:drawing>
      </w:r>
    </w:p>
    <w:p w14:paraId="3120C740" w14:textId="1078EE95" w:rsidR="00FE12E7" w:rsidRPr="0075223D" w:rsidRDefault="00A51E4D" w:rsidP="00A51E4D">
      <w:pPr>
        <w:jc w:val="left"/>
        <w:rPr>
          <w:shd w:val="clear" w:color="auto" w:fill="FFFFFF"/>
        </w:rPr>
      </w:pPr>
      <w:r w:rsidRPr="0075223D">
        <w:rPr>
          <w:shd w:val="clear" w:color="auto" w:fill="FFFFFF"/>
        </w:rPr>
        <w:t xml:space="preserve">Note: A= Reporting PSU at admission; Y= </w:t>
      </w:r>
      <w:r w:rsidR="00F21E8C" w:rsidRPr="0075223D">
        <w:rPr>
          <w:shd w:val="clear" w:color="auto" w:fill="FFFFFF"/>
        </w:rPr>
        <w:t>Time to t</w:t>
      </w:r>
      <w:r w:rsidRPr="0075223D">
        <w:rPr>
          <w:shd w:val="clear" w:color="auto" w:fill="FFFFFF"/>
        </w:rPr>
        <w:t>reatment completion status</w:t>
      </w:r>
      <w:r w:rsidR="00F21E8C" w:rsidRPr="0075223D">
        <w:rPr>
          <w:shd w:val="clear" w:color="auto" w:fill="FFFFFF"/>
        </w:rPr>
        <w:t xml:space="preserve"> from admission</w:t>
      </w:r>
      <w:r w:rsidRPr="0075223D">
        <w:rPr>
          <w:shd w:val="clear" w:color="auto" w:fill="FFFFFF"/>
        </w:rPr>
        <w:t>; L0=Baseline confounders; {L1,</w:t>
      </w:r>
      <w:r w:rsidR="00E9072C" w:rsidRPr="0075223D">
        <w:rPr>
          <w:shd w:val="clear" w:color="auto" w:fill="FFFFFF"/>
        </w:rPr>
        <w:t xml:space="preserve"> </w:t>
      </w:r>
      <w:r w:rsidRPr="0075223D">
        <w:rPr>
          <w:shd w:val="clear" w:color="auto" w:fill="FFFFFF"/>
        </w:rPr>
        <w:t xml:space="preserve">L2, ..., </w:t>
      </w:r>
      <w:r w:rsidR="00E9072C" w:rsidRPr="0075223D">
        <w:rPr>
          <w:shd w:val="clear" w:color="auto" w:fill="FFFFFF"/>
        </w:rPr>
        <w:t>Lt} =</w:t>
      </w:r>
      <w:r w:rsidRPr="0075223D">
        <w:rPr>
          <w:shd w:val="clear" w:color="auto" w:fill="FFFFFF"/>
        </w:rPr>
        <w:t xml:space="preserve"> time-dependent biopsychosocial; U= Unobserved confounders</w:t>
      </w:r>
      <w:r w:rsidR="00F21E8C" w:rsidRPr="0075223D">
        <w:rPr>
          <w:shd w:val="clear" w:color="auto" w:fill="FFFFFF"/>
        </w:rPr>
        <w:t>; t= individual treatments from 2010</w:t>
      </w:r>
      <w:r w:rsidRPr="0075223D">
        <w:rPr>
          <w:shd w:val="clear" w:color="auto" w:fill="FFFFFF"/>
        </w:rPr>
        <w:t>)</w:t>
      </w:r>
    </w:p>
    <w:p w14:paraId="0686FED3" w14:textId="03EAA685" w:rsidR="00812040" w:rsidRPr="0075223D" w:rsidRDefault="00812040">
      <w:pPr>
        <w:jc w:val="left"/>
        <w:rPr>
          <w:shd w:val="clear" w:color="auto" w:fill="FFFFFF"/>
        </w:rPr>
      </w:pPr>
      <w:r w:rsidRPr="0075223D">
        <w:rPr>
          <w:shd w:val="clear" w:color="auto" w:fill="FFFFFF"/>
        </w:rPr>
        <w:br w:type="page"/>
      </w:r>
    </w:p>
    <w:p w14:paraId="75C4C6CA" w14:textId="73315EBE" w:rsidR="00812040" w:rsidRPr="0075223D" w:rsidRDefault="00812040" w:rsidP="00812040">
      <w:pPr>
        <w:jc w:val="left"/>
        <w:rPr>
          <w:shd w:val="clear" w:color="auto" w:fill="FFFFFF"/>
        </w:rPr>
      </w:pPr>
      <w:r w:rsidRPr="0075223D">
        <w:rPr>
          <w:shd w:val="clear" w:color="auto" w:fill="FFFFFF"/>
        </w:rPr>
        <w:lastRenderedPageBreak/>
        <w:t xml:space="preserve">Figure 1b. Causal diagram hypothesized </w:t>
      </w:r>
      <w:r w:rsidR="00A259E3" w:rsidRPr="0075223D">
        <w:rPr>
          <w:shd w:val="clear" w:color="auto" w:fill="FFFFFF"/>
        </w:rPr>
        <w:t>as</w:t>
      </w:r>
      <w:r w:rsidRPr="0075223D">
        <w:rPr>
          <w:shd w:val="clear" w:color="auto" w:fill="FFFFFF"/>
        </w:rPr>
        <w:t xml:space="preserve"> the </w:t>
      </w:r>
      <w:r w:rsidR="00A259E3" w:rsidRPr="0075223D">
        <w:rPr>
          <w:shd w:val="clear" w:color="auto" w:fill="FFFFFF"/>
        </w:rPr>
        <w:t xml:space="preserve">observation </w:t>
      </w:r>
      <w:r w:rsidRPr="0075223D">
        <w:rPr>
          <w:shd w:val="clear" w:color="auto" w:fill="FFFFFF"/>
        </w:rPr>
        <w:t xml:space="preserve">process </w:t>
      </w:r>
    </w:p>
    <w:p w14:paraId="5F39A7BB" w14:textId="77777777" w:rsidR="00812040" w:rsidRPr="0075223D" w:rsidRDefault="00FE12E7" w:rsidP="00EC117A">
      <w:pPr>
        <w:jc w:val="center"/>
        <w:rPr>
          <w:shd w:val="clear" w:color="auto" w:fill="FFFFFF"/>
        </w:rPr>
      </w:pPr>
      <w:r w:rsidRPr="0075223D">
        <w:rPr>
          <w:noProof/>
        </w:rPr>
        <w:drawing>
          <wp:inline distT="0" distB="0" distL="0" distR="0" wp14:anchorId="04FAF7A9" wp14:editId="2AFBCE63">
            <wp:extent cx="4695190" cy="2733675"/>
            <wp:effectExtent l="0" t="0" r="0" b="9525"/>
            <wp:docPr id="16953106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0637" name="Imagen 1" descr="Diagram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6783"/>
                    <a:stretch/>
                  </pic:blipFill>
                  <pic:spPr bwMode="auto">
                    <a:xfrm>
                      <a:off x="0" y="0"/>
                      <a:ext cx="469519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0A27EBFE" w14:textId="77777777" w:rsidR="00EC117A" w:rsidRPr="0075223D" w:rsidRDefault="00812040" w:rsidP="00812040">
      <w:pPr>
        <w:jc w:val="left"/>
        <w:rPr>
          <w:shd w:val="clear" w:color="auto" w:fill="FFFFFF"/>
        </w:rPr>
      </w:pPr>
      <w:r w:rsidRPr="0075223D">
        <w:rPr>
          <w:shd w:val="clear" w:color="auto" w:fill="FFFFFF"/>
        </w:rPr>
        <w:t>Note. All the backdoors of the month of assessment (admission to treatment), may pass through observed outcomes, history of evolution or baseline covariates to impact on outcomes. If we assume that is a proportional intensity model holds, we can search evidence in the data that previous variables are associated with outcomes.</w:t>
      </w:r>
    </w:p>
    <w:p w14:paraId="5FF9488B" w14:textId="38951AE2" w:rsidR="00A51E4D" w:rsidRPr="0075223D" w:rsidRDefault="00EC117A" w:rsidP="00812040">
      <w:pPr>
        <w:jc w:val="left"/>
        <w:rPr>
          <w:shd w:val="clear" w:color="auto" w:fill="FFFFFF"/>
        </w:rPr>
      </w:pPr>
      <w:r w:rsidRPr="0075223D">
        <w:rPr>
          <w:shd w:val="clear" w:color="auto" w:fill="FFFFFF"/>
        </w:rPr>
        <w:t xml:space="preserve">Source: </w:t>
      </w:r>
      <w:proofErr w:type="spellStart"/>
      <w:r w:rsidRPr="0075223D">
        <w:rPr>
          <w:shd w:val="clear" w:color="auto" w:fill="FFFFFF"/>
        </w:rPr>
        <w:t>Pullenayegum</w:t>
      </w:r>
      <w:proofErr w:type="spellEnd"/>
      <w:r w:rsidRPr="0075223D">
        <w:rPr>
          <w:shd w:val="clear" w:color="auto" w:fill="FFFFFF"/>
        </w:rPr>
        <w:t xml:space="preserve">, E. M., &amp; Scharfstein, D. O. (2022). Randomized Trials </w:t>
      </w:r>
      <w:proofErr w:type="gramStart"/>
      <w:r w:rsidRPr="0075223D">
        <w:rPr>
          <w:shd w:val="clear" w:color="auto" w:fill="FFFFFF"/>
        </w:rPr>
        <w:t>With</w:t>
      </w:r>
      <w:proofErr w:type="gramEnd"/>
      <w:r w:rsidRPr="0075223D">
        <w:rPr>
          <w:shd w:val="clear" w:color="auto" w:fill="FFFFFF"/>
        </w:rPr>
        <w:t xml:space="preserve"> Repeatedly Measured Outcomes: Handling Irregular and Potentially Informative Assessment Times. Epidemiologic Reviews, 44(1), 121-137. https://doi.org/10.1093/epirev/mxac010</w:t>
      </w:r>
      <w:r w:rsidR="00A51E4D" w:rsidRPr="0075223D">
        <w:rPr>
          <w:shd w:val="clear" w:color="auto" w:fill="FFFFFF"/>
        </w:rPr>
        <w:br w:type="page"/>
      </w:r>
    </w:p>
    <w:p w14:paraId="0880AC0A" w14:textId="1AEC4884" w:rsidR="0098434D" w:rsidRDefault="004240DF" w:rsidP="00F560AF">
      <w:pPr>
        <w:spacing w:after="0" w:line="240" w:lineRule="auto"/>
        <w:ind w:left="720"/>
        <w:jc w:val="left"/>
        <w:rPr>
          <w:shd w:val="clear" w:color="auto" w:fill="FFFFFF"/>
        </w:rPr>
      </w:pPr>
      <w:r w:rsidRPr="0075223D">
        <w:rPr>
          <w:shd w:val="clear" w:color="auto" w:fill="FFFFFF"/>
        </w:rPr>
        <w:lastRenderedPageBreak/>
        <w:t xml:space="preserve">Figure </w:t>
      </w:r>
      <w:r w:rsidR="00815BAF">
        <w:rPr>
          <w:shd w:val="clear" w:color="auto" w:fill="FFFFFF"/>
        </w:rPr>
        <w:t>2</w:t>
      </w:r>
      <w:r w:rsidRPr="0075223D">
        <w:rPr>
          <w:shd w:val="clear" w:color="auto" w:fill="FFFFFF"/>
        </w:rPr>
        <w:t>. Mean proportions of patients with 0,1, and &gt;1 admissions per bin as bin width varies from 1 to 50% of the gap between readmissions.</w:t>
      </w:r>
    </w:p>
    <w:p w14:paraId="3803268E" w14:textId="06267328" w:rsidR="00577EBC" w:rsidRPr="00577EBC" w:rsidRDefault="00577EBC" w:rsidP="00F560AF">
      <w:pPr>
        <w:spacing w:after="0" w:line="240" w:lineRule="auto"/>
        <w:jc w:val="center"/>
        <w:rPr>
          <w:rFonts w:ascii="Times New Roman" w:eastAsia="Times New Roman" w:hAnsi="Times New Roman" w:cs="Times New Roman"/>
          <w:sz w:val="24"/>
          <w:szCs w:val="24"/>
          <w:lang w:val="es-CL" w:eastAsia="es-CL"/>
        </w:rPr>
      </w:pPr>
      <w:r w:rsidRPr="00577EBC">
        <w:rPr>
          <w:rFonts w:ascii="Times New Roman" w:eastAsia="Times New Roman" w:hAnsi="Times New Roman" w:cs="Times New Roman"/>
          <w:noProof/>
          <w:sz w:val="24"/>
          <w:szCs w:val="24"/>
          <w:lang w:val="es-CL" w:eastAsia="es-CL"/>
        </w:rPr>
        <w:drawing>
          <wp:inline distT="0" distB="0" distL="0" distR="0" wp14:anchorId="455A65E0" wp14:editId="5A9BCC74">
            <wp:extent cx="7786601" cy="5040000"/>
            <wp:effectExtent l="0" t="0" r="5080" b="8255"/>
            <wp:docPr id="1900581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86601" cy="5040000"/>
                    </a:xfrm>
                    <a:prstGeom prst="rect">
                      <a:avLst/>
                    </a:prstGeom>
                    <a:noFill/>
                    <a:ln>
                      <a:noFill/>
                    </a:ln>
                  </pic:spPr>
                </pic:pic>
              </a:graphicData>
            </a:graphic>
          </wp:inline>
        </w:drawing>
      </w:r>
    </w:p>
    <w:p w14:paraId="381D2031" w14:textId="107DCC2A" w:rsidR="009E1ACA" w:rsidRDefault="004240DF" w:rsidP="00F560AF">
      <w:pPr>
        <w:spacing w:after="0" w:line="240" w:lineRule="auto"/>
        <w:ind w:left="720"/>
        <w:jc w:val="left"/>
        <w:rPr>
          <w:shd w:val="clear" w:color="auto" w:fill="FFFFFF"/>
        </w:rPr>
      </w:pPr>
      <w:r w:rsidRPr="0075223D">
        <w:rPr>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r w:rsidR="009E1ACA" w:rsidRPr="0075223D">
        <w:rPr>
          <w:shd w:val="clear" w:color="auto" w:fill="FFFFFF"/>
        </w:rPr>
        <w:br w:type="page"/>
      </w:r>
    </w:p>
    <w:p w14:paraId="53F6E937" w14:textId="6D8F247C" w:rsidR="006D1784" w:rsidRPr="007D1943" w:rsidRDefault="006D1784" w:rsidP="00F560AF">
      <w:pPr>
        <w:spacing w:after="0" w:line="240" w:lineRule="auto"/>
        <w:ind w:left="720"/>
        <w:jc w:val="left"/>
        <w:rPr>
          <w:b/>
          <w:bCs/>
          <w:shd w:val="clear" w:color="auto" w:fill="FFFFFF"/>
        </w:rPr>
      </w:pPr>
      <w:r w:rsidRPr="007D1943">
        <w:rPr>
          <w:b/>
          <w:bCs/>
          <w:shd w:val="clear" w:color="auto" w:fill="FFFFFF"/>
        </w:rPr>
        <w:lastRenderedPageBreak/>
        <w:t>Table 2.</w:t>
      </w:r>
      <w:ins w:id="162" w:author="Andrés González Santa Cruz" w:date="2024-05-27T19:18:00Z" w16du:dateUtc="2024-05-27T23:18:00Z">
        <w:r w:rsidR="00156FCA">
          <w:rPr>
            <w:b/>
            <w:bCs/>
            <w:shd w:val="clear" w:color="auto" w:fill="FFFFFF"/>
          </w:rPr>
          <w:t xml:space="preserve"> </w:t>
        </w:r>
      </w:ins>
      <w:del w:id="163" w:author="Andrés González Santa Cruz" w:date="2024-05-27T19:18:00Z" w16du:dateUtc="2024-05-27T23:18:00Z">
        <w:r w:rsidRPr="007D1943" w:rsidDel="00156FCA">
          <w:rPr>
            <w:b/>
            <w:bCs/>
            <w:shd w:val="clear" w:color="auto" w:fill="FFFFFF"/>
          </w:rPr>
          <w:delText xml:space="preserve"> </w:delText>
        </w:r>
      </w:del>
      <w:r w:rsidRPr="007D1943">
        <w:rPr>
          <w:b/>
          <w:bCs/>
          <w:shd w:val="clear" w:color="auto" w:fill="FFFFFF"/>
        </w:rPr>
        <w:t>Incidence rates</w:t>
      </w:r>
      <w:r w:rsidR="00A630A2" w:rsidRPr="007D1943">
        <w:rPr>
          <w:b/>
          <w:bCs/>
          <w:shd w:val="clear" w:color="auto" w:fill="FFFFFF"/>
        </w:rPr>
        <w:t xml:space="preserve"> </w:t>
      </w:r>
      <w:ins w:id="164" w:author="Andrés González Santa Cruz" w:date="2024-05-27T19:18:00Z" w16du:dateUtc="2024-05-27T23:18:00Z">
        <w:r w:rsidR="00156FCA">
          <w:rPr>
            <w:b/>
            <w:bCs/>
            <w:shd w:val="clear" w:color="auto" w:fill="FFFFFF"/>
          </w:rPr>
          <w:t xml:space="preserve">of noncompletion </w:t>
        </w:r>
      </w:ins>
      <w:r w:rsidR="00A630A2" w:rsidRPr="007D1943">
        <w:rPr>
          <w:b/>
          <w:bCs/>
          <w:shd w:val="clear" w:color="auto" w:fill="FFFFFF"/>
        </w:rPr>
        <w:t>(per 1.000 person days)</w:t>
      </w:r>
      <w:r w:rsidRPr="007D1943">
        <w:rPr>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6D1784" w14:paraId="00C2D76C" w14:textId="77777777" w:rsidTr="006D1784">
        <w:trPr>
          <w:trHeight w:val="300"/>
        </w:trPr>
        <w:tc>
          <w:tcPr>
            <w:tcW w:w="6383"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CD37EFA"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type</w:t>
            </w:r>
          </w:p>
        </w:tc>
        <w:tc>
          <w:tcPr>
            <w:tcW w:w="1981"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8BAE7E8"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Polysubstance use</w:t>
            </w:r>
          </w:p>
        </w:tc>
        <w:tc>
          <w:tcPr>
            <w:tcW w:w="159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55F73C5"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Follow-up time</w:t>
            </w:r>
          </w:p>
        </w:tc>
        <w:tc>
          <w:tcPr>
            <w:tcW w:w="1022"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9E900CA"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Events</w:t>
            </w:r>
          </w:p>
        </w:tc>
        <w:tc>
          <w:tcPr>
            <w:tcW w:w="2206"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AD03660" w14:textId="6DA4F44F" w:rsidR="006D1784" w:rsidRPr="006D1784" w:rsidRDefault="006D1784" w:rsidP="006D1784">
            <w:pPr>
              <w:jc w:val="center"/>
              <w:rPr>
                <w:rFonts w:cs="Calibri"/>
                <w:b/>
                <w:bCs/>
                <w:color w:val="000000"/>
                <w:sz w:val="18"/>
                <w:szCs w:val="18"/>
              </w:rPr>
            </w:pPr>
            <w:r w:rsidRPr="006D1784">
              <w:rPr>
                <w:rFonts w:cs="Calibri"/>
                <w:b/>
                <w:bCs/>
                <w:color w:val="000000"/>
                <w:sz w:val="18"/>
                <w:szCs w:val="18"/>
              </w:rPr>
              <w:t>IR (95% CI)</w:t>
            </w:r>
          </w:p>
        </w:tc>
      </w:tr>
      <w:tr w:rsidR="006D1784" w14:paraId="56ACFC58" w14:textId="77777777" w:rsidTr="006D1784">
        <w:trPr>
          <w:trHeight w:val="300"/>
        </w:trPr>
        <w:tc>
          <w:tcPr>
            <w:tcW w:w="6383"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4DCEF5D8" w14:textId="77777777" w:rsidR="006D1784" w:rsidRPr="006D1784" w:rsidRDefault="006D1784" w:rsidP="006D1784">
            <w:pPr>
              <w:jc w:val="left"/>
              <w:rPr>
                <w:rFonts w:cs="Calibri"/>
                <w:color w:val="000000"/>
                <w:sz w:val="18"/>
                <w:szCs w:val="18"/>
              </w:rPr>
            </w:pPr>
            <w:r w:rsidRPr="006D1784">
              <w:rPr>
                <w:rFonts w:cs="Calibri"/>
                <w:color w:val="000000"/>
                <w:sz w:val="18"/>
                <w:szCs w:val="18"/>
              </w:rPr>
              <w:t>PSU at admission and at least one dropout from the first admission</w:t>
            </w:r>
          </w:p>
        </w:tc>
        <w:tc>
          <w:tcPr>
            <w:tcW w:w="1981"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17BA2E5F" w14:textId="7D588045"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C91BBB7" w14:textId="4C2867D5" w:rsidR="006D1784" w:rsidRPr="006D1784" w:rsidRDefault="006D1784" w:rsidP="006D1784">
            <w:pPr>
              <w:jc w:val="right"/>
              <w:rPr>
                <w:rFonts w:cs="Calibri"/>
                <w:color w:val="000000"/>
                <w:sz w:val="18"/>
                <w:szCs w:val="18"/>
              </w:rPr>
            </w:pPr>
            <w:r w:rsidRPr="006D1784">
              <w:rPr>
                <w:rFonts w:cs="Calibri"/>
                <w:color w:val="000000"/>
                <w:sz w:val="18"/>
                <w:szCs w:val="18"/>
              </w:rPr>
              <w:t>161</w:t>
            </w:r>
            <w:r w:rsidR="00B659EB">
              <w:rPr>
                <w:rFonts w:cs="Calibri"/>
                <w:color w:val="000000"/>
                <w:sz w:val="18"/>
                <w:szCs w:val="18"/>
              </w:rPr>
              <w:t>,</w:t>
            </w:r>
            <w:r w:rsidRPr="006D1784">
              <w:rPr>
                <w:rFonts w:cs="Calibri"/>
                <w:color w:val="000000"/>
                <w:sz w:val="18"/>
                <w:szCs w:val="18"/>
              </w:rPr>
              <w:t>852</w:t>
            </w:r>
            <w:r w:rsidR="00B659EB">
              <w:rPr>
                <w:rFonts w:cs="Calibri"/>
                <w:color w:val="000000"/>
                <w:sz w:val="18"/>
                <w:szCs w:val="18"/>
              </w:rPr>
              <w:t>.</w:t>
            </w:r>
            <w:r w:rsidRPr="006D1784">
              <w:rPr>
                <w:rFonts w:cs="Calibri"/>
                <w:color w:val="000000"/>
                <w:sz w:val="18"/>
                <w:szCs w:val="18"/>
              </w:rPr>
              <w:t>3</w:t>
            </w:r>
            <w:r w:rsidR="00B659EB">
              <w:rPr>
                <w:rFonts w:cs="Calibri"/>
                <w:color w:val="000000"/>
                <w:sz w:val="18"/>
                <w:szCs w:val="18"/>
              </w:rPr>
              <w:t>0</w:t>
            </w:r>
          </w:p>
        </w:tc>
        <w:tc>
          <w:tcPr>
            <w:tcW w:w="1022"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DDB4713" w14:textId="7B44698B" w:rsidR="006D1784" w:rsidRPr="006D1784" w:rsidRDefault="006D1784" w:rsidP="006D1784">
            <w:pPr>
              <w:jc w:val="right"/>
              <w:rPr>
                <w:rFonts w:cs="Calibri"/>
                <w:color w:val="000000"/>
                <w:sz w:val="18"/>
                <w:szCs w:val="18"/>
              </w:rPr>
            </w:pPr>
            <w:r w:rsidRPr="006D1784">
              <w:rPr>
                <w:rFonts w:cs="Calibri"/>
                <w:color w:val="000000"/>
                <w:sz w:val="18"/>
                <w:szCs w:val="18"/>
              </w:rPr>
              <w:t>2</w:t>
            </w:r>
            <w:r w:rsidR="00B659EB">
              <w:rPr>
                <w:rFonts w:cs="Calibri"/>
                <w:color w:val="000000"/>
                <w:sz w:val="18"/>
                <w:szCs w:val="18"/>
              </w:rPr>
              <w:t>,</w:t>
            </w:r>
            <w:r w:rsidRPr="006D1784">
              <w:rPr>
                <w:rFonts w:cs="Calibri"/>
                <w:color w:val="000000"/>
                <w:sz w:val="18"/>
                <w:szCs w:val="18"/>
              </w:rPr>
              <w:t>135</w:t>
            </w:r>
          </w:p>
        </w:tc>
        <w:tc>
          <w:tcPr>
            <w:tcW w:w="2206"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40429DD0" w14:textId="77777777" w:rsidR="006D1784" w:rsidRPr="006D1784" w:rsidRDefault="006D1784" w:rsidP="006D1784">
            <w:pPr>
              <w:jc w:val="right"/>
              <w:rPr>
                <w:rFonts w:cs="Calibri"/>
                <w:color w:val="000000"/>
                <w:sz w:val="18"/>
                <w:szCs w:val="18"/>
              </w:rPr>
            </w:pPr>
            <w:r w:rsidRPr="006D1784">
              <w:rPr>
                <w:rFonts w:cs="Calibri"/>
                <w:color w:val="000000"/>
                <w:sz w:val="18"/>
                <w:szCs w:val="18"/>
              </w:rPr>
              <w:t>13.19 (12.64, 13.76)</w:t>
            </w:r>
          </w:p>
        </w:tc>
      </w:tr>
      <w:tr w:rsidR="006D1784" w14:paraId="6F673B27"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45599642"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18E63719" w14:textId="4D5E350F"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2DC7ABF" w14:textId="077933B2" w:rsidR="006D1784" w:rsidRPr="006D1784" w:rsidRDefault="006D1784" w:rsidP="006D1784">
            <w:pPr>
              <w:jc w:val="right"/>
              <w:rPr>
                <w:rFonts w:cs="Calibri"/>
                <w:color w:val="000000"/>
                <w:sz w:val="18"/>
                <w:szCs w:val="18"/>
              </w:rPr>
            </w:pPr>
            <w:r w:rsidRPr="006D1784">
              <w:rPr>
                <w:rFonts w:cs="Calibri"/>
                <w:color w:val="000000"/>
                <w:sz w:val="18"/>
                <w:szCs w:val="18"/>
              </w:rPr>
              <w:t>872</w:t>
            </w:r>
            <w:r w:rsidR="00B659EB">
              <w:rPr>
                <w:rFonts w:cs="Calibri"/>
                <w:color w:val="000000"/>
                <w:sz w:val="18"/>
                <w:szCs w:val="18"/>
              </w:rPr>
              <w:t>,</w:t>
            </w:r>
            <w:r w:rsidRPr="006D1784">
              <w:rPr>
                <w:rFonts w:cs="Calibri"/>
                <w:color w:val="000000"/>
                <w:sz w:val="18"/>
                <w:szCs w:val="18"/>
              </w:rPr>
              <w:t>863</w:t>
            </w:r>
            <w:r w:rsidR="00B659EB">
              <w:rPr>
                <w:rFonts w:cs="Calibri"/>
                <w:color w:val="000000"/>
                <w:sz w:val="18"/>
                <w:szCs w:val="18"/>
              </w:rPr>
              <w:t>.</w:t>
            </w:r>
            <w:r w:rsidRPr="006D1784">
              <w:rPr>
                <w:rFonts w:cs="Calibri"/>
                <w:color w:val="000000"/>
                <w:sz w:val="18"/>
                <w:szCs w:val="18"/>
              </w:rPr>
              <w:t>25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F5DC1DB" w14:textId="74D7B138" w:rsidR="006D1784" w:rsidRPr="006D1784" w:rsidRDefault="006D1784" w:rsidP="006D1784">
            <w:pPr>
              <w:jc w:val="right"/>
              <w:rPr>
                <w:rFonts w:cs="Calibri"/>
                <w:color w:val="000000"/>
                <w:sz w:val="18"/>
                <w:szCs w:val="18"/>
              </w:rPr>
            </w:pPr>
            <w:r w:rsidRPr="006D1784">
              <w:rPr>
                <w:rFonts w:cs="Calibri"/>
                <w:color w:val="000000"/>
                <w:sz w:val="18"/>
                <w:szCs w:val="18"/>
              </w:rPr>
              <w:t>10</w:t>
            </w:r>
            <w:r w:rsidR="00B659EB">
              <w:rPr>
                <w:rFonts w:cs="Calibri"/>
                <w:color w:val="000000"/>
                <w:sz w:val="18"/>
                <w:szCs w:val="18"/>
              </w:rPr>
              <w:t>,</w:t>
            </w:r>
            <w:r w:rsidRPr="006D1784">
              <w:rPr>
                <w:rFonts w:cs="Calibri"/>
                <w:color w:val="000000"/>
                <w:sz w:val="18"/>
                <w:szCs w:val="18"/>
              </w:rPr>
              <w:t>085</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7AE2F1E8" w14:textId="77777777" w:rsidR="006D1784" w:rsidRPr="006D1784" w:rsidRDefault="006D1784" w:rsidP="006D1784">
            <w:pPr>
              <w:jc w:val="right"/>
              <w:rPr>
                <w:rFonts w:cs="Calibri"/>
                <w:color w:val="000000"/>
                <w:sz w:val="18"/>
                <w:szCs w:val="18"/>
              </w:rPr>
            </w:pPr>
            <w:r w:rsidRPr="006D1784">
              <w:rPr>
                <w:rFonts w:cs="Calibri"/>
                <w:color w:val="000000"/>
                <w:sz w:val="18"/>
                <w:szCs w:val="18"/>
              </w:rPr>
              <w:t>11.55 (11.33, 11.78)</w:t>
            </w:r>
          </w:p>
        </w:tc>
      </w:tr>
      <w:tr w:rsidR="006D1784" w14:paraId="2D6A29C1"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66553A55" w14:textId="77777777" w:rsidR="006D1784" w:rsidRPr="006D1784" w:rsidRDefault="006D1784" w:rsidP="006D1784">
            <w:pPr>
              <w:jc w:val="left"/>
              <w:rPr>
                <w:rFonts w:cs="Calibri"/>
                <w:color w:val="000000"/>
                <w:sz w:val="18"/>
                <w:szCs w:val="18"/>
              </w:rPr>
            </w:pPr>
            <w:r w:rsidRPr="006D1784">
              <w:rPr>
                <w:rFonts w:cs="Calibri"/>
                <w:color w:val="000000"/>
                <w:sz w:val="18"/>
                <w:szCs w:val="18"/>
              </w:rPr>
              <w:t>PSU at admission and first dropout</w:t>
            </w: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6EABAFC2" w14:textId="49D53C15"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4B82A05C" w14:textId="09B94FD7" w:rsidR="006D1784" w:rsidRPr="006D1784" w:rsidRDefault="006D1784" w:rsidP="006D1784">
            <w:pPr>
              <w:jc w:val="right"/>
              <w:rPr>
                <w:rFonts w:cs="Calibri"/>
                <w:color w:val="000000"/>
                <w:sz w:val="18"/>
                <w:szCs w:val="18"/>
              </w:rPr>
            </w:pPr>
            <w:r w:rsidRPr="006D1784">
              <w:rPr>
                <w:rFonts w:cs="Calibri"/>
                <w:color w:val="000000"/>
                <w:sz w:val="18"/>
                <w:szCs w:val="18"/>
              </w:rPr>
              <w:t>161</w:t>
            </w:r>
            <w:r w:rsidR="00B659EB">
              <w:rPr>
                <w:rFonts w:cs="Calibri"/>
                <w:color w:val="000000"/>
                <w:sz w:val="18"/>
                <w:szCs w:val="18"/>
              </w:rPr>
              <w:t>,</w:t>
            </w:r>
            <w:r w:rsidRPr="006D1784">
              <w:rPr>
                <w:rFonts w:cs="Calibri"/>
                <w:color w:val="000000"/>
                <w:sz w:val="18"/>
                <w:szCs w:val="18"/>
              </w:rPr>
              <w:t>852</w:t>
            </w:r>
            <w:r w:rsidR="00B659EB">
              <w:rPr>
                <w:rFonts w:cs="Calibri"/>
                <w:color w:val="000000"/>
                <w:sz w:val="18"/>
                <w:szCs w:val="18"/>
              </w:rPr>
              <w:t>.</w:t>
            </w:r>
            <w:r w:rsidRPr="006D1784">
              <w:rPr>
                <w:rFonts w:cs="Calibri"/>
                <w:color w:val="000000"/>
                <w:sz w:val="18"/>
                <w:szCs w:val="18"/>
              </w:rPr>
              <w:t>3</w:t>
            </w:r>
            <w:r w:rsidR="00B659EB">
              <w:rPr>
                <w:rFonts w:cs="Calibri"/>
                <w:color w:val="000000"/>
                <w:sz w:val="18"/>
                <w:szCs w:val="18"/>
              </w:rPr>
              <w:t>0</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D4EBF10" w14:textId="11B6B11A" w:rsidR="006D1784" w:rsidRPr="006D1784" w:rsidRDefault="006D1784" w:rsidP="006D1784">
            <w:pPr>
              <w:jc w:val="right"/>
              <w:rPr>
                <w:rFonts w:cs="Calibri"/>
                <w:color w:val="000000"/>
                <w:sz w:val="18"/>
                <w:szCs w:val="18"/>
              </w:rPr>
            </w:pPr>
            <w:r w:rsidRPr="006D1784">
              <w:rPr>
                <w:rFonts w:cs="Calibri"/>
                <w:color w:val="000000"/>
                <w:sz w:val="18"/>
                <w:szCs w:val="18"/>
              </w:rPr>
              <w:t>1</w:t>
            </w:r>
            <w:r w:rsidR="00B659EB">
              <w:rPr>
                <w:rFonts w:cs="Calibri"/>
                <w:color w:val="000000"/>
                <w:sz w:val="18"/>
                <w:szCs w:val="18"/>
              </w:rPr>
              <w:t>,</w:t>
            </w:r>
            <w:r w:rsidRPr="006D1784">
              <w:rPr>
                <w:rFonts w:cs="Calibri"/>
                <w:color w:val="000000"/>
                <w:sz w:val="18"/>
                <w:szCs w:val="18"/>
              </w:rPr>
              <w:t>833</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0104BA42" w14:textId="77777777" w:rsidR="006D1784" w:rsidRPr="006D1784" w:rsidRDefault="006D1784" w:rsidP="006D1784">
            <w:pPr>
              <w:jc w:val="right"/>
              <w:rPr>
                <w:rFonts w:cs="Calibri"/>
                <w:color w:val="000000"/>
                <w:sz w:val="18"/>
                <w:szCs w:val="18"/>
              </w:rPr>
            </w:pPr>
            <w:r w:rsidRPr="006D1784">
              <w:rPr>
                <w:rFonts w:cs="Calibri"/>
                <w:color w:val="000000"/>
                <w:sz w:val="18"/>
                <w:szCs w:val="18"/>
              </w:rPr>
              <w:t>11.33 (10.81, 11.86)</w:t>
            </w:r>
          </w:p>
        </w:tc>
      </w:tr>
      <w:tr w:rsidR="006D1784" w14:paraId="7D8DA095"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5CD0984B"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496F7004" w14:textId="7B35789B"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32927DD" w14:textId="3308745D" w:rsidR="006D1784" w:rsidRPr="006D1784" w:rsidRDefault="006D1784" w:rsidP="006D1784">
            <w:pPr>
              <w:jc w:val="right"/>
              <w:rPr>
                <w:rFonts w:cs="Calibri"/>
                <w:color w:val="000000"/>
                <w:sz w:val="18"/>
                <w:szCs w:val="18"/>
              </w:rPr>
            </w:pPr>
            <w:r w:rsidRPr="006D1784">
              <w:rPr>
                <w:rFonts w:cs="Calibri"/>
                <w:color w:val="000000"/>
                <w:sz w:val="18"/>
                <w:szCs w:val="18"/>
              </w:rPr>
              <w:t>872</w:t>
            </w:r>
            <w:r w:rsidR="00B659EB">
              <w:rPr>
                <w:rFonts w:cs="Calibri"/>
                <w:color w:val="000000"/>
                <w:sz w:val="18"/>
                <w:szCs w:val="18"/>
              </w:rPr>
              <w:t>,</w:t>
            </w:r>
            <w:r w:rsidRPr="006D1784">
              <w:rPr>
                <w:rFonts w:cs="Calibri"/>
                <w:color w:val="000000"/>
                <w:sz w:val="18"/>
                <w:szCs w:val="18"/>
              </w:rPr>
              <w:t>863</w:t>
            </w:r>
            <w:r w:rsidR="00B659EB">
              <w:rPr>
                <w:rFonts w:cs="Calibri"/>
                <w:color w:val="000000"/>
                <w:sz w:val="18"/>
                <w:szCs w:val="18"/>
              </w:rPr>
              <w:t>.</w:t>
            </w:r>
            <w:r w:rsidRPr="006D1784">
              <w:rPr>
                <w:rFonts w:cs="Calibri"/>
                <w:color w:val="000000"/>
                <w:sz w:val="18"/>
                <w:szCs w:val="18"/>
              </w:rPr>
              <w:t>25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CEB1E07" w14:textId="28B4DA62" w:rsidR="006D1784" w:rsidRPr="006D1784" w:rsidRDefault="006D1784" w:rsidP="006D1784">
            <w:pPr>
              <w:jc w:val="right"/>
              <w:rPr>
                <w:rFonts w:cs="Calibri"/>
                <w:color w:val="000000"/>
                <w:sz w:val="18"/>
                <w:szCs w:val="18"/>
              </w:rPr>
            </w:pPr>
            <w:r w:rsidRPr="006D1784">
              <w:rPr>
                <w:rFonts w:cs="Calibri"/>
                <w:color w:val="000000"/>
                <w:sz w:val="18"/>
                <w:szCs w:val="18"/>
              </w:rPr>
              <w:t>8</w:t>
            </w:r>
            <w:r w:rsidR="00B659EB">
              <w:rPr>
                <w:rFonts w:cs="Calibri"/>
                <w:color w:val="000000"/>
                <w:sz w:val="18"/>
                <w:szCs w:val="18"/>
              </w:rPr>
              <w:t>,</w:t>
            </w:r>
            <w:r w:rsidRPr="006D1784">
              <w:rPr>
                <w:rFonts w:cs="Calibri"/>
                <w:color w:val="000000"/>
                <w:sz w:val="18"/>
                <w:szCs w:val="18"/>
              </w:rPr>
              <w:t>615</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12EBDD18" w14:textId="77777777" w:rsidR="006D1784" w:rsidRPr="006D1784" w:rsidRDefault="006D1784" w:rsidP="006D1784">
            <w:pPr>
              <w:jc w:val="right"/>
              <w:rPr>
                <w:rFonts w:cs="Calibri"/>
                <w:color w:val="000000"/>
                <w:sz w:val="18"/>
                <w:szCs w:val="18"/>
              </w:rPr>
            </w:pPr>
            <w:r w:rsidRPr="006D1784">
              <w:rPr>
                <w:rFonts w:cs="Calibri"/>
                <w:color w:val="000000"/>
                <w:sz w:val="18"/>
                <w:szCs w:val="18"/>
              </w:rPr>
              <w:t>9.87 (9.66, 10.08)</w:t>
            </w:r>
          </w:p>
        </w:tc>
      </w:tr>
      <w:tr w:rsidR="006D1784" w14:paraId="746D0057"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3D565D2E" w14:textId="77777777" w:rsidR="006D1784" w:rsidRPr="006D1784" w:rsidRDefault="006D1784" w:rsidP="006D1784">
            <w:pPr>
              <w:jc w:val="left"/>
              <w:rPr>
                <w:rFonts w:cs="Calibri"/>
                <w:color w:val="000000"/>
                <w:sz w:val="18"/>
                <w:szCs w:val="18"/>
              </w:rPr>
            </w:pPr>
            <w:r w:rsidRPr="006D1784">
              <w:rPr>
                <w:rFonts w:cs="Calibri"/>
                <w:color w:val="000000"/>
                <w:sz w:val="18"/>
                <w:szCs w:val="18"/>
              </w:rPr>
              <w:t>At least one treatment reporting PSU and at least one dropout from the first admission</w:t>
            </w: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35417AAA" w14:textId="47ACAF12"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2C0B9424" w14:textId="209384C4" w:rsidR="006D1784" w:rsidRPr="006D1784" w:rsidRDefault="006D1784" w:rsidP="006D1784">
            <w:pPr>
              <w:jc w:val="right"/>
              <w:rPr>
                <w:rFonts w:cs="Calibri"/>
                <w:color w:val="000000"/>
                <w:sz w:val="18"/>
                <w:szCs w:val="18"/>
              </w:rPr>
            </w:pPr>
            <w:r w:rsidRPr="006D1784">
              <w:rPr>
                <w:rFonts w:cs="Calibri"/>
                <w:color w:val="000000"/>
                <w:sz w:val="18"/>
                <w:szCs w:val="18"/>
              </w:rPr>
              <w:t>78</w:t>
            </w:r>
            <w:r w:rsidR="00B659EB">
              <w:rPr>
                <w:rFonts w:cs="Calibri"/>
                <w:color w:val="000000"/>
                <w:sz w:val="18"/>
                <w:szCs w:val="18"/>
              </w:rPr>
              <w:t>,</w:t>
            </w:r>
            <w:r w:rsidRPr="006D1784">
              <w:rPr>
                <w:rFonts w:cs="Calibri"/>
                <w:color w:val="000000"/>
                <w:sz w:val="18"/>
                <w:szCs w:val="18"/>
              </w:rPr>
              <w:t>926</w:t>
            </w:r>
            <w:r w:rsidR="00B659EB">
              <w:rPr>
                <w:rFonts w:cs="Calibri"/>
                <w:color w:val="000000"/>
                <w:sz w:val="18"/>
                <w:szCs w:val="18"/>
              </w:rPr>
              <w:t>.</w:t>
            </w:r>
            <w:r w:rsidRPr="006D1784">
              <w:rPr>
                <w:rFonts w:cs="Calibri"/>
                <w:color w:val="000000"/>
                <w:sz w:val="18"/>
                <w:szCs w:val="18"/>
              </w:rPr>
              <w:t>85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533EEE63" w14:textId="3D2AB453" w:rsidR="006D1784" w:rsidRPr="006D1784" w:rsidRDefault="006D1784" w:rsidP="006D1784">
            <w:pPr>
              <w:jc w:val="right"/>
              <w:rPr>
                <w:rFonts w:cs="Calibri"/>
                <w:color w:val="000000"/>
                <w:sz w:val="18"/>
                <w:szCs w:val="18"/>
              </w:rPr>
            </w:pPr>
            <w:r w:rsidRPr="006D1784">
              <w:rPr>
                <w:rFonts w:cs="Calibri"/>
                <w:color w:val="000000"/>
                <w:sz w:val="18"/>
                <w:szCs w:val="18"/>
              </w:rPr>
              <w:t>1</w:t>
            </w:r>
            <w:r w:rsidR="00B659EB">
              <w:rPr>
                <w:rFonts w:cs="Calibri"/>
                <w:color w:val="000000"/>
                <w:sz w:val="18"/>
                <w:szCs w:val="18"/>
              </w:rPr>
              <w:t>,</w:t>
            </w:r>
            <w:r w:rsidRPr="006D1784">
              <w:rPr>
                <w:rFonts w:cs="Calibri"/>
                <w:color w:val="000000"/>
                <w:sz w:val="18"/>
                <w:szCs w:val="18"/>
              </w:rPr>
              <w:t>099</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304C267B" w14:textId="77777777" w:rsidR="006D1784" w:rsidRPr="006D1784" w:rsidRDefault="006D1784" w:rsidP="006D1784">
            <w:pPr>
              <w:jc w:val="right"/>
              <w:rPr>
                <w:rFonts w:cs="Calibri"/>
                <w:color w:val="000000"/>
                <w:sz w:val="18"/>
                <w:szCs w:val="18"/>
              </w:rPr>
            </w:pPr>
            <w:r w:rsidRPr="006D1784">
              <w:rPr>
                <w:rFonts w:cs="Calibri"/>
                <w:color w:val="000000"/>
                <w:sz w:val="18"/>
                <w:szCs w:val="18"/>
              </w:rPr>
              <w:t>13.92 (13.11, 14.77)</w:t>
            </w:r>
          </w:p>
        </w:tc>
      </w:tr>
      <w:tr w:rsidR="006D1784" w14:paraId="65A89C59"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14B30AA3"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33ABBA99" w14:textId="12042CEA"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E225FF0" w14:textId="42E37DE1" w:rsidR="006D1784" w:rsidRPr="006D1784" w:rsidRDefault="006D1784" w:rsidP="006D1784">
            <w:pPr>
              <w:jc w:val="right"/>
              <w:rPr>
                <w:rFonts w:cs="Calibri"/>
                <w:color w:val="000000"/>
                <w:sz w:val="18"/>
                <w:szCs w:val="18"/>
              </w:rPr>
            </w:pPr>
            <w:r w:rsidRPr="006D1784">
              <w:rPr>
                <w:rFonts w:cs="Calibri"/>
                <w:color w:val="000000"/>
                <w:sz w:val="18"/>
                <w:szCs w:val="18"/>
              </w:rPr>
              <w:t>955</w:t>
            </w:r>
            <w:r w:rsidR="00B659EB">
              <w:rPr>
                <w:rFonts w:cs="Calibri"/>
                <w:color w:val="000000"/>
                <w:sz w:val="18"/>
                <w:szCs w:val="18"/>
              </w:rPr>
              <w:t>,</w:t>
            </w:r>
            <w:r w:rsidRPr="006D1784">
              <w:rPr>
                <w:rFonts w:cs="Calibri"/>
                <w:color w:val="000000"/>
                <w:sz w:val="18"/>
                <w:szCs w:val="18"/>
              </w:rPr>
              <w:t>788</w:t>
            </w:r>
            <w:r w:rsidR="00B659EB">
              <w:rPr>
                <w:rFonts w:cs="Calibri"/>
                <w:color w:val="000000"/>
                <w:sz w:val="18"/>
                <w:szCs w:val="18"/>
              </w:rPr>
              <w:t>.</w:t>
            </w:r>
            <w:r w:rsidRPr="006D1784">
              <w:rPr>
                <w:rFonts w:cs="Calibri"/>
                <w:color w:val="000000"/>
                <w:sz w:val="18"/>
                <w:szCs w:val="18"/>
              </w:rPr>
              <w:t>69</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7C76AA7" w14:textId="2A549C03" w:rsidR="006D1784" w:rsidRPr="006D1784" w:rsidRDefault="006D1784" w:rsidP="006D1784">
            <w:pPr>
              <w:jc w:val="right"/>
              <w:rPr>
                <w:rFonts w:cs="Calibri"/>
                <w:color w:val="000000"/>
                <w:sz w:val="18"/>
                <w:szCs w:val="18"/>
              </w:rPr>
            </w:pPr>
            <w:r w:rsidRPr="006D1784">
              <w:rPr>
                <w:rFonts w:cs="Calibri"/>
                <w:color w:val="000000"/>
                <w:sz w:val="18"/>
                <w:szCs w:val="18"/>
              </w:rPr>
              <w:t>11</w:t>
            </w:r>
            <w:r w:rsidR="00B659EB">
              <w:rPr>
                <w:rFonts w:cs="Calibri"/>
                <w:color w:val="000000"/>
                <w:sz w:val="18"/>
                <w:szCs w:val="18"/>
              </w:rPr>
              <w:t>,</w:t>
            </w:r>
            <w:r w:rsidRPr="006D1784">
              <w:rPr>
                <w:rFonts w:cs="Calibri"/>
                <w:color w:val="000000"/>
                <w:sz w:val="18"/>
                <w:szCs w:val="18"/>
              </w:rPr>
              <w:t>121</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68537B28" w14:textId="77777777" w:rsidR="006D1784" w:rsidRPr="006D1784" w:rsidRDefault="006D1784" w:rsidP="006D1784">
            <w:pPr>
              <w:jc w:val="right"/>
              <w:rPr>
                <w:rFonts w:cs="Calibri"/>
                <w:color w:val="000000"/>
                <w:sz w:val="18"/>
                <w:szCs w:val="18"/>
              </w:rPr>
            </w:pPr>
            <w:r w:rsidRPr="006D1784">
              <w:rPr>
                <w:rFonts w:cs="Calibri"/>
                <w:color w:val="000000"/>
                <w:sz w:val="18"/>
                <w:szCs w:val="18"/>
              </w:rPr>
              <w:t>11.64 (11.42, 11.85)</w:t>
            </w:r>
          </w:p>
        </w:tc>
      </w:tr>
      <w:tr w:rsidR="006D1784" w14:paraId="2E529BC6" w14:textId="77777777" w:rsidTr="006D1784">
        <w:trPr>
          <w:trHeight w:val="300"/>
        </w:trPr>
        <w:tc>
          <w:tcPr>
            <w:tcW w:w="6383" w:type="dxa"/>
            <w:tcBorders>
              <w:top w:val="nil"/>
              <w:left w:val="nil"/>
              <w:right w:val="nil"/>
            </w:tcBorders>
            <w:shd w:val="clear" w:color="auto" w:fill="auto"/>
            <w:noWrap/>
            <w:tcMar>
              <w:top w:w="15" w:type="dxa"/>
              <w:left w:w="15" w:type="dxa"/>
              <w:bottom w:w="0" w:type="dxa"/>
              <w:right w:w="15" w:type="dxa"/>
            </w:tcMar>
            <w:vAlign w:val="center"/>
            <w:hideMark/>
          </w:tcPr>
          <w:p w14:paraId="1082F4FA" w14:textId="77777777" w:rsidR="006D1784" w:rsidRPr="006D1784" w:rsidRDefault="006D1784" w:rsidP="006D1784">
            <w:pPr>
              <w:jc w:val="left"/>
              <w:rPr>
                <w:rFonts w:cs="Calibri"/>
                <w:color w:val="000000"/>
                <w:sz w:val="18"/>
                <w:szCs w:val="18"/>
              </w:rPr>
            </w:pPr>
            <w:r w:rsidRPr="006D1784">
              <w:rPr>
                <w:rFonts w:cs="Calibri"/>
                <w:color w:val="000000"/>
                <w:sz w:val="18"/>
                <w:szCs w:val="18"/>
              </w:rPr>
              <w:t>At least one treatment reporting PSU and first dropout</w:t>
            </w:r>
          </w:p>
        </w:tc>
        <w:tc>
          <w:tcPr>
            <w:tcW w:w="1981" w:type="dxa"/>
            <w:tcBorders>
              <w:top w:val="nil"/>
              <w:left w:val="nil"/>
              <w:right w:val="nil"/>
            </w:tcBorders>
            <w:shd w:val="clear" w:color="auto" w:fill="auto"/>
            <w:noWrap/>
            <w:tcMar>
              <w:top w:w="15" w:type="dxa"/>
              <w:left w:w="15" w:type="dxa"/>
              <w:bottom w:w="0" w:type="dxa"/>
              <w:right w:w="15" w:type="dxa"/>
            </w:tcMar>
            <w:vAlign w:val="center"/>
            <w:hideMark/>
          </w:tcPr>
          <w:p w14:paraId="0AFCCADA" w14:textId="601E37E1"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right w:val="nil"/>
            </w:tcBorders>
            <w:shd w:val="clear" w:color="auto" w:fill="auto"/>
            <w:noWrap/>
            <w:tcMar>
              <w:top w:w="15" w:type="dxa"/>
              <w:left w:w="15" w:type="dxa"/>
              <w:bottom w:w="0" w:type="dxa"/>
              <w:right w:w="15" w:type="dxa"/>
            </w:tcMar>
            <w:vAlign w:val="center"/>
            <w:hideMark/>
          </w:tcPr>
          <w:p w14:paraId="1EFED13C" w14:textId="2DB9A353" w:rsidR="006D1784" w:rsidRPr="006D1784" w:rsidRDefault="006D1784" w:rsidP="006D1784">
            <w:pPr>
              <w:jc w:val="right"/>
              <w:rPr>
                <w:rFonts w:cs="Calibri"/>
                <w:color w:val="000000"/>
                <w:sz w:val="18"/>
                <w:szCs w:val="18"/>
              </w:rPr>
            </w:pPr>
            <w:r w:rsidRPr="006D1784">
              <w:rPr>
                <w:rFonts w:cs="Calibri"/>
                <w:color w:val="000000"/>
                <w:sz w:val="18"/>
                <w:szCs w:val="18"/>
              </w:rPr>
              <w:t>78</w:t>
            </w:r>
            <w:r w:rsidR="00B659EB">
              <w:rPr>
                <w:rFonts w:cs="Calibri"/>
                <w:color w:val="000000"/>
                <w:sz w:val="18"/>
                <w:szCs w:val="18"/>
              </w:rPr>
              <w:t>,</w:t>
            </w:r>
            <w:r w:rsidRPr="006D1784">
              <w:rPr>
                <w:rFonts w:cs="Calibri"/>
                <w:color w:val="000000"/>
                <w:sz w:val="18"/>
                <w:szCs w:val="18"/>
              </w:rPr>
              <w:t>926</w:t>
            </w:r>
            <w:r w:rsidR="00B659EB">
              <w:rPr>
                <w:rFonts w:cs="Calibri"/>
                <w:color w:val="000000"/>
                <w:sz w:val="18"/>
                <w:szCs w:val="18"/>
              </w:rPr>
              <w:t>.</w:t>
            </w:r>
            <w:r w:rsidRPr="006D1784">
              <w:rPr>
                <w:rFonts w:cs="Calibri"/>
                <w:color w:val="000000"/>
                <w:sz w:val="18"/>
                <w:szCs w:val="18"/>
              </w:rPr>
              <w:t>85</w:t>
            </w:r>
          </w:p>
        </w:tc>
        <w:tc>
          <w:tcPr>
            <w:tcW w:w="1022" w:type="dxa"/>
            <w:tcBorders>
              <w:top w:val="nil"/>
              <w:left w:val="nil"/>
              <w:right w:val="nil"/>
            </w:tcBorders>
            <w:shd w:val="clear" w:color="auto" w:fill="auto"/>
            <w:noWrap/>
            <w:tcMar>
              <w:top w:w="15" w:type="dxa"/>
              <w:left w:w="15" w:type="dxa"/>
              <w:bottom w:w="0" w:type="dxa"/>
              <w:right w:w="15" w:type="dxa"/>
            </w:tcMar>
            <w:vAlign w:val="center"/>
            <w:hideMark/>
          </w:tcPr>
          <w:p w14:paraId="30AD9B94" w14:textId="77777777" w:rsidR="006D1784" w:rsidRPr="006D1784" w:rsidRDefault="006D1784" w:rsidP="006D1784">
            <w:pPr>
              <w:jc w:val="right"/>
              <w:rPr>
                <w:rFonts w:cs="Calibri"/>
                <w:color w:val="000000"/>
                <w:sz w:val="18"/>
                <w:szCs w:val="18"/>
              </w:rPr>
            </w:pPr>
            <w:r w:rsidRPr="006D1784">
              <w:rPr>
                <w:rFonts w:cs="Calibri"/>
                <w:color w:val="000000"/>
                <w:sz w:val="18"/>
                <w:szCs w:val="18"/>
              </w:rPr>
              <w:t>936</w:t>
            </w:r>
          </w:p>
        </w:tc>
        <w:tc>
          <w:tcPr>
            <w:tcW w:w="2206" w:type="dxa"/>
            <w:tcBorders>
              <w:top w:val="nil"/>
              <w:left w:val="nil"/>
              <w:right w:val="nil"/>
            </w:tcBorders>
            <w:shd w:val="clear" w:color="auto" w:fill="auto"/>
            <w:noWrap/>
            <w:tcMar>
              <w:top w:w="15" w:type="dxa"/>
              <w:left w:w="15" w:type="dxa"/>
              <w:bottom w:w="0" w:type="dxa"/>
              <w:right w:w="15" w:type="dxa"/>
            </w:tcMar>
            <w:vAlign w:val="center"/>
            <w:hideMark/>
          </w:tcPr>
          <w:p w14:paraId="0F3639C3" w14:textId="77777777" w:rsidR="006D1784" w:rsidRPr="006D1784" w:rsidRDefault="006D1784" w:rsidP="006D1784">
            <w:pPr>
              <w:jc w:val="right"/>
              <w:rPr>
                <w:rFonts w:cs="Calibri"/>
                <w:color w:val="000000"/>
                <w:sz w:val="18"/>
                <w:szCs w:val="18"/>
              </w:rPr>
            </w:pPr>
            <w:r w:rsidRPr="006D1784">
              <w:rPr>
                <w:rFonts w:cs="Calibri"/>
                <w:color w:val="000000"/>
                <w:sz w:val="18"/>
                <w:szCs w:val="18"/>
              </w:rPr>
              <w:t>11.86 (11.11, 12.64)</w:t>
            </w:r>
          </w:p>
        </w:tc>
      </w:tr>
      <w:tr w:rsidR="006D1784" w14:paraId="1C0C0DBA" w14:textId="77777777" w:rsidTr="006D1784">
        <w:trPr>
          <w:trHeight w:val="300"/>
        </w:trPr>
        <w:tc>
          <w:tcPr>
            <w:tcW w:w="6383"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22EBBAB" w14:textId="77777777" w:rsidR="006D1784" w:rsidRPr="006D1784" w:rsidRDefault="006D1784" w:rsidP="006D1784">
            <w:pPr>
              <w:jc w:val="left"/>
              <w:rPr>
                <w:rFonts w:cs="Calibri"/>
                <w:color w:val="000000"/>
                <w:sz w:val="18"/>
                <w:szCs w:val="18"/>
              </w:rPr>
            </w:pPr>
          </w:p>
        </w:tc>
        <w:tc>
          <w:tcPr>
            <w:tcW w:w="1981"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E26690" w14:textId="3599E7E9"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857B2E" w14:textId="18EEEB2F" w:rsidR="006D1784" w:rsidRPr="006D1784" w:rsidRDefault="006D1784" w:rsidP="006D1784">
            <w:pPr>
              <w:jc w:val="right"/>
              <w:rPr>
                <w:rFonts w:cs="Calibri"/>
                <w:color w:val="000000"/>
                <w:sz w:val="18"/>
                <w:szCs w:val="18"/>
              </w:rPr>
            </w:pPr>
            <w:r w:rsidRPr="006D1784">
              <w:rPr>
                <w:rFonts w:cs="Calibri"/>
                <w:color w:val="000000"/>
                <w:sz w:val="18"/>
                <w:szCs w:val="18"/>
              </w:rPr>
              <w:t>955</w:t>
            </w:r>
            <w:r w:rsidR="00B659EB">
              <w:rPr>
                <w:rFonts w:cs="Calibri"/>
                <w:color w:val="000000"/>
                <w:sz w:val="18"/>
                <w:szCs w:val="18"/>
              </w:rPr>
              <w:t>,</w:t>
            </w:r>
            <w:r w:rsidRPr="006D1784">
              <w:rPr>
                <w:rFonts w:cs="Calibri"/>
                <w:color w:val="000000"/>
                <w:sz w:val="18"/>
                <w:szCs w:val="18"/>
              </w:rPr>
              <w:t>788</w:t>
            </w:r>
            <w:r w:rsidR="00B659EB">
              <w:rPr>
                <w:rFonts w:cs="Calibri"/>
                <w:color w:val="000000"/>
                <w:sz w:val="18"/>
                <w:szCs w:val="18"/>
              </w:rPr>
              <w:t>.</w:t>
            </w:r>
            <w:r w:rsidRPr="006D1784">
              <w:rPr>
                <w:rFonts w:cs="Calibri"/>
                <w:color w:val="000000"/>
                <w:sz w:val="18"/>
                <w:szCs w:val="18"/>
              </w:rPr>
              <w:t>69</w:t>
            </w:r>
          </w:p>
        </w:tc>
        <w:tc>
          <w:tcPr>
            <w:tcW w:w="1022"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0D35786" w14:textId="0AF1D9FD" w:rsidR="006D1784" w:rsidRPr="006D1784" w:rsidRDefault="006D1784" w:rsidP="006D1784">
            <w:pPr>
              <w:jc w:val="right"/>
              <w:rPr>
                <w:rFonts w:cs="Calibri"/>
                <w:color w:val="000000"/>
                <w:sz w:val="18"/>
                <w:szCs w:val="18"/>
              </w:rPr>
            </w:pPr>
            <w:r w:rsidRPr="006D1784">
              <w:rPr>
                <w:rFonts w:cs="Calibri"/>
                <w:color w:val="000000"/>
                <w:sz w:val="18"/>
                <w:szCs w:val="18"/>
              </w:rPr>
              <w:t>9</w:t>
            </w:r>
            <w:r w:rsidR="00B659EB">
              <w:rPr>
                <w:rFonts w:cs="Calibri"/>
                <w:color w:val="000000"/>
                <w:sz w:val="18"/>
                <w:szCs w:val="18"/>
              </w:rPr>
              <w:t>,</w:t>
            </w:r>
            <w:r w:rsidRPr="006D1784">
              <w:rPr>
                <w:rFonts w:cs="Calibri"/>
                <w:color w:val="000000"/>
                <w:sz w:val="18"/>
                <w:szCs w:val="18"/>
              </w:rPr>
              <w:t>512</w:t>
            </w:r>
          </w:p>
        </w:tc>
        <w:tc>
          <w:tcPr>
            <w:tcW w:w="2206"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6D171EB" w14:textId="77777777" w:rsidR="006D1784" w:rsidRPr="006D1784" w:rsidRDefault="006D1784" w:rsidP="006D1784">
            <w:pPr>
              <w:jc w:val="right"/>
              <w:rPr>
                <w:rFonts w:cs="Calibri"/>
                <w:color w:val="000000"/>
                <w:sz w:val="18"/>
                <w:szCs w:val="18"/>
              </w:rPr>
            </w:pPr>
            <w:r w:rsidRPr="006D1784">
              <w:rPr>
                <w:rFonts w:cs="Calibri"/>
                <w:color w:val="000000"/>
                <w:sz w:val="18"/>
                <w:szCs w:val="18"/>
              </w:rPr>
              <w:t>9.95 (9.75, 10.15)</w:t>
            </w:r>
          </w:p>
        </w:tc>
      </w:tr>
    </w:tbl>
    <w:p w14:paraId="4D1EE1C2" w14:textId="3C4471BD" w:rsidR="006D1784" w:rsidRDefault="006D1784" w:rsidP="006D1784">
      <w:pPr>
        <w:ind w:firstLine="720"/>
        <w:jc w:val="left"/>
        <w:rPr>
          <w:shd w:val="clear" w:color="auto" w:fill="FFFFFF"/>
        </w:rPr>
      </w:pPr>
      <w:r>
        <w:rPr>
          <w:shd w:val="clear" w:color="auto" w:fill="FFFFFF"/>
        </w:rPr>
        <w:t xml:space="preserve">Note. </w:t>
      </w:r>
      <w:r w:rsidRPr="006D1784">
        <w:rPr>
          <w:shd w:val="clear" w:color="auto" w:fill="FFFFFF"/>
        </w:rPr>
        <w:t xml:space="preserve">incidence rate </w:t>
      </w:r>
      <w:r>
        <w:rPr>
          <w:shd w:val="clear" w:color="auto" w:fill="FFFFFF"/>
        </w:rPr>
        <w:t xml:space="preserve">(IR) </w:t>
      </w:r>
      <w:r w:rsidRPr="006D1784">
        <w:rPr>
          <w:shd w:val="clear" w:color="auto" w:fill="FFFFFF"/>
        </w:rPr>
        <w:t>along with the 95% confidence interval</w:t>
      </w:r>
      <w:r>
        <w:rPr>
          <w:shd w:val="clear" w:color="auto" w:fill="FFFFFF"/>
        </w:rPr>
        <w:t xml:space="preserve"> (95% CI).</w:t>
      </w:r>
      <w:r>
        <w:rPr>
          <w:shd w:val="clear" w:color="auto" w:fill="FFFFFF"/>
        </w:rPr>
        <w:br w:type="page"/>
      </w:r>
    </w:p>
    <w:p w14:paraId="3C3A33B6" w14:textId="5C8E5947" w:rsidR="00E64DB5" w:rsidRPr="007D1943" w:rsidRDefault="005E6FE6" w:rsidP="00815BAF">
      <w:pPr>
        <w:spacing w:after="0" w:line="240" w:lineRule="auto"/>
        <w:ind w:firstLine="720"/>
        <w:jc w:val="left"/>
        <w:rPr>
          <w:b/>
          <w:bCs/>
          <w:shd w:val="clear" w:color="auto" w:fill="FFFFFF"/>
        </w:rPr>
      </w:pPr>
      <w:r w:rsidRPr="007D1943">
        <w:rPr>
          <w:b/>
          <w:bCs/>
          <w:shd w:val="clear" w:color="auto" w:fill="FFFFFF"/>
        </w:rPr>
        <w:lastRenderedPageBreak/>
        <w:t xml:space="preserve">Table </w:t>
      </w:r>
      <w:r w:rsidR="006D1784" w:rsidRPr="007D1943">
        <w:rPr>
          <w:b/>
          <w:bCs/>
          <w:shd w:val="clear" w:color="auto" w:fill="FFFFFF"/>
        </w:rPr>
        <w:t>3</w:t>
      </w:r>
      <w:r w:rsidRPr="007D1943">
        <w:rPr>
          <w:b/>
          <w:bCs/>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815BAF" w:rsidRPr="00815BAF" w14:paraId="1A3ED69A" w14:textId="77777777" w:rsidTr="00815BAF">
        <w:trPr>
          <w:trHeight w:val="300"/>
          <w:jc w:val="center"/>
        </w:trPr>
        <w:tc>
          <w:tcPr>
            <w:tcW w:w="6640" w:type="dxa"/>
            <w:tcBorders>
              <w:top w:val="single" w:sz="4" w:space="0" w:color="auto"/>
              <w:left w:val="nil"/>
              <w:bottom w:val="single" w:sz="4" w:space="0" w:color="auto"/>
              <w:right w:val="nil"/>
            </w:tcBorders>
            <w:shd w:val="clear" w:color="auto" w:fill="auto"/>
            <w:noWrap/>
            <w:vAlign w:val="center"/>
            <w:hideMark/>
          </w:tcPr>
          <w:p w14:paraId="7AFCCDE3" w14:textId="639FA079" w:rsidR="00815BAF" w:rsidRPr="00815BAF" w:rsidRDefault="00815BAF" w:rsidP="00815BAF">
            <w:pPr>
              <w:spacing w:after="0" w:line="240" w:lineRule="auto"/>
              <w:jc w:val="center"/>
              <w:rPr>
                <w:rFonts w:ascii="Calibri" w:eastAsia="Times New Roman" w:hAnsi="Calibri" w:cs="Calibri"/>
                <w:b/>
                <w:bCs/>
                <w:color w:val="000000"/>
                <w:sz w:val="22"/>
                <w:lang w:val="es-CL" w:eastAsia="es-CL"/>
              </w:rPr>
            </w:pPr>
            <w:proofErr w:type="spellStart"/>
            <w:r w:rsidRPr="00815BAF">
              <w:rPr>
                <w:rFonts w:ascii="Calibri" w:eastAsia="Times New Roman" w:hAnsi="Calibri" w:cs="Calibri"/>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shd w:val="clear" w:color="auto" w:fill="auto"/>
            <w:noWrap/>
            <w:vAlign w:val="center"/>
            <w:hideMark/>
          </w:tcPr>
          <w:p w14:paraId="4F736D8F" w14:textId="7732C639" w:rsidR="00815BAF" w:rsidRPr="000A202A" w:rsidRDefault="00815BAF" w:rsidP="00815BAF">
            <w:pPr>
              <w:spacing w:after="0" w:line="240" w:lineRule="auto"/>
              <w:jc w:val="center"/>
              <w:rPr>
                <w:rFonts w:eastAsia="Times New Roman" w:cs="Calibri"/>
                <w:b/>
                <w:bCs/>
                <w:color w:val="000000"/>
                <w:sz w:val="18"/>
                <w:szCs w:val="18"/>
                <w:lang w:val="es-CL" w:eastAsia="es-CL"/>
              </w:rPr>
            </w:pPr>
            <w:r w:rsidRPr="000A202A">
              <w:rPr>
                <w:rFonts w:eastAsia="Times New Roman" w:cs="Calibri"/>
                <w:b/>
                <w:bCs/>
                <w:color w:val="000000"/>
                <w:sz w:val="18"/>
                <w:szCs w:val="18"/>
                <w:lang w:val="es-CL" w:eastAsia="es-CL"/>
              </w:rPr>
              <w:t>Hazard ratio (95% CI)</w:t>
            </w:r>
          </w:p>
        </w:tc>
      </w:tr>
      <w:tr w:rsidR="00815BAF" w:rsidRPr="00815BAF" w14:paraId="76F8D40B" w14:textId="77777777" w:rsidTr="00815BAF">
        <w:trPr>
          <w:trHeight w:val="300"/>
          <w:jc w:val="center"/>
        </w:trPr>
        <w:tc>
          <w:tcPr>
            <w:tcW w:w="6640" w:type="dxa"/>
            <w:tcBorders>
              <w:top w:val="single" w:sz="4" w:space="0" w:color="auto"/>
              <w:left w:val="nil"/>
              <w:bottom w:val="nil"/>
              <w:right w:val="nil"/>
            </w:tcBorders>
            <w:shd w:val="clear" w:color="auto" w:fill="auto"/>
            <w:noWrap/>
            <w:vAlign w:val="center"/>
            <w:hideMark/>
          </w:tcPr>
          <w:p w14:paraId="77BB88A4" w14:textId="18A31F34" w:rsidR="00815BAF" w:rsidRPr="008D0663" w:rsidRDefault="00815BAF" w:rsidP="00815BAF">
            <w:pPr>
              <w:spacing w:after="0" w:line="240" w:lineRule="auto"/>
              <w:jc w:val="left"/>
              <w:rPr>
                <w:rFonts w:eastAsia="Times New Roman" w:cs="Calibri"/>
                <w:color w:val="000000"/>
                <w:sz w:val="18"/>
                <w:szCs w:val="18"/>
                <w:lang w:val="en-US" w:eastAsia="es-CL"/>
              </w:rPr>
            </w:pPr>
            <w:del w:id="165" w:author="Andrés González Santa Cruz" w:date="2024-05-27T19:10:00Z" w16du:dateUtc="2024-05-27T23:10:00Z">
              <w:r w:rsidRPr="008D0663" w:rsidDel="00E32CB8">
                <w:rPr>
                  <w:rFonts w:eastAsia="Times New Roman" w:cs="Calibri"/>
                  <w:color w:val="000000"/>
                  <w:sz w:val="18"/>
                  <w:szCs w:val="18"/>
                  <w:lang w:val="en-US" w:eastAsia="es-CL"/>
                </w:rPr>
                <w:delText xml:space="preserve">Treatment outcome of the </w:delText>
              </w:r>
            </w:del>
            <w:ins w:id="166" w:author="Andrés González Santa Cruz" w:date="2024-05-27T19:10:00Z" w16du:dateUtc="2024-05-27T23:10:00Z">
              <w:r w:rsidR="00E32CB8">
                <w:rPr>
                  <w:rFonts w:eastAsia="Times New Roman" w:cs="Calibri"/>
                  <w:color w:val="000000"/>
                  <w:sz w:val="18"/>
                  <w:szCs w:val="18"/>
                  <w:lang w:val="en-US" w:eastAsia="es-CL"/>
                </w:rPr>
                <w:t xml:space="preserve">Dropout in the </w:t>
              </w:r>
            </w:ins>
            <w:r w:rsidRPr="008D0663">
              <w:rPr>
                <w:rFonts w:eastAsia="Times New Roman" w:cs="Calibri"/>
                <w:color w:val="000000"/>
                <w:sz w:val="18"/>
                <w:szCs w:val="18"/>
                <w:lang w:val="en-US" w:eastAsia="es-CL"/>
              </w:rPr>
              <w:t>previous treatment</w:t>
            </w:r>
          </w:p>
        </w:tc>
        <w:tc>
          <w:tcPr>
            <w:tcW w:w="2574" w:type="dxa"/>
            <w:tcBorders>
              <w:top w:val="single" w:sz="4" w:space="0" w:color="auto"/>
              <w:left w:val="nil"/>
              <w:bottom w:val="nil"/>
              <w:right w:val="nil"/>
            </w:tcBorders>
            <w:shd w:val="clear" w:color="auto" w:fill="auto"/>
            <w:noWrap/>
            <w:vAlign w:val="center"/>
            <w:hideMark/>
          </w:tcPr>
          <w:p w14:paraId="7075EC58" w14:textId="24B7ACFB"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1.17 (1.13, 1.21)</w:t>
            </w:r>
          </w:p>
        </w:tc>
      </w:tr>
      <w:tr w:rsidR="00815BAF" w:rsidRPr="00815BAF" w14:paraId="221CA0E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42EB8F60"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Previous</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biopsychosocial</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compromise</w:t>
            </w:r>
            <w:proofErr w:type="spellEnd"/>
            <w:r w:rsidRPr="00815BAF">
              <w:rPr>
                <w:rFonts w:eastAsia="Times New Roman" w:cs="Calibri"/>
                <w:color w:val="000000"/>
                <w:sz w:val="18"/>
                <w:szCs w:val="18"/>
                <w:lang w:val="es-CL" w:eastAsia="es-CL"/>
              </w:rPr>
              <w:t xml:space="preserve"> (severe)</w:t>
            </w:r>
          </w:p>
        </w:tc>
        <w:tc>
          <w:tcPr>
            <w:tcW w:w="2574" w:type="dxa"/>
            <w:tcBorders>
              <w:top w:val="nil"/>
              <w:left w:val="nil"/>
              <w:bottom w:val="nil"/>
              <w:right w:val="nil"/>
            </w:tcBorders>
            <w:shd w:val="clear" w:color="auto" w:fill="auto"/>
            <w:noWrap/>
            <w:vAlign w:val="center"/>
            <w:hideMark/>
          </w:tcPr>
          <w:p w14:paraId="61E82692" w14:textId="379334A7"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1.06 (1.03, 1.10)</w:t>
            </w:r>
          </w:p>
        </w:tc>
      </w:tr>
      <w:tr w:rsidR="00815BAF" w:rsidRPr="00815BAF" w14:paraId="4BCF4115"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3F56A7E6"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Previous</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treatment</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duration</w:t>
            </w:r>
            <w:proofErr w:type="spellEnd"/>
            <w:r w:rsidRPr="00815BAF">
              <w:rPr>
                <w:rFonts w:eastAsia="Times New Roman" w:cs="Calibri"/>
                <w:color w:val="000000"/>
                <w:sz w:val="18"/>
                <w:szCs w:val="18"/>
                <w:lang w:val="es-CL" w:eastAsia="es-CL"/>
              </w:rPr>
              <w:t xml:space="preserve"> (&lt;90 </w:t>
            </w:r>
            <w:proofErr w:type="spellStart"/>
            <w:r w:rsidRPr="00815BAF">
              <w:rPr>
                <w:rFonts w:eastAsia="Times New Roman" w:cs="Calibri"/>
                <w:color w:val="000000"/>
                <w:sz w:val="18"/>
                <w:szCs w:val="18"/>
                <w:lang w:val="es-CL" w:eastAsia="es-CL"/>
              </w:rPr>
              <w:t>days</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7A73E96F" w14:textId="313D565E"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1.11 (1.06, 1.16)</w:t>
            </w:r>
          </w:p>
        </w:tc>
      </w:tr>
      <w:tr w:rsidR="00815BAF" w:rsidRPr="00815BAF" w14:paraId="5C0391B0"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6900A2E9"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Previous treatment duration (in logarithmic scaled days)</w:t>
            </w:r>
          </w:p>
        </w:tc>
        <w:tc>
          <w:tcPr>
            <w:tcW w:w="2574" w:type="dxa"/>
            <w:tcBorders>
              <w:top w:val="nil"/>
              <w:left w:val="nil"/>
              <w:bottom w:val="nil"/>
              <w:right w:val="nil"/>
            </w:tcBorders>
            <w:shd w:val="clear" w:color="auto" w:fill="auto"/>
            <w:noWrap/>
            <w:vAlign w:val="center"/>
            <w:hideMark/>
          </w:tcPr>
          <w:p w14:paraId="5876AE24" w14:textId="0E13A07C"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0.98 (0.96, 1.00)</w:t>
            </w:r>
          </w:p>
        </w:tc>
      </w:tr>
      <w:tr w:rsidR="00815BAF" w:rsidRPr="00815BAF" w14:paraId="29BF6A0E"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0FF8FB63"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Polysubstance use status of the previous treatment</w:t>
            </w:r>
          </w:p>
        </w:tc>
        <w:tc>
          <w:tcPr>
            <w:tcW w:w="2574" w:type="dxa"/>
            <w:tcBorders>
              <w:top w:val="nil"/>
              <w:left w:val="nil"/>
              <w:bottom w:val="nil"/>
              <w:right w:val="nil"/>
            </w:tcBorders>
            <w:shd w:val="clear" w:color="auto" w:fill="auto"/>
            <w:noWrap/>
            <w:vAlign w:val="center"/>
            <w:hideMark/>
          </w:tcPr>
          <w:p w14:paraId="5DD0AE66" w14:textId="03F8F6E4"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0.98 (0.95, 1.02)</w:t>
            </w:r>
          </w:p>
        </w:tc>
      </w:tr>
      <w:tr w:rsidR="00815BAF" w:rsidRPr="00815BAF" w14:paraId="185F9E82"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F545D40" w14:textId="70B6E62F" w:rsidR="00815BAF" w:rsidRPr="008D0663" w:rsidRDefault="00815BAF" w:rsidP="00815BAF">
            <w:pPr>
              <w:spacing w:after="0" w:line="240" w:lineRule="auto"/>
              <w:jc w:val="left"/>
              <w:rPr>
                <w:rFonts w:eastAsia="Times New Roman" w:cs="Calibri"/>
                <w:color w:val="000000"/>
                <w:sz w:val="18"/>
                <w:szCs w:val="18"/>
                <w:lang w:val="en-US" w:eastAsia="es-CL"/>
              </w:rPr>
            </w:pPr>
            <w:commentRangeStart w:id="167"/>
            <w:r w:rsidRPr="008D0663">
              <w:rPr>
                <w:rFonts w:eastAsia="Times New Roman" w:cs="Calibri"/>
                <w:color w:val="000000"/>
                <w:sz w:val="18"/>
                <w:szCs w:val="18"/>
                <w:lang w:val="en-US" w:eastAsia="es-CL"/>
              </w:rPr>
              <w:t xml:space="preserve">Age </w:t>
            </w:r>
            <w:commentRangeEnd w:id="167"/>
            <w:r w:rsidR="00156FCA">
              <w:rPr>
                <w:rStyle w:val="Refdecomentario"/>
                <w:rFonts w:ascii="Times New Roman" w:eastAsia="Times New Roman" w:hAnsi="Times New Roman" w:cs="Times New Roman"/>
                <w:lang w:val="es-CL" w:eastAsia="es-ES_tradnl"/>
              </w:rPr>
              <w:commentReference w:id="167"/>
            </w:r>
            <w:r w:rsidRPr="008D0663">
              <w:rPr>
                <w:rFonts w:eastAsia="Times New Roman" w:cs="Calibri"/>
                <w:color w:val="000000"/>
                <w:sz w:val="18"/>
                <w:szCs w:val="18"/>
                <w:lang w:val="en-US" w:eastAsia="es-CL"/>
              </w:rPr>
              <w:t>at admission to treatment</w:t>
            </w:r>
            <w:ins w:id="168" w:author="Andrés González Santa Cruz" w:date="2024-05-27T19:13:00Z" w16du:dateUtc="2024-05-27T23:13:00Z">
              <w:r w:rsidR="00156FCA">
                <w:rPr>
                  <w:rFonts w:eastAsia="Times New Roman" w:cs="Calibri"/>
                  <w:color w:val="000000"/>
                  <w:sz w:val="18"/>
                  <w:szCs w:val="18"/>
                  <w:lang w:val="en-US" w:eastAsia="es-CL"/>
                </w:rPr>
                <w:t xml:space="preserve"> (first admission)</w:t>
              </w:r>
            </w:ins>
          </w:p>
        </w:tc>
        <w:tc>
          <w:tcPr>
            <w:tcW w:w="2574" w:type="dxa"/>
            <w:tcBorders>
              <w:top w:val="nil"/>
              <w:left w:val="nil"/>
              <w:bottom w:val="nil"/>
              <w:right w:val="nil"/>
            </w:tcBorders>
            <w:shd w:val="clear" w:color="auto" w:fill="auto"/>
            <w:noWrap/>
            <w:vAlign w:val="center"/>
            <w:hideMark/>
          </w:tcPr>
          <w:p w14:paraId="528A22A3" w14:textId="669D48D5"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1.26 (1.25, 1.27)</w:t>
            </w:r>
          </w:p>
        </w:tc>
      </w:tr>
      <w:tr w:rsidR="00815BAF" w:rsidRPr="00815BAF" w14:paraId="7C45A9FA"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750AC28" w14:textId="38BE0206"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Birth</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year</w:t>
            </w:r>
            <w:proofErr w:type="spellEnd"/>
          </w:p>
        </w:tc>
        <w:tc>
          <w:tcPr>
            <w:tcW w:w="2574" w:type="dxa"/>
            <w:tcBorders>
              <w:top w:val="nil"/>
              <w:left w:val="nil"/>
              <w:bottom w:val="nil"/>
              <w:right w:val="nil"/>
            </w:tcBorders>
            <w:shd w:val="clear" w:color="auto" w:fill="auto"/>
            <w:noWrap/>
            <w:vAlign w:val="center"/>
            <w:hideMark/>
          </w:tcPr>
          <w:p w14:paraId="5CE94695" w14:textId="0B35ECB4"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1.27 (1.26, 1.28)</w:t>
            </w:r>
          </w:p>
        </w:tc>
      </w:tr>
      <w:tr w:rsidR="00815BAF" w:rsidRPr="00815BAF" w14:paraId="3B8C7D3C"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796D296" w14:textId="614D8B3C"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(initial diagnosis), alcohol</w:t>
            </w:r>
            <w:ins w:id="169" w:author="Andrés González Santa Cruz" w:date="2024-05-27T19:12:00Z" w16du:dateUtc="2024-05-27T23:12:00Z">
              <w:r w:rsidR="00E32CB8">
                <w:rPr>
                  <w:rFonts w:eastAsia="Times New Roman" w:cs="Calibri"/>
                  <w:color w:val="000000"/>
                  <w:sz w:val="18"/>
                  <w:szCs w:val="18"/>
                  <w:lang w:val="en-US" w:eastAsia="es-CL"/>
                </w:rPr>
                <w:t xml:space="preserve"> (ref</w:t>
              </w:r>
              <w:proofErr w:type="gramStart"/>
              <w:r w:rsidR="00E32CB8">
                <w:rPr>
                  <w:rFonts w:eastAsia="Times New Roman" w:cs="Calibri"/>
                  <w:color w:val="000000"/>
                  <w:sz w:val="18"/>
                  <w:szCs w:val="18"/>
                  <w:lang w:val="en-US" w:eastAsia="es-CL"/>
                </w:rPr>
                <w:t>= )</w:t>
              </w:r>
            </w:ins>
            <w:proofErr w:type="gramEnd"/>
          </w:p>
        </w:tc>
        <w:tc>
          <w:tcPr>
            <w:tcW w:w="2574" w:type="dxa"/>
            <w:tcBorders>
              <w:top w:val="nil"/>
              <w:left w:val="nil"/>
              <w:bottom w:val="nil"/>
              <w:right w:val="nil"/>
            </w:tcBorders>
            <w:shd w:val="clear" w:color="auto" w:fill="auto"/>
            <w:noWrap/>
            <w:vAlign w:val="center"/>
            <w:hideMark/>
          </w:tcPr>
          <w:p w14:paraId="1019743A" w14:textId="0B44CEC0"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1.05 (0.95, 1.14)</w:t>
            </w:r>
          </w:p>
        </w:tc>
      </w:tr>
      <w:tr w:rsidR="00815BAF" w:rsidRPr="00815BAF" w14:paraId="73F9F7B7"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7AD2810"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(initial diagnosis), cocaine</w:t>
            </w:r>
          </w:p>
        </w:tc>
        <w:tc>
          <w:tcPr>
            <w:tcW w:w="2574" w:type="dxa"/>
            <w:tcBorders>
              <w:top w:val="nil"/>
              <w:left w:val="nil"/>
              <w:bottom w:val="nil"/>
              <w:right w:val="nil"/>
            </w:tcBorders>
            <w:shd w:val="clear" w:color="auto" w:fill="auto"/>
            <w:noWrap/>
            <w:vAlign w:val="center"/>
            <w:hideMark/>
          </w:tcPr>
          <w:p w14:paraId="68E6A94E" w14:textId="7618EE2F"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1.12 (1.00, 1.25)</w:t>
            </w:r>
          </w:p>
        </w:tc>
      </w:tr>
      <w:tr w:rsidR="00815BAF" w:rsidRPr="00815BAF" w14:paraId="12FCC699"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57A11446"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Primary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substance</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initial</w:t>
            </w:r>
            <w:proofErr w:type="spellEnd"/>
            <w:r w:rsidRPr="00815BAF">
              <w:rPr>
                <w:rFonts w:eastAsia="Times New Roman" w:cs="Calibri"/>
                <w:color w:val="000000"/>
                <w:sz w:val="18"/>
                <w:szCs w:val="18"/>
                <w:lang w:val="es-CL" w:eastAsia="es-CL"/>
              </w:rPr>
              <w:t xml:space="preserve"> diagnosis), </w:t>
            </w:r>
            <w:proofErr w:type="spellStart"/>
            <w:r w:rsidRPr="00815BAF">
              <w:rPr>
                <w:rFonts w:eastAsia="Times New Roman" w:cs="Calibri"/>
                <w:color w:val="000000"/>
                <w:sz w:val="18"/>
                <w:szCs w:val="18"/>
                <w:lang w:val="es-CL" w:eastAsia="es-CL"/>
              </w:rPr>
              <w:t>cocaine</w:t>
            </w:r>
            <w:proofErr w:type="spellEnd"/>
            <w:r w:rsidRPr="00815BAF">
              <w:rPr>
                <w:rFonts w:eastAsia="Times New Roman" w:cs="Calibri"/>
                <w:color w:val="000000"/>
                <w:sz w:val="18"/>
                <w:szCs w:val="18"/>
                <w:lang w:val="es-CL" w:eastAsia="es-CL"/>
              </w:rPr>
              <w:t xml:space="preserve"> base paste</w:t>
            </w:r>
          </w:p>
        </w:tc>
        <w:tc>
          <w:tcPr>
            <w:tcW w:w="2574" w:type="dxa"/>
            <w:tcBorders>
              <w:top w:val="nil"/>
              <w:left w:val="nil"/>
              <w:bottom w:val="nil"/>
              <w:right w:val="nil"/>
            </w:tcBorders>
            <w:shd w:val="clear" w:color="auto" w:fill="auto"/>
            <w:noWrap/>
            <w:vAlign w:val="center"/>
            <w:hideMark/>
          </w:tcPr>
          <w:p w14:paraId="5993B7BD" w14:textId="1A36E16A"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1.17 (1.06, 1.30)</w:t>
            </w:r>
          </w:p>
        </w:tc>
      </w:tr>
      <w:tr w:rsidR="00815BAF" w:rsidRPr="00815BAF" w14:paraId="7F2E853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065B9581"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Primary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substance</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initial</w:t>
            </w:r>
            <w:proofErr w:type="spellEnd"/>
            <w:r w:rsidRPr="00815BAF">
              <w:rPr>
                <w:rFonts w:eastAsia="Times New Roman" w:cs="Calibri"/>
                <w:color w:val="000000"/>
                <w:sz w:val="18"/>
                <w:szCs w:val="18"/>
                <w:lang w:val="es-CL" w:eastAsia="es-CL"/>
              </w:rPr>
              <w:t xml:space="preserve"> diagnosis), marijuana</w:t>
            </w:r>
          </w:p>
        </w:tc>
        <w:tc>
          <w:tcPr>
            <w:tcW w:w="2574" w:type="dxa"/>
            <w:tcBorders>
              <w:top w:val="nil"/>
              <w:left w:val="nil"/>
              <w:bottom w:val="nil"/>
              <w:right w:val="nil"/>
            </w:tcBorders>
            <w:shd w:val="clear" w:color="auto" w:fill="auto"/>
            <w:noWrap/>
            <w:vAlign w:val="center"/>
            <w:hideMark/>
          </w:tcPr>
          <w:p w14:paraId="02833901" w14:textId="2ACC8062"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1.17 (1.07, 1.29)</w:t>
            </w:r>
          </w:p>
        </w:tc>
      </w:tr>
      <w:tr w:rsidR="00815BAF" w:rsidRPr="00815BAF" w14:paraId="5E303C03"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36BAB056"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Psychiatric comorbidity (diagnosis unknown or under study)</w:t>
            </w:r>
          </w:p>
        </w:tc>
        <w:tc>
          <w:tcPr>
            <w:tcW w:w="2574" w:type="dxa"/>
            <w:tcBorders>
              <w:top w:val="nil"/>
              <w:left w:val="nil"/>
              <w:bottom w:val="nil"/>
              <w:right w:val="nil"/>
            </w:tcBorders>
            <w:shd w:val="clear" w:color="auto" w:fill="auto"/>
            <w:noWrap/>
            <w:vAlign w:val="center"/>
            <w:hideMark/>
          </w:tcPr>
          <w:p w14:paraId="330B93C2" w14:textId="1F42E8B3"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1.03 (0.99, 1.08)</w:t>
            </w:r>
          </w:p>
        </w:tc>
      </w:tr>
      <w:tr w:rsidR="00815BAF" w:rsidRPr="00815BAF" w14:paraId="6443B545"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B7B2451"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Psychiatric</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comorbidity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confirmed</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comorbidity</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3E2D207A" w14:textId="61D39525"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1.02 (0.99, 1.05)</w:t>
            </w:r>
          </w:p>
        </w:tc>
      </w:tr>
      <w:tr w:rsidR="00815BAF" w:rsidRPr="00815BAF" w14:paraId="77B52B86"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48E06D0"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Daily frequence of primary substance use at admission</w:t>
            </w:r>
          </w:p>
        </w:tc>
        <w:tc>
          <w:tcPr>
            <w:tcW w:w="2574" w:type="dxa"/>
            <w:tcBorders>
              <w:top w:val="nil"/>
              <w:left w:val="nil"/>
              <w:bottom w:val="nil"/>
              <w:right w:val="nil"/>
            </w:tcBorders>
            <w:shd w:val="clear" w:color="auto" w:fill="auto"/>
            <w:noWrap/>
            <w:vAlign w:val="center"/>
            <w:hideMark/>
          </w:tcPr>
          <w:p w14:paraId="27A81EDF" w14:textId="5DD0A834"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1.01 (0.98, 1.05)</w:t>
            </w:r>
          </w:p>
        </w:tc>
      </w:tr>
      <w:tr w:rsidR="00815BAF" w:rsidRPr="00815BAF" w14:paraId="5D9113A1"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C539DB3" w14:textId="6C3B92EC" w:rsidR="00815BAF" w:rsidRPr="00156FCA" w:rsidRDefault="00815BAF" w:rsidP="00815BAF">
            <w:pPr>
              <w:spacing w:after="0" w:line="240" w:lineRule="auto"/>
              <w:jc w:val="left"/>
              <w:rPr>
                <w:rFonts w:eastAsia="Times New Roman" w:cs="Calibri"/>
                <w:color w:val="000000"/>
                <w:sz w:val="18"/>
                <w:szCs w:val="18"/>
                <w:lang w:val="en-US" w:eastAsia="es-CL"/>
                <w:rPrChange w:id="170" w:author="Andrés González Santa Cruz" w:date="2024-05-27T19:15:00Z" w16du:dateUtc="2024-05-27T23:15:00Z">
                  <w:rPr>
                    <w:rFonts w:eastAsia="Times New Roman" w:cs="Calibri"/>
                    <w:color w:val="000000"/>
                    <w:sz w:val="18"/>
                    <w:szCs w:val="18"/>
                    <w:lang w:val="es-CL" w:eastAsia="es-CL"/>
                  </w:rPr>
                </w:rPrChange>
              </w:rPr>
            </w:pPr>
            <w:r w:rsidRPr="00156FCA">
              <w:rPr>
                <w:rFonts w:eastAsia="Times New Roman" w:cs="Calibri"/>
                <w:color w:val="000000"/>
                <w:sz w:val="18"/>
                <w:szCs w:val="18"/>
                <w:lang w:val="en-US" w:eastAsia="es-CL"/>
                <w:rPrChange w:id="171" w:author="Andrés González Santa Cruz" w:date="2024-05-27T19:15:00Z" w16du:dateUtc="2024-05-27T23:15:00Z">
                  <w:rPr>
                    <w:rFonts w:eastAsia="Times New Roman" w:cs="Calibri"/>
                    <w:color w:val="000000"/>
                    <w:sz w:val="18"/>
                    <w:szCs w:val="18"/>
                    <w:lang w:val="es-CL" w:eastAsia="es-CL"/>
                  </w:rPr>
                </w:rPrChange>
              </w:rPr>
              <w:t>Occupational status (inactive)</w:t>
            </w:r>
            <w:ins w:id="172" w:author="Andrés González Santa Cruz" w:date="2024-05-27T19:15:00Z" w16du:dateUtc="2024-05-27T23:15:00Z">
              <w:r w:rsidR="00156FCA" w:rsidRPr="00156FCA">
                <w:rPr>
                  <w:rFonts w:eastAsia="Times New Roman" w:cs="Calibri"/>
                  <w:color w:val="000000"/>
                  <w:sz w:val="18"/>
                  <w:szCs w:val="18"/>
                  <w:lang w:val="en-US" w:eastAsia="es-CL"/>
                  <w:rPrChange w:id="173" w:author="Andrés González Santa Cruz" w:date="2024-05-27T19:15:00Z" w16du:dateUtc="2024-05-27T23:15:00Z">
                    <w:rPr>
                      <w:rFonts w:eastAsia="Times New Roman" w:cs="Calibri"/>
                      <w:color w:val="000000"/>
                      <w:sz w:val="18"/>
                      <w:szCs w:val="18"/>
                      <w:lang w:val="es-CL" w:eastAsia="es-CL"/>
                    </w:rPr>
                  </w:rPrChange>
                </w:rPr>
                <w:t xml:space="preserve"> (ref= </w:t>
              </w:r>
              <w:r w:rsidR="00156FCA" w:rsidRPr="00AD5BED">
                <w:rPr>
                  <w:sz w:val="18"/>
                  <w:szCs w:val="20"/>
                  <w:lang w:val="en-US"/>
                </w:rPr>
                <w:t>employed</w:t>
              </w:r>
              <w:r w:rsidR="00156FCA">
                <w:rPr>
                  <w:sz w:val="18"/>
                  <w:szCs w:val="20"/>
                  <w:lang w:val="en-US"/>
                </w:rPr>
                <w:t>)</w:t>
              </w:r>
            </w:ins>
          </w:p>
        </w:tc>
        <w:tc>
          <w:tcPr>
            <w:tcW w:w="2574" w:type="dxa"/>
            <w:tcBorders>
              <w:top w:val="nil"/>
              <w:left w:val="nil"/>
              <w:bottom w:val="nil"/>
              <w:right w:val="nil"/>
            </w:tcBorders>
            <w:shd w:val="clear" w:color="auto" w:fill="auto"/>
            <w:noWrap/>
            <w:vAlign w:val="center"/>
            <w:hideMark/>
          </w:tcPr>
          <w:p w14:paraId="2ED5DD21" w14:textId="0F328FBB"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1.06 (1.02, 1.11)</w:t>
            </w:r>
          </w:p>
        </w:tc>
      </w:tr>
      <w:tr w:rsidR="00815BAF" w:rsidRPr="00815BAF" w14:paraId="683F407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1AADCC2"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Occupational</w:t>
            </w:r>
            <w:proofErr w:type="spellEnd"/>
            <w:r w:rsidRPr="00815BAF">
              <w:rPr>
                <w:rFonts w:eastAsia="Times New Roman" w:cs="Calibri"/>
                <w:color w:val="000000"/>
                <w:sz w:val="18"/>
                <w:szCs w:val="18"/>
                <w:lang w:val="es-CL" w:eastAsia="es-CL"/>
              </w:rPr>
              <w:t xml:space="preserve"> status (</w:t>
            </w:r>
            <w:proofErr w:type="spellStart"/>
            <w:r w:rsidRPr="00815BAF">
              <w:rPr>
                <w:rFonts w:eastAsia="Times New Roman" w:cs="Calibri"/>
                <w:color w:val="000000"/>
                <w:sz w:val="18"/>
                <w:szCs w:val="18"/>
                <w:lang w:val="es-CL" w:eastAsia="es-CL"/>
              </w:rPr>
              <w:t>unemployed</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32E3CD14" w14:textId="764A1955"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1.06 (1.03, 1.10)</w:t>
            </w:r>
          </w:p>
        </w:tc>
      </w:tr>
      <w:tr w:rsidR="00815BAF" w:rsidRPr="00815BAF" w14:paraId="40C24E7A"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5D9A25DF" w14:textId="3DBC9BE0"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(alcohol)</w:t>
            </w:r>
            <w:ins w:id="174" w:author="Andrés González Santa Cruz" w:date="2024-05-27T19:12:00Z" w16du:dateUtc="2024-05-27T23:12:00Z">
              <w:r w:rsidR="00527CAD">
                <w:rPr>
                  <w:rFonts w:eastAsia="Times New Roman" w:cs="Calibri"/>
                  <w:color w:val="000000"/>
                  <w:sz w:val="18"/>
                  <w:szCs w:val="18"/>
                  <w:lang w:val="en-US" w:eastAsia="es-CL"/>
                </w:rPr>
                <w:t xml:space="preserve"> (ref=)</w:t>
              </w:r>
            </w:ins>
          </w:p>
        </w:tc>
        <w:tc>
          <w:tcPr>
            <w:tcW w:w="2574" w:type="dxa"/>
            <w:tcBorders>
              <w:top w:val="nil"/>
              <w:left w:val="nil"/>
              <w:bottom w:val="nil"/>
              <w:right w:val="nil"/>
            </w:tcBorders>
            <w:shd w:val="clear" w:color="auto" w:fill="auto"/>
            <w:noWrap/>
            <w:vAlign w:val="center"/>
            <w:hideMark/>
          </w:tcPr>
          <w:p w14:paraId="7DABBEC4" w14:textId="00680966"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0.90 (0.80, 1.02)</w:t>
            </w:r>
          </w:p>
        </w:tc>
      </w:tr>
      <w:tr w:rsidR="00815BAF" w:rsidRPr="00815BAF" w14:paraId="6AF90279"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9498019"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(cocaine hydrochloride)</w:t>
            </w:r>
          </w:p>
        </w:tc>
        <w:tc>
          <w:tcPr>
            <w:tcW w:w="2574" w:type="dxa"/>
            <w:tcBorders>
              <w:top w:val="nil"/>
              <w:left w:val="nil"/>
              <w:bottom w:val="nil"/>
              <w:right w:val="nil"/>
            </w:tcBorders>
            <w:shd w:val="clear" w:color="auto" w:fill="auto"/>
            <w:noWrap/>
            <w:vAlign w:val="center"/>
            <w:hideMark/>
          </w:tcPr>
          <w:p w14:paraId="13C440DC" w14:textId="720DBB54"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0.90 (0.79, 1.01)</w:t>
            </w:r>
          </w:p>
        </w:tc>
      </w:tr>
      <w:tr w:rsidR="00815BAF" w:rsidRPr="00815BAF" w14:paraId="29D9C2DD" w14:textId="77777777" w:rsidTr="00815BAF">
        <w:trPr>
          <w:trHeight w:val="300"/>
          <w:jc w:val="center"/>
        </w:trPr>
        <w:tc>
          <w:tcPr>
            <w:tcW w:w="6640" w:type="dxa"/>
            <w:tcBorders>
              <w:top w:val="nil"/>
              <w:left w:val="nil"/>
              <w:right w:val="nil"/>
            </w:tcBorders>
            <w:shd w:val="clear" w:color="auto" w:fill="auto"/>
            <w:noWrap/>
            <w:vAlign w:val="center"/>
            <w:hideMark/>
          </w:tcPr>
          <w:p w14:paraId="6DE0D1E4"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(cocaine base paste)</w:t>
            </w:r>
          </w:p>
        </w:tc>
        <w:tc>
          <w:tcPr>
            <w:tcW w:w="2574" w:type="dxa"/>
            <w:tcBorders>
              <w:top w:val="nil"/>
              <w:left w:val="nil"/>
              <w:right w:val="nil"/>
            </w:tcBorders>
            <w:shd w:val="clear" w:color="auto" w:fill="auto"/>
            <w:noWrap/>
            <w:vAlign w:val="center"/>
            <w:hideMark/>
          </w:tcPr>
          <w:p w14:paraId="64E1146F" w14:textId="72E268EF"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0.91 (0.81, 1.03)</w:t>
            </w:r>
          </w:p>
        </w:tc>
      </w:tr>
      <w:tr w:rsidR="00815BAF" w:rsidRPr="00815BAF" w14:paraId="16E813B9" w14:textId="77777777" w:rsidTr="00815BAF">
        <w:trPr>
          <w:trHeight w:val="300"/>
          <w:jc w:val="center"/>
        </w:trPr>
        <w:tc>
          <w:tcPr>
            <w:tcW w:w="6640" w:type="dxa"/>
            <w:tcBorders>
              <w:top w:val="nil"/>
              <w:left w:val="nil"/>
              <w:bottom w:val="single" w:sz="4" w:space="0" w:color="auto"/>
              <w:right w:val="nil"/>
            </w:tcBorders>
            <w:shd w:val="clear" w:color="auto" w:fill="auto"/>
            <w:noWrap/>
            <w:vAlign w:val="center"/>
            <w:hideMark/>
          </w:tcPr>
          <w:p w14:paraId="22155847"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(marijuana)</w:t>
            </w:r>
          </w:p>
        </w:tc>
        <w:tc>
          <w:tcPr>
            <w:tcW w:w="2574" w:type="dxa"/>
            <w:tcBorders>
              <w:top w:val="nil"/>
              <w:left w:val="nil"/>
              <w:bottom w:val="single" w:sz="4" w:space="0" w:color="auto"/>
              <w:right w:val="nil"/>
            </w:tcBorders>
            <w:shd w:val="clear" w:color="auto" w:fill="auto"/>
            <w:noWrap/>
            <w:vAlign w:val="center"/>
            <w:hideMark/>
          </w:tcPr>
          <w:p w14:paraId="27E853EB" w14:textId="29A9BDEA" w:rsidR="00815BAF" w:rsidRPr="000A202A" w:rsidRDefault="00815BAF" w:rsidP="00815BAF">
            <w:pPr>
              <w:spacing w:after="0" w:line="240" w:lineRule="auto"/>
              <w:jc w:val="right"/>
              <w:rPr>
                <w:rFonts w:eastAsia="Times New Roman" w:cs="Calibri"/>
                <w:color w:val="000000"/>
                <w:sz w:val="18"/>
                <w:szCs w:val="18"/>
                <w:lang w:val="es-CL" w:eastAsia="es-CL"/>
              </w:rPr>
            </w:pPr>
            <w:r w:rsidRPr="000A202A">
              <w:rPr>
                <w:rFonts w:eastAsia="Times New Roman" w:cs="Calibri"/>
                <w:color w:val="000000"/>
                <w:sz w:val="18"/>
                <w:szCs w:val="18"/>
                <w:lang w:val="es-CL" w:eastAsia="es-CL"/>
              </w:rPr>
              <w:t>0.89 (0.78, 1.02)</w:t>
            </w:r>
          </w:p>
        </w:tc>
      </w:tr>
    </w:tbl>
    <w:p w14:paraId="17006BCE" w14:textId="14E4A5EC" w:rsidR="00815BAF" w:rsidRDefault="00815BAF" w:rsidP="00815BAF">
      <w:pPr>
        <w:spacing w:after="0" w:line="240" w:lineRule="auto"/>
        <w:ind w:left="720"/>
        <w:jc w:val="left"/>
        <w:rPr>
          <w:shd w:val="clear" w:color="auto" w:fill="FFFFFF"/>
        </w:rPr>
      </w:pPr>
      <w:r w:rsidRPr="0075223D">
        <w:rPr>
          <w:shd w:val="clear" w:color="auto" w:fill="FFFFFF"/>
        </w:rPr>
        <w:t>Note.</w:t>
      </w:r>
      <w:r w:rsidRPr="000B026F">
        <w:rPr>
          <w:shd w:val="clear" w:color="auto" w:fill="FFFFFF"/>
        </w:rPr>
        <w:t xml:space="preserve"> 95%CI= 95% confidence intervals in parenthesis</w:t>
      </w:r>
      <w:r>
        <w:rPr>
          <w:shd w:val="clear" w:color="auto" w:fill="FFFFFF"/>
        </w:rPr>
        <w:t>; Intensity model, in Andersen-Gill format Clustered by ID and stratified by treatment setting.</w:t>
      </w:r>
    </w:p>
    <w:p w14:paraId="305C38EB" w14:textId="77777777" w:rsidR="00C563B2" w:rsidRDefault="00C563B2">
      <w:pPr>
        <w:jc w:val="left"/>
        <w:rPr>
          <w:shd w:val="clear" w:color="auto" w:fill="FFFFFF"/>
        </w:rPr>
      </w:pPr>
      <w:r>
        <w:rPr>
          <w:shd w:val="clear" w:color="auto" w:fill="FFFFFF"/>
        </w:rPr>
        <w:br w:type="page"/>
      </w:r>
    </w:p>
    <w:p w14:paraId="399F0742" w14:textId="55E38554" w:rsidR="005E6FE6" w:rsidRPr="007D1943" w:rsidRDefault="00C563B2" w:rsidP="00A1623C">
      <w:pPr>
        <w:spacing w:after="0" w:line="240" w:lineRule="auto"/>
        <w:ind w:left="720"/>
        <w:jc w:val="left"/>
        <w:rPr>
          <w:b/>
          <w:bCs/>
          <w:shd w:val="clear" w:color="auto" w:fill="FFFFFF"/>
        </w:rPr>
      </w:pPr>
      <w:r w:rsidRPr="007D1943">
        <w:rPr>
          <w:b/>
          <w:bCs/>
          <w:shd w:val="clear" w:color="auto" w:fill="FFFFFF"/>
        </w:rPr>
        <w:lastRenderedPageBreak/>
        <w:t xml:space="preserve">Table </w:t>
      </w:r>
      <w:r w:rsidR="006D1784" w:rsidRPr="007D1943">
        <w:rPr>
          <w:b/>
          <w:bCs/>
          <w:shd w:val="clear" w:color="auto" w:fill="FFFFFF"/>
        </w:rPr>
        <w:t>4</w:t>
      </w:r>
      <w:r w:rsidRPr="007D1943">
        <w:rPr>
          <w:b/>
          <w:bCs/>
          <w:shd w:val="clear" w:color="auto" w:fill="FFFFFF"/>
        </w:rPr>
        <w:t xml:space="preserve">. </w:t>
      </w:r>
      <w:r w:rsidR="001551EB" w:rsidRPr="007D1943">
        <w:rPr>
          <w:b/>
          <w:bCs/>
          <w:shd w:val="clear" w:color="auto" w:fill="FFFFFF"/>
        </w:rPr>
        <w:t xml:space="preserve">Association between Polysubstance use at admission and Treatment </w:t>
      </w:r>
      <w:r w:rsidR="007D1943">
        <w:rPr>
          <w:b/>
          <w:bCs/>
          <w:shd w:val="clear" w:color="auto" w:fill="FFFFFF"/>
        </w:rPr>
        <w:t>non</w:t>
      </w:r>
      <w:r w:rsidR="001551EB" w:rsidRPr="007D1943">
        <w:rPr>
          <w:b/>
          <w:bCs/>
          <w:shd w:val="clear" w:color="auto" w:fill="FFFFFF"/>
        </w:rPr>
        <w:t xml:space="preserve">completion </w:t>
      </w:r>
      <w:bookmarkStart w:id="175" w:name="_Hlk166795595"/>
      <w:r w:rsidR="001551EB" w:rsidRPr="007D1943">
        <w:rPr>
          <w:b/>
          <w:bCs/>
          <w:shd w:val="clear" w:color="auto" w:fill="FFFFFF"/>
        </w:rPr>
        <w:t>status (dropout or spelled by misconduct)</w:t>
      </w:r>
      <w:bookmarkEnd w:id="175"/>
      <w:r w:rsidR="001551EB" w:rsidRPr="007D1943">
        <w:rPr>
          <w:b/>
          <w:bCs/>
          <w:shd w:val="clear" w:color="auto" w:fill="FFFFFF"/>
        </w:rPr>
        <w:t xml:space="preserve"> from Poisson Regression Multivariable Model with independence structure</w:t>
      </w:r>
    </w:p>
    <w:tbl>
      <w:tblPr>
        <w:tblW w:w="14793" w:type="dxa"/>
        <w:jc w:val="center"/>
        <w:tblCellMar>
          <w:left w:w="70" w:type="dxa"/>
          <w:right w:w="70" w:type="dxa"/>
        </w:tblCellMar>
        <w:tblLook w:val="04A0" w:firstRow="1" w:lastRow="0" w:firstColumn="1" w:lastColumn="0" w:noHBand="0" w:noVBand="1"/>
      </w:tblPr>
      <w:tblGrid>
        <w:gridCol w:w="3969"/>
        <w:gridCol w:w="3170"/>
        <w:gridCol w:w="3827"/>
        <w:gridCol w:w="3827"/>
      </w:tblGrid>
      <w:tr w:rsidR="00C95BA3" w:rsidRPr="00C563B2" w14:paraId="1399491B" w14:textId="77777777" w:rsidTr="00A61306">
        <w:trPr>
          <w:trHeight w:val="300"/>
          <w:jc w:val="center"/>
        </w:trPr>
        <w:tc>
          <w:tcPr>
            <w:tcW w:w="3969" w:type="dxa"/>
            <w:tcBorders>
              <w:top w:val="single" w:sz="4" w:space="0" w:color="auto"/>
              <w:left w:val="nil"/>
              <w:bottom w:val="single" w:sz="4" w:space="0" w:color="auto"/>
              <w:right w:val="nil"/>
            </w:tcBorders>
            <w:shd w:val="clear" w:color="auto" w:fill="auto"/>
            <w:noWrap/>
            <w:vAlign w:val="center"/>
            <w:hideMark/>
          </w:tcPr>
          <w:p w14:paraId="7BAE2423" w14:textId="5EEB2A93" w:rsidR="00C95BA3" w:rsidRPr="00C563B2" w:rsidRDefault="00C95BA3" w:rsidP="00C95BA3">
            <w:pPr>
              <w:spacing w:after="0" w:line="240" w:lineRule="auto"/>
              <w:jc w:val="left"/>
              <w:rPr>
                <w:rFonts w:eastAsia="Times New Roman" w:cs="Calibri"/>
                <w:b/>
                <w:bCs/>
                <w:color w:val="000000"/>
                <w:sz w:val="18"/>
                <w:szCs w:val="18"/>
                <w:lang w:val="es-CL" w:eastAsia="es-CL"/>
              </w:rPr>
            </w:pPr>
            <w:proofErr w:type="spellStart"/>
            <w:r w:rsidRPr="00C73988">
              <w:rPr>
                <w:rFonts w:eastAsia="Times New Roman" w:cs="Calibri"/>
                <w:b/>
                <w:bCs/>
                <w:color w:val="000000"/>
                <w:sz w:val="18"/>
                <w:szCs w:val="18"/>
                <w:lang w:val="es-CL" w:eastAsia="es-CL"/>
              </w:rPr>
              <w:t>Treatment</w:t>
            </w:r>
            <w:proofErr w:type="spellEnd"/>
            <w:r w:rsidRPr="00C73988">
              <w:rPr>
                <w:rFonts w:eastAsia="Times New Roman" w:cs="Calibri"/>
                <w:b/>
                <w:bCs/>
                <w:color w:val="000000"/>
                <w:sz w:val="18"/>
                <w:szCs w:val="18"/>
                <w:lang w:val="es-CL" w:eastAsia="es-CL"/>
              </w:rPr>
              <w:t xml:space="preserve"> </w:t>
            </w:r>
            <w:proofErr w:type="spellStart"/>
            <w:r w:rsidRPr="00C563B2">
              <w:rPr>
                <w:rFonts w:eastAsia="Times New Roman" w:cs="Calibri"/>
                <w:b/>
                <w:bCs/>
                <w:color w:val="000000"/>
                <w:sz w:val="18"/>
                <w:szCs w:val="18"/>
                <w:lang w:val="es-CL" w:eastAsia="es-CL"/>
              </w:rPr>
              <w:t>setting</w:t>
            </w:r>
            <w:proofErr w:type="spellEnd"/>
          </w:p>
        </w:tc>
        <w:tc>
          <w:tcPr>
            <w:tcW w:w="3170" w:type="dxa"/>
            <w:tcBorders>
              <w:top w:val="single" w:sz="4" w:space="0" w:color="auto"/>
              <w:left w:val="nil"/>
              <w:bottom w:val="single" w:sz="4" w:space="0" w:color="auto"/>
              <w:right w:val="nil"/>
            </w:tcBorders>
            <w:shd w:val="clear" w:color="auto" w:fill="auto"/>
            <w:noWrap/>
            <w:vAlign w:val="center"/>
            <w:hideMark/>
          </w:tcPr>
          <w:p w14:paraId="62AD3F0F" w14:textId="21D389BF" w:rsidR="00C95BA3" w:rsidRPr="00C563B2" w:rsidRDefault="00C95BA3" w:rsidP="00C95BA3">
            <w:pPr>
              <w:spacing w:after="0" w:line="240" w:lineRule="auto"/>
              <w:jc w:val="left"/>
              <w:rPr>
                <w:rFonts w:eastAsia="Times New Roman" w:cs="Calibri"/>
                <w:b/>
                <w:bCs/>
                <w:color w:val="000000"/>
                <w:sz w:val="18"/>
                <w:szCs w:val="18"/>
                <w:lang w:val="es-CL" w:eastAsia="es-CL"/>
              </w:rPr>
            </w:pPr>
            <w:r w:rsidRPr="00C73988">
              <w:rPr>
                <w:rFonts w:eastAsia="Times New Roman" w:cs="Calibri"/>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tcPr>
          <w:p w14:paraId="4DC9E4E9" w14:textId="17A2BE92" w:rsidR="00C95BA3" w:rsidRPr="00C73988"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(lag=0)</w:t>
            </w:r>
          </w:p>
        </w:tc>
        <w:tc>
          <w:tcPr>
            <w:tcW w:w="3827" w:type="dxa"/>
            <w:tcBorders>
              <w:top w:val="single" w:sz="4" w:space="0" w:color="auto"/>
              <w:left w:val="nil"/>
              <w:bottom w:val="single" w:sz="4" w:space="0" w:color="auto"/>
              <w:right w:val="nil"/>
            </w:tcBorders>
            <w:shd w:val="clear" w:color="auto" w:fill="auto"/>
            <w:noWrap/>
            <w:vAlign w:val="center"/>
            <w:hideMark/>
          </w:tcPr>
          <w:p w14:paraId="2B591577" w14:textId="404D97EF" w:rsidR="00C95BA3" w:rsidRPr="00C563B2"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(lag=1)</w:t>
            </w:r>
          </w:p>
        </w:tc>
      </w:tr>
      <w:tr w:rsidR="00C95BA3" w:rsidRPr="00C563B2" w14:paraId="2287AE27" w14:textId="77777777" w:rsidTr="00C95BA3">
        <w:trPr>
          <w:trHeight w:val="300"/>
          <w:jc w:val="center"/>
        </w:trPr>
        <w:tc>
          <w:tcPr>
            <w:tcW w:w="3969" w:type="dxa"/>
            <w:tcBorders>
              <w:top w:val="single" w:sz="4" w:space="0" w:color="auto"/>
              <w:left w:val="nil"/>
              <w:bottom w:val="nil"/>
              <w:right w:val="nil"/>
            </w:tcBorders>
            <w:shd w:val="clear" w:color="auto" w:fill="auto"/>
            <w:noWrap/>
            <w:vAlign w:val="center"/>
            <w:hideMark/>
          </w:tcPr>
          <w:p w14:paraId="7A96403C" w14:textId="4783DEC9" w:rsidR="00C95BA3" w:rsidRPr="00C563B2" w:rsidRDefault="00C95BA3" w:rsidP="00C95BA3">
            <w:pPr>
              <w:spacing w:after="0" w:line="240" w:lineRule="auto"/>
              <w:jc w:val="left"/>
              <w:rPr>
                <w:rFonts w:eastAsia="Times New Roman" w:cs="Calibri"/>
                <w:color w:val="000000"/>
                <w:sz w:val="18"/>
                <w:szCs w:val="18"/>
                <w:lang w:val="es-CL" w:eastAsia="es-CL"/>
              </w:rPr>
            </w:pPr>
            <w:r w:rsidRPr="00C73988">
              <w:rPr>
                <w:rFonts w:eastAsia="Times New Roman" w:cs="Calibri"/>
                <w:color w:val="000000"/>
                <w:sz w:val="18"/>
                <w:szCs w:val="18"/>
                <w:lang w:val="es-CL" w:eastAsia="es-CL"/>
              </w:rPr>
              <w:t>B</w:t>
            </w:r>
            <w:r w:rsidRPr="00C563B2">
              <w:rPr>
                <w:rFonts w:eastAsia="Times New Roman" w:cs="Calibri"/>
                <w:color w:val="000000"/>
                <w:sz w:val="18"/>
                <w:szCs w:val="18"/>
                <w:lang w:val="es-CL" w:eastAsia="es-CL"/>
              </w:rPr>
              <w:t xml:space="preserve">asic </w:t>
            </w:r>
            <w:proofErr w:type="spellStart"/>
            <w:r w:rsidRPr="00C563B2">
              <w:rPr>
                <w:rFonts w:eastAsia="Times New Roman" w:cs="Calibri"/>
                <w:color w:val="000000"/>
                <w:sz w:val="18"/>
                <w:szCs w:val="18"/>
                <w:lang w:val="es-CL" w:eastAsia="es-CL"/>
              </w:rPr>
              <w:t>ambulatory</w:t>
            </w:r>
            <w:proofErr w:type="spellEnd"/>
          </w:p>
        </w:tc>
        <w:tc>
          <w:tcPr>
            <w:tcW w:w="3170" w:type="dxa"/>
            <w:tcBorders>
              <w:top w:val="single" w:sz="4" w:space="0" w:color="auto"/>
              <w:left w:val="nil"/>
              <w:bottom w:val="nil"/>
              <w:right w:val="nil"/>
            </w:tcBorders>
            <w:shd w:val="clear" w:color="auto" w:fill="auto"/>
            <w:noWrap/>
            <w:vAlign w:val="center"/>
          </w:tcPr>
          <w:p w14:paraId="712B3D2C" w14:textId="529482BE"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tcPr>
          <w:p w14:paraId="4F35E10C"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shd w:val="clear" w:color="auto" w:fill="auto"/>
            <w:noWrap/>
            <w:vAlign w:val="center"/>
          </w:tcPr>
          <w:p w14:paraId="22D6B919" w14:textId="555F9722"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E28ABEA"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A30DF3D"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FF11587" w14:textId="5994F234"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1.02 (1.00, 1.05)</w:t>
            </w:r>
          </w:p>
        </w:tc>
        <w:tc>
          <w:tcPr>
            <w:tcW w:w="3827" w:type="dxa"/>
            <w:tcBorders>
              <w:top w:val="nil"/>
              <w:left w:val="nil"/>
              <w:bottom w:val="nil"/>
              <w:right w:val="nil"/>
            </w:tcBorders>
          </w:tcPr>
          <w:p w14:paraId="7302725F" w14:textId="3B2A2035"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1.02 (0.99, 1.05)</w:t>
            </w:r>
          </w:p>
        </w:tc>
        <w:tc>
          <w:tcPr>
            <w:tcW w:w="3827" w:type="dxa"/>
            <w:tcBorders>
              <w:top w:val="nil"/>
              <w:left w:val="nil"/>
              <w:bottom w:val="nil"/>
              <w:right w:val="nil"/>
            </w:tcBorders>
            <w:shd w:val="clear" w:color="auto" w:fill="auto"/>
            <w:noWrap/>
            <w:vAlign w:val="center"/>
            <w:hideMark/>
          </w:tcPr>
          <w:p w14:paraId="6ED3CB3C" w14:textId="6107603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1.02 (1.00, 1.05)</w:t>
            </w:r>
          </w:p>
        </w:tc>
      </w:tr>
      <w:tr w:rsidR="00C95BA3" w:rsidRPr="00C563B2" w14:paraId="0FAE1BC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958183D" w14:textId="2B228EC8"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3A682AD" w14:textId="4C50F6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3EE7B90"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75EFE842" w14:textId="3FEA8B4A"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274A47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256C2EB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2489CF0" w14:textId="4E9B8451"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1.04 (1.01, 1.07)</w:t>
            </w:r>
          </w:p>
        </w:tc>
        <w:tc>
          <w:tcPr>
            <w:tcW w:w="3827" w:type="dxa"/>
            <w:tcBorders>
              <w:top w:val="nil"/>
              <w:left w:val="nil"/>
              <w:bottom w:val="nil"/>
              <w:right w:val="nil"/>
            </w:tcBorders>
          </w:tcPr>
          <w:p w14:paraId="1C0234DB" w14:textId="755EF919"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1.04 (1.01, 1.08)</w:t>
            </w:r>
          </w:p>
        </w:tc>
        <w:tc>
          <w:tcPr>
            <w:tcW w:w="3827" w:type="dxa"/>
            <w:tcBorders>
              <w:top w:val="nil"/>
              <w:left w:val="nil"/>
              <w:bottom w:val="nil"/>
              <w:right w:val="nil"/>
            </w:tcBorders>
            <w:shd w:val="clear" w:color="auto" w:fill="auto"/>
            <w:noWrap/>
            <w:vAlign w:val="center"/>
            <w:hideMark/>
          </w:tcPr>
          <w:p w14:paraId="76B96C17" w14:textId="0F07097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1.04 (1.01, 1.07)</w:t>
            </w:r>
          </w:p>
        </w:tc>
      </w:tr>
      <w:tr w:rsidR="00C95BA3" w:rsidRPr="00C563B2" w14:paraId="5660C7A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FD56715" w14:textId="161B29E2"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bottom w:val="nil"/>
              <w:right w:val="nil"/>
            </w:tcBorders>
            <w:shd w:val="clear" w:color="auto" w:fill="auto"/>
            <w:noWrap/>
            <w:vAlign w:val="center"/>
          </w:tcPr>
          <w:p w14:paraId="08E056EA" w14:textId="6283137B"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7D5E009"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21731106" w14:textId="1BB27241"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546F05A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59D74B0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365EF5C" w14:textId="7132AA1F"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0.97 (0.92, 1.02)</w:t>
            </w:r>
          </w:p>
        </w:tc>
        <w:tc>
          <w:tcPr>
            <w:tcW w:w="3827" w:type="dxa"/>
            <w:tcBorders>
              <w:top w:val="nil"/>
              <w:left w:val="nil"/>
              <w:bottom w:val="nil"/>
              <w:right w:val="nil"/>
            </w:tcBorders>
          </w:tcPr>
          <w:p w14:paraId="56CDD9B7" w14:textId="7636044A"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0.97 (0.92, 1.02)</w:t>
            </w:r>
          </w:p>
        </w:tc>
        <w:tc>
          <w:tcPr>
            <w:tcW w:w="3827" w:type="dxa"/>
            <w:tcBorders>
              <w:top w:val="nil"/>
              <w:left w:val="nil"/>
              <w:bottom w:val="nil"/>
              <w:right w:val="nil"/>
            </w:tcBorders>
            <w:shd w:val="clear" w:color="auto" w:fill="auto"/>
            <w:noWrap/>
            <w:vAlign w:val="center"/>
            <w:hideMark/>
          </w:tcPr>
          <w:p w14:paraId="689C6F84" w14:textId="53008A7E"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0.95 (0.90, 1.01)</w:t>
            </w:r>
          </w:p>
        </w:tc>
      </w:tr>
      <w:tr w:rsidR="00C95BA3" w:rsidRPr="00C563B2" w14:paraId="0DA51F75"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238A452" w14:textId="0D5BCEDA" w:rsidR="00C95BA3" w:rsidRPr="00C563B2"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204B0AA" w14:textId="381E9A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7CE9F3D3"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58FA1930" w14:textId="3226286F"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3F96F89B"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12B476E4"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041C2D3" w14:textId="55CE62D3"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1.05)</w:t>
            </w:r>
          </w:p>
        </w:tc>
        <w:tc>
          <w:tcPr>
            <w:tcW w:w="3827" w:type="dxa"/>
            <w:tcBorders>
              <w:top w:val="nil"/>
              <w:left w:val="nil"/>
              <w:bottom w:val="nil"/>
              <w:right w:val="nil"/>
            </w:tcBorders>
          </w:tcPr>
          <w:p w14:paraId="3404A7B0" w14:textId="53A6C9EB"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0.99 (0.92, 1.07)</w:t>
            </w:r>
          </w:p>
        </w:tc>
        <w:tc>
          <w:tcPr>
            <w:tcW w:w="3827" w:type="dxa"/>
            <w:tcBorders>
              <w:top w:val="nil"/>
              <w:left w:val="nil"/>
              <w:bottom w:val="nil"/>
              <w:right w:val="nil"/>
            </w:tcBorders>
            <w:shd w:val="clear" w:color="auto" w:fill="auto"/>
            <w:noWrap/>
            <w:vAlign w:val="center"/>
            <w:hideMark/>
          </w:tcPr>
          <w:p w14:paraId="65DBE2C1" w14:textId="363BED20"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1.07)</w:t>
            </w:r>
          </w:p>
        </w:tc>
      </w:tr>
      <w:tr w:rsidR="00C95BA3" w:rsidRPr="00C73988" w14:paraId="529A2182" w14:textId="77777777" w:rsidTr="00C95BA3">
        <w:trPr>
          <w:trHeight w:val="300"/>
          <w:jc w:val="center"/>
        </w:trPr>
        <w:tc>
          <w:tcPr>
            <w:tcW w:w="3969" w:type="dxa"/>
            <w:tcBorders>
              <w:top w:val="nil"/>
              <w:left w:val="nil"/>
              <w:right w:val="nil"/>
            </w:tcBorders>
            <w:shd w:val="clear" w:color="auto" w:fill="auto"/>
            <w:noWrap/>
            <w:vAlign w:val="center"/>
          </w:tcPr>
          <w:p w14:paraId="3EC39B7C" w14:textId="3D19443E" w:rsidR="00C95BA3" w:rsidRPr="00C73988"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right w:val="nil"/>
            </w:tcBorders>
            <w:shd w:val="clear" w:color="auto" w:fill="auto"/>
            <w:noWrap/>
            <w:vAlign w:val="center"/>
          </w:tcPr>
          <w:p w14:paraId="7130BC3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tcPr>
          <w:p w14:paraId="2857348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shd w:val="clear" w:color="auto" w:fill="auto"/>
            <w:noWrap/>
            <w:vAlign w:val="center"/>
          </w:tcPr>
          <w:p w14:paraId="75B241FB" w14:textId="31A1D438" w:rsidR="00C95BA3" w:rsidRPr="00C73988"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1BD1194E" w14:textId="77777777" w:rsidTr="00C95BA3">
        <w:trPr>
          <w:trHeight w:val="300"/>
          <w:jc w:val="center"/>
        </w:trPr>
        <w:tc>
          <w:tcPr>
            <w:tcW w:w="3969" w:type="dxa"/>
            <w:tcBorders>
              <w:top w:val="nil"/>
              <w:left w:val="nil"/>
              <w:bottom w:val="single" w:sz="4" w:space="0" w:color="auto"/>
              <w:right w:val="nil"/>
            </w:tcBorders>
            <w:shd w:val="clear" w:color="auto" w:fill="auto"/>
            <w:noWrap/>
            <w:vAlign w:val="center"/>
          </w:tcPr>
          <w:p w14:paraId="1DCC1AC4" w14:textId="4E568FF6"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single" w:sz="4" w:space="0" w:color="auto"/>
              <w:right w:val="nil"/>
            </w:tcBorders>
            <w:shd w:val="clear" w:color="auto" w:fill="auto"/>
            <w:noWrap/>
            <w:vAlign w:val="center"/>
            <w:hideMark/>
          </w:tcPr>
          <w:p w14:paraId="3A2B9D7B" w14:textId="77777777" w:rsidR="00C95BA3" w:rsidRPr="00C563B2" w:rsidRDefault="00C95BA3" w:rsidP="00C95BA3">
            <w:pPr>
              <w:spacing w:after="0" w:line="240" w:lineRule="auto"/>
              <w:jc w:val="right"/>
              <w:rPr>
                <w:rFonts w:eastAsia="Times New Roman" w:cs="Calibri"/>
                <w:color w:val="000000"/>
                <w:sz w:val="18"/>
                <w:szCs w:val="18"/>
                <w:lang w:val="es-CL" w:eastAsia="es-CL"/>
              </w:rPr>
            </w:pPr>
            <w:r w:rsidRPr="00C563B2">
              <w:rPr>
                <w:rFonts w:eastAsia="Times New Roman" w:cs="Calibri"/>
                <w:color w:val="000000"/>
                <w:sz w:val="18"/>
                <w:szCs w:val="18"/>
                <w:lang w:val="es-CL" w:eastAsia="es-CL"/>
              </w:rPr>
              <w:t>1.14 (1.06, 1.23)</w:t>
            </w:r>
          </w:p>
        </w:tc>
        <w:tc>
          <w:tcPr>
            <w:tcW w:w="3827" w:type="dxa"/>
            <w:tcBorders>
              <w:top w:val="nil"/>
              <w:left w:val="nil"/>
              <w:bottom w:val="single" w:sz="4" w:space="0" w:color="auto"/>
              <w:right w:val="nil"/>
            </w:tcBorders>
          </w:tcPr>
          <w:p w14:paraId="5435EEAD" w14:textId="5A2806E4"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1.15 (1.06, 1.26)</w:t>
            </w:r>
          </w:p>
        </w:tc>
        <w:tc>
          <w:tcPr>
            <w:tcW w:w="3827" w:type="dxa"/>
            <w:tcBorders>
              <w:top w:val="nil"/>
              <w:left w:val="nil"/>
              <w:bottom w:val="single" w:sz="4" w:space="0" w:color="auto"/>
              <w:right w:val="nil"/>
            </w:tcBorders>
            <w:shd w:val="clear" w:color="auto" w:fill="auto"/>
            <w:noWrap/>
            <w:vAlign w:val="center"/>
            <w:hideMark/>
          </w:tcPr>
          <w:p w14:paraId="36454E14" w14:textId="3487AE49"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1.13 (1.04, 1.22)</w:t>
            </w:r>
          </w:p>
        </w:tc>
      </w:tr>
    </w:tbl>
    <w:p w14:paraId="6C2E7E69" w14:textId="3E50CEC5" w:rsidR="00A1623C" w:rsidRDefault="00C563B2" w:rsidP="00A1623C">
      <w:pPr>
        <w:spacing w:after="0" w:line="240" w:lineRule="auto"/>
        <w:ind w:left="720"/>
        <w:jc w:val="left"/>
        <w:rPr>
          <w:shd w:val="clear" w:color="auto" w:fill="FFFFFF"/>
        </w:rPr>
      </w:pPr>
      <w:r w:rsidRPr="00C563B2">
        <w:rPr>
          <w:shd w:val="clear" w:color="auto" w:fill="FFFFFF"/>
        </w:rPr>
        <w:t>Note</w:t>
      </w:r>
      <w:r w:rsidR="00A1623C">
        <w:rPr>
          <w:shd w:val="clear" w:color="auto" w:fill="FFFFFF"/>
        </w:rPr>
        <w:t>.</w:t>
      </w:r>
      <w:r w:rsidRPr="00C563B2">
        <w:rPr>
          <w:shd w:val="clear" w:color="auto" w:fill="FFFFFF"/>
        </w:rPr>
        <w:t xml:space="preserve"> </w:t>
      </w:r>
      <w:r w:rsidR="001551EB">
        <w:rPr>
          <w:shd w:val="clear" w:color="auto" w:fill="FFFFFF"/>
        </w:rPr>
        <w:t xml:space="preserve">RR= Relative risk; 95%CI= </w:t>
      </w:r>
      <w:r w:rsidRPr="00C563B2">
        <w:rPr>
          <w:shd w:val="clear" w:color="auto" w:fill="FFFFFF"/>
        </w:rPr>
        <w:t>95% confidence intervals in parenthesis</w:t>
      </w:r>
      <w:r w:rsidR="00C95BA3">
        <w:rPr>
          <w:shd w:val="clear" w:color="auto" w:fill="FFFFFF"/>
        </w:rPr>
        <w:t>;</w:t>
      </w:r>
      <w:r w:rsidRPr="00C563B2">
        <w:rPr>
          <w:shd w:val="clear" w:color="auto" w:fill="FFFFFF"/>
        </w:rPr>
        <w:t xml:space="preserve"> </w:t>
      </w:r>
      <w:bookmarkStart w:id="176" w:name="_Hlk166796550"/>
      <w:r w:rsidR="00C95BA3">
        <w:rPr>
          <w:shd w:val="clear" w:color="auto" w:fill="FFFFFF"/>
        </w:rPr>
        <w:t>lag=0: Lagged covariates were fixed to 0 for binary variables and natural logarithm of 45 days; lag=1: Lagged covariates were fixed to 1 for binary variables and natural logarithm of 90 days.</w:t>
      </w:r>
      <w:bookmarkEnd w:id="176"/>
      <w:r w:rsidR="00C95BA3">
        <w:rPr>
          <w:shd w:val="clear" w:color="auto" w:fill="FFFFFF"/>
        </w:rPr>
        <w:t xml:space="preserve"> </w:t>
      </w:r>
    </w:p>
    <w:p w14:paraId="1D3E874E" w14:textId="7D637939" w:rsidR="00C95BA3" w:rsidRPr="00C95BA3" w:rsidRDefault="00C563B2" w:rsidP="00A1623C">
      <w:pPr>
        <w:spacing w:after="0" w:line="240" w:lineRule="auto"/>
        <w:ind w:left="720"/>
        <w:jc w:val="left"/>
        <w:rPr>
          <w:lang w:val="en-US"/>
        </w:rPr>
      </w:pPr>
      <w:r w:rsidRPr="00C563B2">
        <w:rPr>
          <w:shd w:val="clear" w:color="auto" w:fill="FFFFFF"/>
        </w:rPr>
        <w:t>All models adjusted for the following covariates:</w:t>
      </w:r>
      <w:r w:rsidRPr="00C563B2">
        <w:rPr>
          <w:lang w:val="en-US"/>
        </w:rPr>
        <w:t xml:space="preserve"> </w:t>
      </w:r>
      <w:r>
        <w:rPr>
          <w:lang w:val="en-US"/>
        </w:rPr>
        <w:t xml:space="preserve">biopsychosocial compromise (severe status) at admission to treatment, Age at admission to treatment, Birth year, Primary substance of the initial diagnosis (alcohol, cocaine hydrochloride, cocaine base paste, marijuana), Psychiatric comorbidity (in study and with comorbidity), </w:t>
      </w:r>
      <w:r w:rsidR="002D26C3" w:rsidRPr="002D26C3">
        <w:rPr>
          <w:lang w:val="en-US"/>
        </w:rPr>
        <w:t>Daily frequence of primary substance use at admission</w:t>
      </w:r>
      <w:r w:rsidR="002D26C3">
        <w:rPr>
          <w:lang w:val="en-US"/>
        </w:rPr>
        <w:t xml:space="preserve">, </w:t>
      </w:r>
      <w:r>
        <w:rPr>
          <w:lang w:val="en-US"/>
        </w:rPr>
        <w:t>Occupational status (inactive and unemployed), Primary substance at admission to treatment (Cocaine hydrochloride, cocaine base paste, marijuana, alcohol).</w:t>
      </w:r>
      <w:del w:id="177" w:author="Andrés González Santa Cruz" w:date="2024-05-27T20:05:00Z" w16du:dateUtc="2024-05-28T00:05:00Z">
        <w:r w:rsidR="00C95BA3" w:rsidRPr="00C95BA3" w:rsidDel="00447310">
          <w:delText xml:space="preserve"> </w:delText>
        </w:r>
      </w:del>
    </w:p>
    <w:sectPr w:rsidR="00C95BA3" w:rsidRPr="00C95BA3" w:rsidSect="00EA2255">
      <w:pgSz w:w="16838" w:h="11906" w:orient="landscape"/>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0" w:author="Andrés González Santa Cruz" w:date="2024-05-13T23:07:00Z" w:initials="AG">
    <w:p w14:paraId="508C5021" w14:textId="77777777" w:rsidR="008A0A7F" w:rsidRPr="005479B7" w:rsidRDefault="008A0A7F" w:rsidP="008A0A7F">
      <w:pPr>
        <w:pStyle w:val="Textocomentario"/>
        <w:rPr>
          <w:lang w:val="en-US"/>
        </w:rPr>
      </w:pPr>
      <w:r>
        <w:rPr>
          <w:rStyle w:val="Refdecomentario"/>
        </w:rPr>
        <w:annotationRef/>
      </w:r>
      <w:r w:rsidRPr="005479B7">
        <w:rPr>
          <w:lang w:val="en-US"/>
        </w:rPr>
        <w:t>First substance used</w:t>
      </w:r>
    </w:p>
  </w:comment>
  <w:comment w:id="118" w:author="Andrés González Santa Cruz" w:date="2024-05-19T21:16:00Z" w:initials="AG">
    <w:p w14:paraId="33341A79" w14:textId="77777777" w:rsidR="005479B7" w:rsidRPr="00AD4367" w:rsidRDefault="005479B7" w:rsidP="005479B7">
      <w:pPr>
        <w:pStyle w:val="Textocomentario"/>
        <w:rPr>
          <w:lang w:val="en-US"/>
        </w:rPr>
      </w:pPr>
      <w:r>
        <w:rPr>
          <w:rStyle w:val="Refdecomentario"/>
        </w:rPr>
        <w:annotationRef/>
      </w:r>
      <w:r>
        <w:rPr>
          <w:rStyle w:val="Refdecomentario"/>
        </w:rPr>
        <w:annotationRef/>
      </w:r>
      <w:r w:rsidRPr="00AD4367">
        <w:rPr>
          <w:lang w:val="en-US"/>
        </w:rPr>
        <w:t xml:space="preserve"># Austin, P. C. (2009). The Relative Ability of Different Propensity </w:t>
      </w:r>
    </w:p>
    <w:p w14:paraId="70E85F42" w14:textId="77777777" w:rsidR="005479B7" w:rsidRPr="00AD4367" w:rsidRDefault="005479B7" w:rsidP="005479B7">
      <w:pPr>
        <w:pStyle w:val="Textocomentario"/>
        <w:rPr>
          <w:lang w:val="en-US"/>
        </w:rPr>
      </w:pPr>
      <w:r w:rsidRPr="00AD4367">
        <w:rPr>
          <w:lang w:val="en-US"/>
        </w:rPr>
        <w:t xml:space="preserve"># Score Methods to Balance Measured Covariates Between </w:t>
      </w:r>
    </w:p>
    <w:p w14:paraId="1D9B55DF" w14:textId="77777777" w:rsidR="005479B7" w:rsidRPr="00AD4367" w:rsidRDefault="005479B7" w:rsidP="005479B7">
      <w:pPr>
        <w:pStyle w:val="Textocomentario"/>
        <w:rPr>
          <w:lang w:val="en-US"/>
        </w:rPr>
      </w:pPr>
      <w:r w:rsidRPr="00AD4367">
        <w:rPr>
          <w:lang w:val="en-US"/>
        </w:rPr>
        <w:t xml:space="preserve"># Treated and Untreated Subjects in Observational Studies. Medical </w:t>
      </w:r>
    </w:p>
    <w:p w14:paraId="6B3A1F41" w14:textId="77777777" w:rsidR="005479B7" w:rsidRPr="008A0A7F" w:rsidRDefault="005479B7" w:rsidP="005479B7">
      <w:pPr>
        <w:pStyle w:val="Textocomentario"/>
      </w:pPr>
      <w:r w:rsidRPr="00AD4367">
        <w:rPr>
          <w:lang w:val="en-US"/>
        </w:rPr>
        <w:t xml:space="preserve"># Decision Making. </w:t>
      </w:r>
      <w:hyperlink r:id="rId1" w:history="1">
        <w:r w:rsidRPr="002177BE">
          <w:rPr>
            <w:rStyle w:val="Hipervnculo"/>
            <w:lang w:val="en-US"/>
          </w:rPr>
          <w:t>https://doi.org/10.1177/0272989X09341755</w:t>
        </w:r>
      </w:hyperlink>
      <w:r>
        <w:rPr>
          <w:lang w:val="en-US"/>
        </w:rPr>
        <w:br/>
      </w:r>
      <w:r>
        <w:rPr>
          <w:lang w:val="en-US"/>
        </w:rPr>
        <w:br/>
      </w:r>
      <w:r w:rsidRPr="00AD4367">
        <w:rPr>
          <w:lang w:val="en-US"/>
        </w:rPr>
        <w:t xml:space="preserve">21. Rosenbaum P (2002) Covariance Adjustment in Randomized Experiments and Observational Studies. </w:t>
      </w:r>
      <w:proofErr w:type="spellStart"/>
      <w:r w:rsidRPr="008A0A7F">
        <w:t>Statistical</w:t>
      </w:r>
      <w:proofErr w:type="spellEnd"/>
    </w:p>
    <w:p w14:paraId="2FCDF940" w14:textId="77777777" w:rsidR="005479B7" w:rsidRPr="008A0A7F" w:rsidRDefault="005479B7" w:rsidP="005479B7">
      <w:pPr>
        <w:pStyle w:val="Textocomentario"/>
      </w:pPr>
      <w:proofErr w:type="spellStart"/>
      <w:r w:rsidRPr="008A0A7F">
        <w:t>Science</w:t>
      </w:r>
      <w:proofErr w:type="spellEnd"/>
      <w:r w:rsidRPr="008A0A7F">
        <w:t xml:space="preserve"> 17 (3):286-304. doi:10.1214/</w:t>
      </w:r>
      <w:proofErr w:type="spellStart"/>
      <w:r w:rsidRPr="008A0A7F">
        <w:t>ss</w:t>
      </w:r>
      <w:proofErr w:type="spellEnd"/>
      <w:r w:rsidRPr="008A0A7F">
        <w:t>/1042727942</w:t>
      </w:r>
    </w:p>
    <w:p w14:paraId="46F2F041" w14:textId="0BDFD0D0" w:rsidR="005479B7" w:rsidRDefault="005479B7">
      <w:pPr>
        <w:pStyle w:val="Textocomentario"/>
      </w:pPr>
    </w:p>
  </w:comment>
  <w:comment w:id="122" w:author="Andrés González Santa Cruz" w:date="2024-05-15T13:46:00Z" w:initials="AG">
    <w:p w14:paraId="7B3D7499" w14:textId="6BB98F2D" w:rsidR="00A22DC3" w:rsidRDefault="00A22DC3">
      <w:pPr>
        <w:pStyle w:val="Textocomentario"/>
      </w:pPr>
      <w:r>
        <w:rPr>
          <w:rStyle w:val="Refdecomentario"/>
        </w:rPr>
        <w:annotationRef/>
      </w:r>
      <w:r>
        <w:rPr>
          <w:rStyle w:val="Refdecomentario"/>
        </w:rPr>
        <w:t>Ref.</w:t>
      </w:r>
      <w:proofErr w:type="gramStart"/>
      <w:r>
        <w:rPr>
          <w:rStyle w:val="Refdecomentario"/>
        </w:rPr>
        <w:t xml:space="preserve">, </w:t>
      </w:r>
      <w:r>
        <w:t xml:space="preserve"> </w:t>
      </w:r>
      <w:proofErr w:type="spellStart"/>
      <w:r>
        <w:t>Lokku</w:t>
      </w:r>
      <w:proofErr w:type="spellEnd"/>
      <w:proofErr w:type="gramEnd"/>
    </w:p>
  </w:comment>
  <w:comment w:id="123" w:author="Andrés González Santa Cruz" w:date="2024-05-14T11:31:00Z" w:initials="AG">
    <w:p w14:paraId="5D10736D" w14:textId="68D0BA79" w:rsidR="008346BC" w:rsidRDefault="008346BC">
      <w:pPr>
        <w:pStyle w:val="Textocomentario"/>
      </w:pPr>
      <w:r>
        <w:rPr>
          <w:rStyle w:val="Refdecomentario"/>
        </w:rPr>
        <w:annotationRef/>
      </w:r>
      <w:r>
        <w:t xml:space="preserve">La referencia tiene dos formatos: E.M. o E. </w:t>
      </w:r>
      <w:proofErr w:type="spellStart"/>
      <w:r>
        <w:t>Pullenayegum</w:t>
      </w:r>
      <w:proofErr w:type="spellEnd"/>
    </w:p>
  </w:comment>
  <w:comment w:id="128" w:author="Andrés González Santa Cruz" w:date="2024-05-15T12:18:00Z" w:initials="AG">
    <w:p w14:paraId="4025BFCA" w14:textId="7E1E5F15" w:rsidR="00D764E1" w:rsidRPr="008D0663" w:rsidRDefault="00D764E1">
      <w:pPr>
        <w:pStyle w:val="Textocomentario"/>
      </w:pPr>
      <w:r>
        <w:rPr>
          <w:rStyle w:val="Refdecomentario"/>
        </w:rPr>
        <w:annotationRef/>
      </w:r>
      <w:r w:rsidRPr="0075223D">
        <w:rPr>
          <w:lang w:val="en-US"/>
        </w:rPr>
        <w:fldChar w:fldCharType="begin"/>
      </w:r>
      <w:r w:rsidRPr="008D0663">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75223D">
        <w:rPr>
          <w:lang w:val="en-US"/>
        </w:rPr>
        <w:fldChar w:fldCharType="separate"/>
      </w:r>
      <w:r w:rsidRPr="008D0663">
        <w:t>(Olivari et al., 2022)</w:t>
      </w:r>
      <w:r w:rsidRPr="0075223D">
        <w:rPr>
          <w:lang w:val="en-US"/>
        </w:rPr>
        <w:fldChar w:fldCharType="end"/>
      </w:r>
    </w:p>
  </w:comment>
  <w:comment w:id="129" w:author="Andrés González Santa Cruz" w:date="2024-05-15T12:19:00Z" w:initials="AG">
    <w:p w14:paraId="069C911D" w14:textId="724EDE3B" w:rsidR="00D764E1" w:rsidRPr="008D0663" w:rsidRDefault="00D764E1">
      <w:pPr>
        <w:pStyle w:val="Textocomentario"/>
      </w:pPr>
      <w:r>
        <w:rPr>
          <w:rStyle w:val="Refdecomentario"/>
        </w:rPr>
        <w:annotationRef/>
      </w:r>
      <w:r w:rsidRPr="008D0663">
        <w:t>Ruiz-Tagle et al 2023</w:t>
      </w:r>
    </w:p>
  </w:comment>
  <w:comment w:id="131" w:author="Andrés González Santa Cruz" w:date="2024-05-16T15:59:00Z" w:initials="AG">
    <w:p w14:paraId="3DC9D0ED" w14:textId="4AAE2650" w:rsidR="00C24106" w:rsidRPr="00B40E37" w:rsidRDefault="00C24106">
      <w:pPr>
        <w:pStyle w:val="Textocomentario"/>
      </w:pPr>
      <w:r>
        <w:rPr>
          <w:rStyle w:val="Refdecomentario"/>
        </w:rPr>
        <w:annotationRef/>
      </w:r>
      <w:proofErr w:type="spellStart"/>
      <w:r w:rsidRPr="00B40E37">
        <w:t>First</w:t>
      </w:r>
      <w:proofErr w:type="spellEnd"/>
      <w:r w:rsidRPr="00B40E37">
        <w:t xml:space="preserve"> </w:t>
      </w:r>
      <w:proofErr w:type="spellStart"/>
      <w:r w:rsidRPr="00B40E37">
        <w:t>substance</w:t>
      </w:r>
      <w:proofErr w:type="spellEnd"/>
      <w:r w:rsidRPr="00B40E37">
        <w:t xml:space="preserve"> </w:t>
      </w:r>
      <w:proofErr w:type="spellStart"/>
      <w:r w:rsidRPr="00B40E37">
        <w:t>used</w:t>
      </w:r>
      <w:proofErr w:type="spellEnd"/>
    </w:p>
  </w:comment>
  <w:comment w:id="132" w:author="Andrés González Santa Cruz" w:date="2024-05-16T16:02:00Z" w:initials="AG">
    <w:p w14:paraId="7C07E92C" w14:textId="31BD622E" w:rsidR="00C24106" w:rsidRPr="00C24106" w:rsidRDefault="00C24106">
      <w:pPr>
        <w:pStyle w:val="Textocomentario"/>
      </w:pPr>
      <w:r>
        <w:rPr>
          <w:rStyle w:val="Refdecomentario"/>
        </w:rPr>
        <w:annotationRef/>
      </w:r>
      <w:r w:rsidRPr="00C24106">
        <w:t xml:space="preserve">Cuando ocupo </w:t>
      </w:r>
      <w:proofErr w:type="spellStart"/>
      <w:r w:rsidRPr="00C24106">
        <w:t>one.h</w:t>
      </w:r>
      <w:r>
        <w:t>ot</w:t>
      </w:r>
      <w:proofErr w:type="spellEnd"/>
      <w:r>
        <w:t xml:space="preserve"> </w:t>
      </w:r>
      <w:proofErr w:type="spellStart"/>
      <w:r>
        <w:t>encoding</w:t>
      </w:r>
      <w:proofErr w:type="spellEnd"/>
      <w:r>
        <w:t xml:space="preserve"> y a la única categoría que no incorporo como predictor es </w:t>
      </w:r>
      <w:proofErr w:type="spellStart"/>
      <w:r>
        <w:t>Other</w:t>
      </w:r>
      <w:proofErr w:type="spellEnd"/>
      <w:r>
        <w:t xml:space="preserve"> </w:t>
      </w:r>
      <w:proofErr w:type="spellStart"/>
      <w:r>
        <w:t>substances</w:t>
      </w:r>
      <w:proofErr w:type="spellEnd"/>
      <w:r w:rsidR="00125A8A">
        <w:t xml:space="preserve">, entonces la comparación del predictor es con el intercepto, </w:t>
      </w:r>
      <w:proofErr w:type="gramStart"/>
      <w:r w:rsidR="00125A8A">
        <w:t>no?</w:t>
      </w:r>
      <w:proofErr w:type="gramEnd"/>
      <w:r w:rsidR="00125A8A">
        <w:t xml:space="preserve"> (ej., no tener 1’s en ninguna de las otras </w:t>
      </w:r>
      <w:proofErr w:type="spellStart"/>
      <w:r w:rsidR="00125A8A">
        <w:t>ssustancias</w:t>
      </w:r>
      <w:proofErr w:type="spellEnd"/>
      <w:r w:rsidR="00125A8A">
        <w:t>, por tanto, en Otras).</w:t>
      </w:r>
    </w:p>
  </w:comment>
  <w:comment w:id="146" w:author="Andrés González Santa Cruz" w:date="2024-05-17T00:53:00Z" w:initials="AG">
    <w:p w14:paraId="79B04384" w14:textId="77777777" w:rsidR="001B729A" w:rsidRPr="001B729A" w:rsidRDefault="001B729A" w:rsidP="001B729A">
      <w:pPr>
        <w:pStyle w:val="Textocomentario"/>
        <w:rPr>
          <w:lang w:val="en-US"/>
        </w:rPr>
      </w:pPr>
      <w:r>
        <w:rPr>
          <w:rStyle w:val="Refdecomentario"/>
        </w:rPr>
        <w:annotationRef/>
      </w:r>
      <w:r w:rsidRPr="001B729A">
        <w:rPr>
          <w:lang w:val="en-US"/>
        </w:rPr>
        <w:t>Beaulieu, M., Tremblay, J. &amp; Bertrand, K. Adjustments to Service Organization in Specialized Addiction Services and Clinical Strategies for Better Meeting the Needs of People with a Persistent Substance Use Disorder. </w:t>
      </w:r>
      <w:r w:rsidRPr="001B729A">
        <w:rPr>
          <w:i/>
          <w:iCs/>
          <w:lang w:val="en-US"/>
        </w:rPr>
        <w:t>Int J Ment Health Addiction</w:t>
      </w:r>
      <w:r w:rsidRPr="001B729A">
        <w:rPr>
          <w:lang w:val="en-US"/>
        </w:rPr>
        <w:t> (2022). https://doi.org/10.1007/s11469-022-00982-z</w:t>
      </w:r>
    </w:p>
    <w:p w14:paraId="7A1B22F9" w14:textId="77777777" w:rsidR="001B729A" w:rsidRPr="001B729A" w:rsidRDefault="001B729A" w:rsidP="001B729A">
      <w:pPr>
        <w:pStyle w:val="Textocomentario"/>
        <w:rPr>
          <w:lang w:val="en-US"/>
        </w:rPr>
      </w:pPr>
    </w:p>
  </w:comment>
  <w:comment w:id="147" w:author="Andrés González Santa Cruz" w:date="2024-05-19T22:01:00Z" w:initials="AG">
    <w:p w14:paraId="15BCC774" w14:textId="77777777" w:rsidR="006039C6" w:rsidRPr="006039C6" w:rsidRDefault="006039C6" w:rsidP="006039C6">
      <w:pPr>
        <w:pStyle w:val="Textocomentario"/>
        <w:rPr>
          <w:lang w:val="en-US"/>
        </w:rPr>
      </w:pPr>
      <w:r>
        <w:rPr>
          <w:rStyle w:val="Refdecomentario"/>
        </w:rPr>
        <w:annotationRef/>
      </w:r>
      <w:r w:rsidRPr="006039C6">
        <w:rPr>
          <w:lang w:val="en-US"/>
        </w:rPr>
        <w:t>The main reasons for abandonment of TCs were "not accepting the rules of the institution",</w:t>
      </w:r>
    </w:p>
    <w:p w14:paraId="361A905A" w14:textId="77777777" w:rsidR="006039C6" w:rsidRPr="006039C6" w:rsidRDefault="006039C6" w:rsidP="006039C6">
      <w:pPr>
        <w:pStyle w:val="Textocomentario"/>
        <w:rPr>
          <w:lang w:val="en-US"/>
        </w:rPr>
      </w:pPr>
      <w:r w:rsidRPr="006039C6">
        <w:rPr>
          <w:lang w:val="en-US"/>
        </w:rPr>
        <w:t>"</w:t>
      </w:r>
      <w:proofErr w:type="gramStart"/>
      <w:r w:rsidRPr="006039C6">
        <w:rPr>
          <w:lang w:val="en-US"/>
        </w:rPr>
        <w:t>lack</w:t>
      </w:r>
      <w:proofErr w:type="gramEnd"/>
      <w:r w:rsidRPr="006039C6">
        <w:rPr>
          <w:lang w:val="en-US"/>
        </w:rPr>
        <w:t xml:space="preserve"> of money" and "not feeling comfortable with the facilities".</w:t>
      </w:r>
      <w:r>
        <w:rPr>
          <w:lang w:val="en-US"/>
        </w:rPr>
        <w:br/>
        <w:t>-</w:t>
      </w:r>
      <w:r w:rsidRPr="006039C6">
        <w:rPr>
          <w:lang w:val="en-US"/>
        </w:rPr>
        <w:t>Gómez-Restrepo C, Maldonado P, Rodríguez N, Ruiz-Gaviria R, Escalante MÁ, Gómez RÁ, de Araujo</w:t>
      </w:r>
    </w:p>
    <w:p w14:paraId="43C7A8F9" w14:textId="7F8A9B4A" w:rsidR="006039C6" w:rsidRPr="006039C6" w:rsidRDefault="006039C6" w:rsidP="006039C6">
      <w:pPr>
        <w:pStyle w:val="Textocomentario"/>
        <w:rPr>
          <w:lang w:val="en-US"/>
        </w:rPr>
      </w:pPr>
      <w:r w:rsidRPr="006039C6">
        <w:rPr>
          <w:lang w:val="en-US"/>
        </w:rPr>
        <w:t xml:space="preserve">MR, de Oliveira ACS, Rivera JSC, García JAG, Ferrand MP, </w:t>
      </w:r>
      <w:proofErr w:type="spellStart"/>
      <w:r w:rsidRPr="006039C6">
        <w:rPr>
          <w:lang w:val="en-US"/>
        </w:rPr>
        <w:t>Blitchtein</w:t>
      </w:r>
      <w:proofErr w:type="spellEnd"/>
      <w:r w:rsidRPr="006039C6">
        <w:rPr>
          <w:lang w:val="en-US"/>
        </w:rPr>
        <w:t>-Winicki D. Quality measurers of</w:t>
      </w:r>
      <w:r>
        <w:rPr>
          <w:lang w:val="en-US"/>
        </w:rPr>
        <w:t xml:space="preserve"> </w:t>
      </w:r>
      <w:r w:rsidRPr="006039C6">
        <w:rPr>
          <w:lang w:val="en-US"/>
        </w:rPr>
        <w:t>therapeutic communities for substance dependence: an international collaborative study survey in</w:t>
      </w:r>
      <w:r>
        <w:rPr>
          <w:lang w:val="en-US"/>
        </w:rPr>
        <w:t xml:space="preserve"> </w:t>
      </w:r>
      <w:r w:rsidRPr="006039C6">
        <w:rPr>
          <w:lang w:val="en-US"/>
        </w:rPr>
        <w:t xml:space="preserve">Latin America. </w:t>
      </w:r>
      <w:proofErr w:type="spellStart"/>
      <w:r w:rsidRPr="006039C6">
        <w:rPr>
          <w:lang w:val="en-US"/>
        </w:rPr>
        <w:t>Subst</w:t>
      </w:r>
      <w:proofErr w:type="spellEnd"/>
      <w:r w:rsidRPr="006039C6">
        <w:rPr>
          <w:lang w:val="en-US"/>
        </w:rPr>
        <w:t xml:space="preserve"> Abuse Treat Prev Policy. 2017 Dec 20;12(1):53. </w:t>
      </w:r>
      <w:proofErr w:type="spellStart"/>
      <w:r w:rsidRPr="006039C6">
        <w:rPr>
          <w:lang w:val="en-US"/>
        </w:rPr>
        <w:t>doi</w:t>
      </w:r>
      <w:proofErr w:type="spellEnd"/>
      <w:r w:rsidRPr="006039C6">
        <w:rPr>
          <w:lang w:val="en-US"/>
        </w:rPr>
        <w:t>: 10.1186/s13011-017-0129-y.</w:t>
      </w:r>
    </w:p>
    <w:p w14:paraId="41A6C81D" w14:textId="5DAA2170" w:rsidR="006039C6" w:rsidRPr="006039C6" w:rsidRDefault="006039C6" w:rsidP="006039C6">
      <w:pPr>
        <w:pStyle w:val="Textocomentario"/>
        <w:rPr>
          <w:lang w:val="en-US"/>
        </w:rPr>
      </w:pPr>
      <w:r w:rsidRPr="006039C6">
        <w:rPr>
          <w:lang w:val="en-US"/>
        </w:rPr>
        <w:t>PMID: 29262838; PMCID: PMC5738167.</w:t>
      </w:r>
    </w:p>
  </w:comment>
  <w:comment w:id="148" w:author="Andrés González Santa Cruz" w:date="2024-05-19T22:02:00Z" w:initials="AG">
    <w:p w14:paraId="70AED570" w14:textId="77777777" w:rsidR="006039C6" w:rsidRPr="006039C6" w:rsidRDefault="006039C6" w:rsidP="006039C6">
      <w:pPr>
        <w:pStyle w:val="Textocomentario"/>
        <w:rPr>
          <w:lang w:val="en-US"/>
        </w:rPr>
      </w:pPr>
      <w:r>
        <w:rPr>
          <w:rStyle w:val="Refdecomentario"/>
        </w:rPr>
        <w:annotationRef/>
      </w:r>
      <w:r w:rsidRPr="006039C6">
        <w:rPr>
          <w:lang w:val="en-US"/>
        </w:rPr>
        <w:t>Passos SR, Camacho LA. Factors associated with immediate dropout of outpatient treatment for drug</w:t>
      </w:r>
    </w:p>
    <w:p w14:paraId="7E3F2038" w14:textId="77777777" w:rsidR="006039C6" w:rsidRPr="006039C6" w:rsidRDefault="006039C6" w:rsidP="006039C6">
      <w:pPr>
        <w:pStyle w:val="Textocomentario"/>
        <w:rPr>
          <w:lang w:val="en-US"/>
        </w:rPr>
      </w:pPr>
      <w:r w:rsidRPr="006039C6">
        <w:rPr>
          <w:lang w:val="en-US"/>
        </w:rPr>
        <w:t xml:space="preserve">abuse in Rio de Janeiro. Soc Psychiatry </w:t>
      </w:r>
      <w:proofErr w:type="spellStart"/>
      <w:r w:rsidRPr="006039C6">
        <w:rPr>
          <w:lang w:val="en-US"/>
        </w:rPr>
        <w:t>Psychiatr</w:t>
      </w:r>
      <w:proofErr w:type="spellEnd"/>
      <w:r w:rsidRPr="006039C6">
        <w:rPr>
          <w:lang w:val="en-US"/>
        </w:rPr>
        <w:t xml:space="preserve"> Epidemiol. 2000 Nov;35(11):513-7. </w:t>
      </w:r>
      <w:proofErr w:type="spellStart"/>
      <w:r w:rsidRPr="006039C6">
        <w:rPr>
          <w:lang w:val="en-US"/>
        </w:rPr>
        <w:t>doi</w:t>
      </w:r>
      <w:proofErr w:type="spellEnd"/>
      <w:r w:rsidRPr="006039C6">
        <w:rPr>
          <w:lang w:val="en-US"/>
        </w:rPr>
        <w:t>:</w:t>
      </w:r>
    </w:p>
    <w:p w14:paraId="6EA72BDB" w14:textId="5A20C104" w:rsidR="006039C6" w:rsidRDefault="006039C6" w:rsidP="006039C6">
      <w:pPr>
        <w:pStyle w:val="Textocomentario"/>
      </w:pPr>
      <w:r>
        <w:t>10.1007/s001270050273. PMID: 11197927.</w:t>
      </w:r>
      <w:r>
        <w:br/>
      </w:r>
      <w:r>
        <w:br/>
        <w:t xml:space="preserve">pacientes con una historia de </w:t>
      </w:r>
      <w:proofErr w:type="spellStart"/>
      <w:r>
        <w:t>enfermdedad</w:t>
      </w:r>
      <w:proofErr w:type="spellEnd"/>
      <w:r>
        <w:t xml:space="preserve"> mental </w:t>
      </w:r>
      <w:proofErr w:type="spellStart"/>
      <w:r>
        <w:t>abandonadban</w:t>
      </w:r>
      <w:proofErr w:type="spellEnd"/>
      <w:r>
        <w:t xml:space="preserve"> 1.5 más; quienes tenían una historia con </w:t>
      </w:r>
      <w:proofErr w:type="spellStart"/>
      <w:proofErr w:type="gramStart"/>
      <w:r>
        <w:t>al</w:t>
      </w:r>
      <w:proofErr w:type="spellEnd"/>
      <w:r>
        <w:t xml:space="preserve"> ley</w:t>
      </w:r>
      <w:proofErr w:type="gramEnd"/>
      <w:r>
        <w:t>,</w:t>
      </w:r>
    </w:p>
  </w:comment>
  <w:comment w:id="150" w:author="Andrés González Santa Cruz" w:date="2024-05-19T19:43:00Z" w:initials="AG">
    <w:p w14:paraId="53A0852F" w14:textId="5B5570E4" w:rsidR="00CB3E29" w:rsidRPr="00CB3E29" w:rsidRDefault="00CB3E29">
      <w:pPr>
        <w:pStyle w:val="Textocomentario"/>
      </w:pPr>
      <w:r>
        <w:rPr>
          <w:rStyle w:val="Refdecomentario"/>
        </w:rPr>
        <w:annotationRef/>
      </w:r>
      <w:r w:rsidRPr="00CB3E29">
        <w:t xml:space="preserve">Plan de acción 2024-2030, </w:t>
      </w:r>
      <w:r w:rsidRPr="00CB3E29">
        <w:br/>
      </w:r>
      <w:r>
        <w:t>ampliar oferta socioeducativa, personas cesantes e inactivas</w:t>
      </w:r>
      <w:r w:rsidR="00267878">
        <w:br/>
        <w:t>Ampliar la cobertura para el programa de población específica de mujeres, con especial énfasis en gestantes y puérperas.</w:t>
      </w:r>
      <w:r w:rsidR="00267878">
        <w:br/>
      </w:r>
      <w:r w:rsidR="00267878">
        <w:br/>
        <w:t>Ampliar la participación laboral en personas en procesos de recuperación para contribuir a su autonomía económica, con especial énfasis en mujeres</w:t>
      </w:r>
      <w:r w:rsidR="00267878">
        <w:br/>
      </w:r>
      <w:r w:rsidRPr="00CB3E29">
        <w:br/>
        <w:t>https://www.senda.gob.cl/wp-content/uploads/2024/05/Plan-de-Accion-2024-2030.pdf</w:t>
      </w:r>
    </w:p>
  </w:comment>
  <w:comment w:id="152" w:author="Andrés González Santa Cruz" w:date="2024-05-16T17:22:00Z" w:initials="AG">
    <w:p w14:paraId="1D65C8D2" w14:textId="77777777" w:rsidR="004822D9" w:rsidRPr="004822D9" w:rsidRDefault="004822D9" w:rsidP="004822D9">
      <w:pPr>
        <w:jc w:val="left"/>
        <w:rPr>
          <w:rFonts w:ascii="Times New Roman" w:eastAsia="Times New Roman" w:hAnsi="Times New Roman" w:cs="Times New Roman"/>
          <w:sz w:val="24"/>
          <w:szCs w:val="24"/>
          <w:lang w:val="en-US" w:eastAsia="es-CL"/>
        </w:rPr>
      </w:pPr>
      <w:r>
        <w:rPr>
          <w:rStyle w:val="Refdecomentario"/>
        </w:rPr>
        <w:annotationRef/>
      </w:r>
      <w:r w:rsidRPr="004822D9">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sidRPr="004822D9">
        <w:rPr>
          <w:rFonts w:ascii="Times New Roman" w:eastAsia="Times New Roman" w:hAnsi="Times New Roman" w:cs="Times New Roman"/>
          <w:i/>
          <w:iCs/>
          <w:sz w:val="24"/>
          <w:szCs w:val="24"/>
          <w:lang w:val="en-US" w:eastAsia="es-CL"/>
        </w:rPr>
        <w:t>BMC Medical Research Methodology</w:t>
      </w:r>
      <w:r w:rsidRPr="004822D9">
        <w:rPr>
          <w:rFonts w:ascii="Times New Roman" w:eastAsia="Times New Roman" w:hAnsi="Times New Roman" w:cs="Times New Roman"/>
          <w:sz w:val="24"/>
          <w:szCs w:val="24"/>
          <w:lang w:val="en-US" w:eastAsia="es-CL"/>
        </w:rPr>
        <w:t xml:space="preserve">, </w:t>
      </w:r>
      <w:r w:rsidRPr="004822D9">
        <w:rPr>
          <w:rFonts w:ascii="Times New Roman" w:eastAsia="Times New Roman" w:hAnsi="Times New Roman" w:cs="Times New Roman"/>
          <w:i/>
          <w:iCs/>
          <w:sz w:val="24"/>
          <w:szCs w:val="24"/>
          <w:lang w:val="en-US" w:eastAsia="es-CL"/>
        </w:rPr>
        <w:t>13</w:t>
      </w:r>
      <w:r w:rsidRPr="004822D9">
        <w:rPr>
          <w:rFonts w:ascii="Times New Roman" w:eastAsia="Times New Roman" w:hAnsi="Times New Roman" w:cs="Times New Roman"/>
          <w:sz w:val="24"/>
          <w:szCs w:val="24"/>
          <w:lang w:val="en-US" w:eastAsia="es-CL"/>
        </w:rPr>
        <w:t>, 33. https://doi.org/10.1186/1471-2288-13-33</w:t>
      </w:r>
    </w:p>
    <w:p w14:paraId="1C105B3E" w14:textId="64D5F4BB" w:rsidR="004822D9" w:rsidRPr="004822D9" w:rsidRDefault="004822D9">
      <w:pPr>
        <w:pStyle w:val="Textocomentario"/>
        <w:rPr>
          <w:lang w:val="en-US"/>
        </w:rPr>
      </w:pPr>
    </w:p>
  </w:comment>
  <w:comment w:id="154" w:author="Andrés González Santa Cruz" w:date="2024-05-20T20:46:00Z" w:initials="AG">
    <w:p w14:paraId="59A05FA1" w14:textId="2F40872F" w:rsidR="00A468AF" w:rsidRPr="00C5430D" w:rsidRDefault="00A468AF" w:rsidP="00A468AF">
      <w:pPr>
        <w:jc w:val="left"/>
        <w:rPr>
          <w:rFonts w:ascii="Times New Roman" w:eastAsia="Times New Roman" w:hAnsi="Times New Roman" w:cs="Times New Roman"/>
          <w:sz w:val="24"/>
          <w:szCs w:val="24"/>
          <w:lang w:val="en-US" w:eastAsia="es-CL"/>
        </w:rPr>
      </w:pPr>
      <w:r>
        <w:rPr>
          <w:rStyle w:val="Refdecomentario"/>
        </w:rPr>
        <w:annotationRef/>
      </w:r>
      <w:proofErr w:type="spellStart"/>
      <w:r w:rsidRPr="00A468AF">
        <w:rPr>
          <w:rFonts w:ascii="Times New Roman" w:eastAsia="Times New Roman" w:hAnsi="Times New Roman" w:cs="Times New Roman"/>
          <w:sz w:val="24"/>
          <w:szCs w:val="24"/>
          <w:lang w:val="en-US" w:eastAsia="es-CL"/>
        </w:rPr>
        <w:t>Billichová</w:t>
      </w:r>
      <w:proofErr w:type="spellEnd"/>
      <w:r w:rsidRPr="00A468AF">
        <w:rPr>
          <w:rFonts w:ascii="Times New Roman" w:eastAsia="Times New Roman" w:hAnsi="Times New Roman" w:cs="Times New Roman"/>
          <w:sz w:val="24"/>
          <w:szCs w:val="24"/>
          <w:lang w:val="en-US" w:eastAsia="es-CL"/>
        </w:rPr>
        <w:t xml:space="preserve">, M., Coan, L. J., </w:t>
      </w:r>
      <w:proofErr w:type="spellStart"/>
      <w:r w:rsidRPr="00A468AF">
        <w:rPr>
          <w:rFonts w:ascii="Times New Roman" w:eastAsia="Times New Roman" w:hAnsi="Times New Roman" w:cs="Times New Roman"/>
          <w:sz w:val="24"/>
          <w:szCs w:val="24"/>
          <w:lang w:val="en-US" w:eastAsia="es-CL"/>
        </w:rPr>
        <w:t>Czanner</w:t>
      </w:r>
      <w:proofErr w:type="spellEnd"/>
      <w:r w:rsidRPr="00A468AF">
        <w:rPr>
          <w:rFonts w:ascii="Times New Roman" w:eastAsia="Times New Roman" w:hAnsi="Times New Roman" w:cs="Times New Roman"/>
          <w:sz w:val="24"/>
          <w:szCs w:val="24"/>
          <w:lang w:val="en-US" w:eastAsia="es-CL"/>
        </w:rPr>
        <w:t xml:space="preserve">, S., Kováčová, M., Sharifian, F., &amp; </w:t>
      </w:r>
      <w:proofErr w:type="spellStart"/>
      <w:r w:rsidRPr="00A468AF">
        <w:rPr>
          <w:rFonts w:ascii="Times New Roman" w:eastAsia="Times New Roman" w:hAnsi="Times New Roman" w:cs="Times New Roman"/>
          <w:sz w:val="24"/>
          <w:szCs w:val="24"/>
          <w:lang w:val="en-US" w:eastAsia="es-CL"/>
        </w:rPr>
        <w:t>Czanner</w:t>
      </w:r>
      <w:proofErr w:type="spellEnd"/>
      <w:r w:rsidRPr="00A468AF">
        <w:rPr>
          <w:rFonts w:ascii="Times New Roman" w:eastAsia="Times New Roman" w:hAnsi="Times New Roman" w:cs="Times New Roman"/>
          <w:sz w:val="24"/>
          <w:szCs w:val="24"/>
          <w:lang w:val="en-US" w:eastAsia="es-CL"/>
        </w:rPr>
        <w:t xml:space="preserve">, G. Comparing the performance of statistical, machine learning, and deep learning algorithms to predict time-to-event: A simulation study for conversion to mild cognitive impairment. </w:t>
      </w:r>
      <w:r w:rsidRPr="00C5430D">
        <w:rPr>
          <w:rFonts w:ascii="Times New Roman" w:eastAsia="Times New Roman" w:hAnsi="Times New Roman" w:cs="Times New Roman"/>
          <w:i/>
          <w:iCs/>
          <w:sz w:val="24"/>
          <w:szCs w:val="24"/>
          <w:lang w:val="en-US" w:eastAsia="es-CL"/>
        </w:rPr>
        <w:t>PLOS ONE</w:t>
      </w:r>
      <w:r w:rsidRPr="00C5430D">
        <w:rPr>
          <w:rFonts w:ascii="Times New Roman" w:eastAsia="Times New Roman" w:hAnsi="Times New Roman" w:cs="Times New Roman"/>
          <w:sz w:val="24"/>
          <w:szCs w:val="24"/>
          <w:lang w:val="en-US" w:eastAsia="es-CL"/>
        </w:rPr>
        <w:t xml:space="preserve">, </w:t>
      </w:r>
      <w:r w:rsidRPr="00C5430D">
        <w:rPr>
          <w:rFonts w:ascii="Times New Roman" w:eastAsia="Times New Roman" w:hAnsi="Times New Roman" w:cs="Times New Roman"/>
          <w:i/>
          <w:iCs/>
          <w:sz w:val="24"/>
          <w:szCs w:val="24"/>
          <w:lang w:val="en-US" w:eastAsia="es-CL"/>
        </w:rPr>
        <w:t>19</w:t>
      </w:r>
      <w:r w:rsidRPr="00C5430D">
        <w:rPr>
          <w:rFonts w:ascii="Times New Roman" w:eastAsia="Times New Roman" w:hAnsi="Times New Roman" w:cs="Times New Roman"/>
          <w:sz w:val="24"/>
          <w:szCs w:val="24"/>
          <w:lang w:val="en-US" w:eastAsia="es-CL"/>
        </w:rPr>
        <w:t>(1), e0297190. https://doi.org/10.1371/journal.pone.0297190</w:t>
      </w:r>
    </w:p>
  </w:comment>
  <w:comment w:id="155" w:author="Andrés González Santa Cruz" w:date="2024-05-16T17:53:00Z" w:initials="AG">
    <w:p w14:paraId="49342F3A" w14:textId="77777777" w:rsidR="00EB4460" w:rsidRPr="00EB4460" w:rsidRDefault="00EB4460" w:rsidP="00EB4460">
      <w:pPr>
        <w:pStyle w:val="Textocomentario"/>
        <w:rPr>
          <w:lang w:val="en-US"/>
        </w:rPr>
      </w:pPr>
      <w:r>
        <w:rPr>
          <w:rStyle w:val="Refdecomentario"/>
        </w:rPr>
        <w:annotationRef/>
      </w:r>
      <w:r w:rsidRPr="00EB4460">
        <w:rPr>
          <w:lang w:val="en-US"/>
        </w:rPr>
        <w:t>An introduction to flexible parametric survival</w:t>
      </w:r>
    </w:p>
    <w:p w14:paraId="7204AE04" w14:textId="77777777" w:rsidR="00EB4460" w:rsidRPr="00EB4460" w:rsidRDefault="00EB4460" w:rsidP="00EB4460">
      <w:pPr>
        <w:pStyle w:val="Textocomentario"/>
        <w:rPr>
          <w:lang w:val="en-US"/>
        </w:rPr>
      </w:pPr>
      <w:r w:rsidRPr="00EB4460">
        <w:rPr>
          <w:lang w:val="en-US"/>
        </w:rPr>
        <w:t xml:space="preserve"> models and a discussion of the proportional</w:t>
      </w:r>
    </w:p>
    <w:p w14:paraId="3894C983" w14:textId="77777777" w:rsidR="00EB4460" w:rsidRPr="00EB4460" w:rsidRDefault="00EB4460" w:rsidP="00EB4460">
      <w:pPr>
        <w:pStyle w:val="Textocomentario"/>
        <w:rPr>
          <w:lang w:val="en-US"/>
        </w:rPr>
      </w:pPr>
      <w:r w:rsidRPr="00EB4460">
        <w:rPr>
          <w:lang w:val="en-US"/>
        </w:rPr>
        <w:t xml:space="preserve"> hazards assumption</w:t>
      </w:r>
    </w:p>
    <w:p w14:paraId="3F037C62" w14:textId="77777777" w:rsidR="00EB4460" w:rsidRPr="00EB4460" w:rsidRDefault="00EB4460" w:rsidP="00EB4460">
      <w:pPr>
        <w:pStyle w:val="Textocomentario"/>
        <w:rPr>
          <w:lang w:val="en-US"/>
        </w:rPr>
      </w:pPr>
      <w:r w:rsidRPr="00EB4460">
        <w:rPr>
          <w:lang w:val="en-US"/>
        </w:rPr>
        <w:t xml:space="preserve"> Paul W Dickman</w:t>
      </w:r>
    </w:p>
    <w:p w14:paraId="03C7949F" w14:textId="77777777" w:rsidR="00EB4460" w:rsidRPr="00EB4460" w:rsidRDefault="00EB4460" w:rsidP="00EB4460">
      <w:pPr>
        <w:pStyle w:val="Textocomentario"/>
        <w:rPr>
          <w:lang w:val="en-US"/>
        </w:rPr>
      </w:pPr>
      <w:r w:rsidRPr="00EB4460">
        <w:rPr>
          <w:lang w:val="en-US"/>
        </w:rPr>
        <w:t xml:space="preserve"> Professor of Biostatistics</w:t>
      </w:r>
    </w:p>
    <w:p w14:paraId="1A9D4326" w14:textId="77777777" w:rsidR="00EB4460" w:rsidRPr="00EB4460" w:rsidRDefault="00EB4460" w:rsidP="00EB4460">
      <w:pPr>
        <w:pStyle w:val="Textocomentario"/>
        <w:rPr>
          <w:lang w:val="en-US"/>
        </w:rPr>
      </w:pPr>
      <w:r w:rsidRPr="00EB4460">
        <w:rPr>
          <w:lang w:val="en-US"/>
        </w:rPr>
        <w:t xml:space="preserve"> Karolinska </w:t>
      </w:r>
      <w:proofErr w:type="spellStart"/>
      <w:r w:rsidRPr="00EB4460">
        <w:rPr>
          <w:lang w:val="en-US"/>
        </w:rPr>
        <w:t>Institutet</w:t>
      </w:r>
      <w:proofErr w:type="spellEnd"/>
    </w:p>
    <w:p w14:paraId="1E25C2CD" w14:textId="77777777" w:rsidR="00EB4460" w:rsidRPr="00EB4460" w:rsidRDefault="00EB4460" w:rsidP="00EB4460">
      <w:pPr>
        <w:pStyle w:val="Textocomentario"/>
        <w:rPr>
          <w:lang w:val="en-US"/>
        </w:rPr>
      </w:pPr>
      <w:r w:rsidRPr="00EB4460">
        <w:rPr>
          <w:lang w:val="en-US"/>
        </w:rPr>
        <w:t xml:space="preserve"> Talk at: Department of Statistics and Quantitative Methods</w:t>
      </w:r>
    </w:p>
    <w:p w14:paraId="29AEFC94" w14:textId="77777777" w:rsidR="00EB4460" w:rsidRPr="00EB4460" w:rsidRDefault="00EB4460" w:rsidP="00EB4460">
      <w:pPr>
        <w:pStyle w:val="Textocomentario"/>
        <w:rPr>
          <w:lang w:val="en-US"/>
        </w:rPr>
      </w:pPr>
      <w:r w:rsidRPr="00EB4460">
        <w:rPr>
          <w:lang w:val="en-US"/>
        </w:rPr>
        <w:t xml:space="preserve"> University of Milano-Bicocca</w:t>
      </w:r>
    </w:p>
    <w:p w14:paraId="391C85E5" w14:textId="77777777" w:rsidR="00EB4460" w:rsidRPr="00EB4460" w:rsidRDefault="00EB4460" w:rsidP="00EB4460">
      <w:pPr>
        <w:pStyle w:val="Textocomentario"/>
        <w:rPr>
          <w:lang w:val="en-US"/>
        </w:rPr>
      </w:pPr>
      <w:r w:rsidRPr="00EB4460">
        <w:rPr>
          <w:lang w:val="en-US"/>
        </w:rPr>
        <w:t xml:space="preserve"> 31 Mar 2023</w:t>
      </w:r>
    </w:p>
    <w:p w14:paraId="08F56D6B" w14:textId="65374158" w:rsidR="00EB4460" w:rsidRPr="00EB4460" w:rsidRDefault="00EB4460" w:rsidP="00EB4460">
      <w:pPr>
        <w:pStyle w:val="Textocomentario"/>
        <w:rPr>
          <w:lang w:val="en-US"/>
        </w:rPr>
      </w:pPr>
      <w:r w:rsidRPr="00EB4460">
        <w:rPr>
          <w:lang w:val="en-US"/>
        </w:rPr>
        <w:t xml:space="preserve"> http://pauldickman.com/talk/ An introduction to flexible parametric survival models and a discussion of the proportional </w:t>
      </w:r>
      <w:proofErr w:type="gramStart"/>
      <w:r w:rsidRPr="00EB4460">
        <w:rPr>
          <w:lang w:val="en-US"/>
        </w:rPr>
        <w:t>hazards</w:t>
      </w:r>
      <w:proofErr w:type="gramEnd"/>
      <w:r w:rsidRPr="00EB4460">
        <w:rPr>
          <w:lang w:val="en-US"/>
        </w:rPr>
        <w:t xml:space="preserve"> assumption Paul W Dickman Professor of Biostatistics Karolinska </w:t>
      </w:r>
      <w:proofErr w:type="spellStart"/>
      <w:r w:rsidRPr="00EB4460">
        <w:rPr>
          <w:lang w:val="en-US"/>
        </w:rPr>
        <w:t>Institutet</w:t>
      </w:r>
      <w:proofErr w:type="spellEnd"/>
      <w:r w:rsidRPr="00EB4460">
        <w:rPr>
          <w:lang w:val="en-US"/>
        </w:rPr>
        <w:t xml:space="preserve"> Talk at: Department of Statistics and Quantitative Methods University of Milano-Bicocca 31 Mar 2023 http://pauldickman.com/talk/</w:t>
      </w:r>
      <w:r>
        <w:rPr>
          <w:lang w:val="en-US"/>
        </w:rPr>
        <w:br/>
      </w:r>
      <w:r>
        <w:rPr>
          <w:lang w:val="en-US"/>
        </w:rPr>
        <w:br/>
      </w:r>
      <w:r w:rsidRPr="00EB4460">
        <w:rPr>
          <w:lang w:val="en-US"/>
        </w:rPr>
        <w:t>https://www.pauldickman.com/pdf/talk-milan-mar2023.pdf</w:t>
      </w:r>
    </w:p>
  </w:comment>
  <w:comment w:id="156" w:author="Andrés González Santa Cruz" w:date="2024-05-16T17:26:00Z" w:initials="AG">
    <w:p w14:paraId="5A930044" w14:textId="06132413" w:rsidR="004822D9" w:rsidRPr="00566E44" w:rsidRDefault="004822D9">
      <w:pPr>
        <w:pStyle w:val="Textocomentario"/>
        <w:rPr>
          <w:lang w:val="en-US"/>
        </w:rPr>
      </w:pPr>
      <w:r>
        <w:rPr>
          <w:rStyle w:val="Refdecomentario"/>
        </w:rPr>
        <w:annotationRef/>
      </w:r>
      <w:r w:rsidRPr="004822D9">
        <w:rPr>
          <w:lang w:val="en-US"/>
        </w:rPr>
        <w:t xml:space="preserve">Keele, L. Proportionally Difficult: Testing for Nonproportional Hazards in Cox Models. </w:t>
      </w:r>
      <w:r w:rsidRPr="00566E44">
        <w:rPr>
          <w:lang w:val="en-US"/>
        </w:rPr>
        <w:t>Political Analysis (2010) 18:189–205. doi:10.1093/pan/mpp044</w:t>
      </w:r>
    </w:p>
  </w:comment>
  <w:comment w:id="157" w:author="Andrés González Santa Cruz" w:date="2024-05-16T17:50:00Z" w:initials="AG">
    <w:p w14:paraId="091F4852" w14:textId="09E62750" w:rsidR="00CC323A" w:rsidRPr="008D0663" w:rsidRDefault="00CC323A">
      <w:pPr>
        <w:pStyle w:val="Textocomentario"/>
        <w:rPr>
          <w:lang w:val="en-US"/>
        </w:rPr>
      </w:pPr>
      <w:r>
        <w:rPr>
          <w:rStyle w:val="Refdecomentario"/>
        </w:rPr>
        <w:annotationRef/>
      </w:r>
      <w:r w:rsidRPr="00CC323A">
        <w:rPr>
          <w:lang w:val="en-US"/>
        </w:rPr>
        <w:t>•</w:t>
      </w:r>
      <w:r w:rsidRPr="00CC323A">
        <w:rPr>
          <w:lang w:val="en-US"/>
        </w:rPr>
        <w:tab/>
      </w:r>
      <w:proofErr w:type="spellStart"/>
      <w:r w:rsidRPr="00CC323A">
        <w:rPr>
          <w:lang w:val="en-US"/>
        </w:rPr>
        <w:t>Jardillier</w:t>
      </w:r>
      <w:proofErr w:type="spellEnd"/>
      <w:r w:rsidRPr="00CC323A">
        <w:rPr>
          <w:lang w:val="en-US"/>
        </w:rPr>
        <w:t xml:space="preserve">, R., Koca, D., Chatelain, F., &amp; Guyon, L. (2022). Prognosis of lasso-like penalized Cox models with tumor profiling improves prediction over clinical data alone and benefits from bi-dimensional pre-screening. </w:t>
      </w:r>
      <w:r w:rsidRPr="008D0663">
        <w:rPr>
          <w:lang w:val="en-US"/>
        </w:rPr>
        <w:t>BMC Cancer, 22. https://doi.org/10.1186/s12885-022-10117-1</w:t>
      </w:r>
    </w:p>
  </w:comment>
  <w:comment w:id="158" w:author="Andrés González Santa Cruz" w:date="2024-05-16T17:38:00Z" w:initials="AG">
    <w:p w14:paraId="18525476" w14:textId="77777777" w:rsidR="00566E44" w:rsidRPr="00235A22" w:rsidRDefault="00566E44" w:rsidP="00566E44">
      <w:pPr>
        <w:rPr>
          <w:lang w:val="en-US"/>
        </w:rPr>
      </w:pPr>
      <w:r>
        <w:rPr>
          <w:rStyle w:val="Refdecomentario"/>
        </w:rPr>
        <w:annotationRef/>
      </w:r>
      <w:r w:rsidRPr="004822D9">
        <w:t xml:space="preserve">do not allow right censoring depending on the </w:t>
      </w:r>
      <w:proofErr w:type="spellStart"/>
      <w:r w:rsidRPr="004822D9">
        <w:t>past</w:t>
      </w:r>
      <w:proofErr w:type="spellEnd"/>
      <w:r w:rsidRPr="004822D9">
        <w:t xml:space="preserve"> of the recurrent event process, nor more general time-dependent treatment interventions</w:t>
      </w:r>
    </w:p>
    <w:p w14:paraId="0A9F2002" w14:textId="7AEC8F33" w:rsidR="00566E44" w:rsidRPr="00566E44" w:rsidRDefault="00566E44">
      <w:pPr>
        <w:pStyle w:val="Textocomentario"/>
        <w:rPr>
          <w:lang w:val="en-US"/>
        </w:rPr>
      </w:pPr>
      <w:r>
        <w:rPr>
          <w:lang w:val="en-US"/>
        </w:rPr>
        <w:br/>
      </w:r>
      <w:r w:rsidRPr="00566E44">
        <w:rPr>
          <w:lang w:val="en-US"/>
        </w:rPr>
        <w:t>https://arxiv.org/pdf/2404.01736</w:t>
      </w:r>
    </w:p>
  </w:comment>
  <w:comment w:id="161" w:author="Andrés González Santa Cruz" w:date="2024-05-13T23:06:00Z" w:initials="AG">
    <w:p w14:paraId="13DE2AE1" w14:textId="1261468A" w:rsidR="0018795C" w:rsidRPr="008D0663" w:rsidRDefault="0018795C">
      <w:pPr>
        <w:pStyle w:val="Textocomentario"/>
        <w:rPr>
          <w:lang w:val="en-US"/>
        </w:rPr>
      </w:pPr>
      <w:r>
        <w:rPr>
          <w:rStyle w:val="Refdecomentario"/>
        </w:rPr>
        <w:annotationRef/>
      </w:r>
      <w:r w:rsidRPr="008D0663">
        <w:rPr>
          <w:lang w:val="en-US"/>
        </w:rPr>
        <w:t>First substance used</w:t>
      </w:r>
    </w:p>
  </w:comment>
  <w:comment w:id="167" w:author="Andrés González Santa Cruz" w:date="2024-05-27T19:23:00Z" w:initials="AG">
    <w:p w14:paraId="7FB49DAD" w14:textId="0798F188" w:rsidR="00156FCA" w:rsidRDefault="00156FCA">
      <w:pPr>
        <w:pStyle w:val="Textocomentario"/>
      </w:pPr>
      <w:r>
        <w:rPr>
          <w:rStyle w:val="Refdecomentario"/>
        </w:rPr>
        <w:annotationRef/>
      </w:r>
      <w:r>
        <w:t xml:space="preserve">Hace ruido que sea tan fuerte y la dirección en función del </w:t>
      </w:r>
      <w:proofErr w:type="spellStart"/>
      <w:r>
        <w:t>dropout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C5021" w15:done="0"/>
  <w15:commentEx w15:paraId="46F2F041" w15:done="0"/>
  <w15:commentEx w15:paraId="7B3D7499" w15:done="0"/>
  <w15:commentEx w15:paraId="5D10736D" w15:done="0"/>
  <w15:commentEx w15:paraId="4025BFCA" w15:done="0"/>
  <w15:commentEx w15:paraId="069C911D" w15:done="0"/>
  <w15:commentEx w15:paraId="3DC9D0ED" w15:done="0"/>
  <w15:commentEx w15:paraId="7C07E92C" w15:done="0"/>
  <w15:commentEx w15:paraId="7A1B22F9" w15:done="0"/>
  <w15:commentEx w15:paraId="41A6C81D" w15:done="0"/>
  <w15:commentEx w15:paraId="6EA72BDB" w15:done="0"/>
  <w15:commentEx w15:paraId="53A0852F" w15:done="0"/>
  <w15:commentEx w15:paraId="1C105B3E" w15:done="0"/>
  <w15:commentEx w15:paraId="59A05FA1" w15:done="0"/>
  <w15:commentEx w15:paraId="08F56D6B" w15:done="0"/>
  <w15:commentEx w15:paraId="5A930044" w15:done="0"/>
  <w15:commentEx w15:paraId="091F4852" w15:done="0"/>
  <w15:commentEx w15:paraId="0A9F2002" w15:done="0"/>
  <w15:commentEx w15:paraId="13DE2AE1" w15:done="0"/>
  <w15:commentEx w15:paraId="7FB49D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4619BC" w16cex:dateUtc="2024-05-14T03:07:00Z"/>
  <w16cex:commentExtensible w16cex:durableId="7D1B250C" w16cex:dateUtc="2024-05-20T01:16:00Z"/>
  <w16cex:commentExtensible w16cex:durableId="4FFBF07C" w16cex:dateUtc="2024-05-15T17:46:00Z"/>
  <w16cex:commentExtensible w16cex:durableId="6BE511D5" w16cex:dateUtc="2024-05-14T15:31:00Z"/>
  <w16cex:commentExtensible w16cex:durableId="5C65886F" w16cex:dateUtc="2024-05-15T16:18:00Z"/>
  <w16cex:commentExtensible w16cex:durableId="0CB5D47B" w16cex:dateUtc="2024-05-15T16:19:00Z"/>
  <w16cex:commentExtensible w16cex:durableId="2FFFF239" w16cex:dateUtc="2024-05-16T19:59:00Z"/>
  <w16cex:commentExtensible w16cex:durableId="2C0CCF02" w16cex:dateUtc="2024-05-16T20:02:00Z"/>
  <w16cex:commentExtensible w16cex:durableId="194E2BAA" w16cex:dateUtc="2024-05-17T04:53:00Z"/>
  <w16cex:commentExtensible w16cex:durableId="5E31BBDC" w16cex:dateUtc="2024-05-20T02:01:00Z"/>
  <w16cex:commentExtensible w16cex:durableId="5763A140" w16cex:dateUtc="2024-05-20T02:02:00Z"/>
  <w16cex:commentExtensible w16cex:durableId="384195CC" w16cex:dateUtc="2024-05-19T23:43:00Z"/>
  <w16cex:commentExtensible w16cex:durableId="04FEB9CB" w16cex:dateUtc="2024-05-16T21:22:00Z"/>
  <w16cex:commentExtensible w16cex:durableId="01B2B92F" w16cex:dateUtc="2024-05-21T00:46:00Z"/>
  <w16cex:commentExtensible w16cex:durableId="062749CD" w16cex:dateUtc="2024-05-16T21:53:00Z"/>
  <w16cex:commentExtensible w16cex:durableId="35E38B83" w16cex:dateUtc="2024-05-16T21:26:00Z"/>
  <w16cex:commentExtensible w16cex:durableId="611829E7" w16cex:dateUtc="2024-05-16T21:50:00Z"/>
  <w16cex:commentExtensible w16cex:durableId="5F732571" w16cex:dateUtc="2024-05-16T21:38:00Z"/>
  <w16cex:commentExtensible w16cex:durableId="33639DCD" w16cex:dateUtc="2024-05-14T03:06:00Z"/>
  <w16cex:commentExtensible w16cex:durableId="547BAC19" w16cex:dateUtc="2024-05-27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C5021" w16cid:durableId="004619BC"/>
  <w16cid:commentId w16cid:paraId="46F2F041" w16cid:durableId="7D1B250C"/>
  <w16cid:commentId w16cid:paraId="7B3D7499" w16cid:durableId="4FFBF07C"/>
  <w16cid:commentId w16cid:paraId="5D10736D" w16cid:durableId="6BE511D5"/>
  <w16cid:commentId w16cid:paraId="4025BFCA" w16cid:durableId="5C65886F"/>
  <w16cid:commentId w16cid:paraId="069C911D" w16cid:durableId="0CB5D47B"/>
  <w16cid:commentId w16cid:paraId="3DC9D0ED" w16cid:durableId="2FFFF239"/>
  <w16cid:commentId w16cid:paraId="7C07E92C" w16cid:durableId="2C0CCF02"/>
  <w16cid:commentId w16cid:paraId="7A1B22F9" w16cid:durableId="194E2BAA"/>
  <w16cid:commentId w16cid:paraId="41A6C81D" w16cid:durableId="5E31BBDC"/>
  <w16cid:commentId w16cid:paraId="6EA72BDB" w16cid:durableId="5763A140"/>
  <w16cid:commentId w16cid:paraId="53A0852F" w16cid:durableId="384195CC"/>
  <w16cid:commentId w16cid:paraId="1C105B3E" w16cid:durableId="04FEB9CB"/>
  <w16cid:commentId w16cid:paraId="59A05FA1" w16cid:durableId="01B2B92F"/>
  <w16cid:commentId w16cid:paraId="08F56D6B" w16cid:durableId="062749CD"/>
  <w16cid:commentId w16cid:paraId="5A930044" w16cid:durableId="35E38B83"/>
  <w16cid:commentId w16cid:paraId="091F4852" w16cid:durableId="611829E7"/>
  <w16cid:commentId w16cid:paraId="0A9F2002" w16cid:durableId="5F732571"/>
  <w16cid:commentId w16cid:paraId="13DE2AE1" w16cid:durableId="33639DCD"/>
  <w16cid:commentId w16cid:paraId="7FB49DAD" w16cid:durableId="547BAC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D910A" w14:textId="77777777" w:rsidR="00402E41" w:rsidRDefault="00402E41" w:rsidP="0055708A">
      <w:pPr>
        <w:spacing w:after="0" w:line="240" w:lineRule="auto"/>
      </w:pPr>
      <w:r>
        <w:separator/>
      </w:r>
    </w:p>
  </w:endnote>
  <w:endnote w:type="continuationSeparator" w:id="0">
    <w:p w14:paraId="1F370AB3" w14:textId="77777777" w:rsidR="00402E41" w:rsidRDefault="00402E41"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5595240"/>
      <w:docPartObj>
        <w:docPartGallery w:val="Page Numbers (Bottom of Page)"/>
        <w:docPartUnique/>
      </w:docPartObj>
    </w:sdtPr>
    <w:sdtEndPr>
      <w:rPr>
        <w:noProof/>
      </w:rPr>
    </w:sdtEndPr>
    <w:sdtContent>
      <w:p w14:paraId="604A83E5" w14:textId="79155130" w:rsidR="00261E63" w:rsidRDefault="00261E6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07CCDD7" w14:textId="77777777" w:rsidR="00D92450" w:rsidRDefault="00D92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7C365" w14:textId="77777777" w:rsidR="00402E41" w:rsidRDefault="00402E41" w:rsidP="0055708A">
      <w:pPr>
        <w:spacing w:after="0" w:line="240" w:lineRule="auto"/>
      </w:pPr>
      <w:r>
        <w:separator/>
      </w:r>
    </w:p>
  </w:footnote>
  <w:footnote w:type="continuationSeparator" w:id="0">
    <w:p w14:paraId="0DED207E" w14:textId="77777777" w:rsidR="00402E41" w:rsidRDefault="00402E41"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B1F1A" w14:textId="516F84EF" w:rsidR="00D92450" w:rsidRPr="00A96EE0" w:rsidRDefault="00D92450"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 Fondo de Investigación Intramural </w:t>
    </w:r>
    <w:proofErr w:type="spellStart"/>
    <w:r w:rsidRPr="00A96EE0">
      <w:rPr>
        <w:b/>
        <w:bCs/>
        <w:sz w:val="16"/>
        <w:szCs w:val="16"/>
        <w:lang w:val="es-CL"/>
      </w:rPr>
      <w:t>nDP</w:t>
    </w:r>
    <w:proofErr w:type="spellEnd"/>
  </w:p>
  <w:p w14:paraId="7346EC07" w14:textId="77777777" w:rsidR="00D92450" w:rsidRPr="0055708A" w:rsidRDefault="00D92450">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0F73"/>
    <w:multiLevelType w:val="hybridMultilevel"/>
    <w:tmpl w:val="09EE3778"/>
    <w:lvl w:ilvl="0" w:tplc="E58004EC">
      <w:start w:val="2"/>
      <w:numFmt w:val="bullet"/>
      <w:lvlText w:val="-"/>
      <w:lvlJc w:val="left"/>
      <w:pPr>
        <w:ind w:left="1494" w:hanging="360"/>
      </w:pPr>
      <w:rPr>
        <w:rFonts w:ascii="Verdana" w:eastAsia="Times New Roman" w:hAnsi="Verdana" w:cs="Times New Roman" w:hint="default"/>
      </w:rPr>
    </w:lvl>
    <w:lvl w:ilvl="1" w:tplc="340A0003" w:tentative="1">
      <w:start w:val="1"/>
      <w:numFmt w:val="bullet"/>
      <w:lvlText w:val="o"/>
      <w:lvlJc w:val="left"/>
      <w:pPr>
        <w:ind w:left="2214" w:hanging="360"/>
      </w:pPr>
      <w:rPr>
        <w:rFonts w:ascii="Courier New" w:hAnsi="Courier New" w:cs="Courier New" w:hint="default"/>
      </w:rPr>
    </w:lvl>
    <w:lvl w:ilvl="2" w:tplc="340A0005" w:tentative="1">
      <w:start w:val="1"/>
      <w:numFmt w:val="bullet"/>
      <w:lvlText w:val=""/>
      <w:lvlJc w:val="left"/>
      <w:pPr>
        <w:ind w:left="2934" w:hanging="360"/>
      </w:pPr>
      <w:rPr>
        <w:rFonts w:ascii="Wingdings" w:hAnsi="Wingdings" w:hint="default"/>
      </w:rPr>
    </w:lvl>
    <w:lvl w:ilvl="3" w:tplc="340A0001" w:tentative="1">
      <w:start w:val="1"/>
      <w:numFmt w:val="bullet"/>
      <w:lvlText w:val=""/>
      <w:lvlJc w:val="left"/>
      <w:pPr>
        <w:ind w:left="3654" w:hanging="360"/>
      </w:pPr>
      <w:rPr>
        <w:rFonts w:ascii="Symbol" w:hAnsi="Symbol" w:hint="default"/>
      </w:rPr>
    </w:lvl>
    <w:lvl w:ilvl="4" w:tplc="340A0003" w:tentative="1">
      <w:start w:val="1"/>
      <w:numFmt w:val="bullet"/>
      <w:lvlText w:val="o"/>
      <w:lvlJc w:val="left"/>
      <w:pPr>
        <w:ind w:left="4374" w:hanging="360"/>
      </w:pPr>
      <w:rPr>
        <w:rFonts w:ascii="Courier New" w:hAnsi="Courier New" w:cs="Courier New" w:hint="default"/>
      </w:rPr>
    </w:lvl>
    <w:lvl w:ilvl="5" w:tplc="340A0005" w:tentative="1">
      <w:start w:val="1"/>
      <w:numFmt w:val="bullet"/>
      <w:lvlText w:val=""/>
      <w:lvlJc w:val="left"/>
      <w:pPr>
        <w:ind w:left="5094" w:hanging="360"/>
      </w:pPr>
      <w:rPr>
        <w:rFonts w:ascii="Wingdings" w:hAnsi="Wingdings" w:hint="default"/>
      </w:rPr>
    </w:lvl>
    <w:lvl w:ilvl="6" w:tplc="340A0001" w:tentative="1">
      <w:start w:val="1"/>
      <w:numFmt w:val="bullet"/>
      <w:lvlText w:val=""/>
      <w:lvlJc w:val="left"/>
      <w:pPr>
        <w:ind w:left="5814" w:hanging="360"/>
      </w:pPr>
      <w:rPr>
        <w:rFonts w:ascii="Symbol" w:hAnsi="Symbol" w:hint="default"/>
      </w:rPr>
    </w:lvl>
    <w:lvl w:ilvl="7" w:tplc="340A0003" w:tentative="1">
      <w:start w:val="1"/>
      <w:numFmt w:val="bullet"/>
      <w:lvlText w:val="o"/>
      <w:lvlJc w:val="left"/>
      <w:pPr>
        <w:ind w:left="6534" w:hanging="360"/>
      </w:pPr>
      <w:rPr>
        <w:rFonts w:ascii="Courier New" w:hAnsi="Courier New" w:cs="Courier New" w:hint="default"/>
      </w:rPr>
    </w:lvl>
    <w:lvl w:ilvl="8" w:tplc="340A0005" w:tentative="1">
      <w:start w:val="1"/>
      <w:numFmt w:val="bullet"/>
      <w:lvlText w:val=""/>
      <w:lvlJc w:val="left"/>
      <w:pPr>
        <w:ind w:left="7254" w:hanging="360"/>
      </w:pPr>
      <w:rPr>
        <w:rFonts w:ascii="Wingdings" w:hAnsi="Wingdings" w:hint="default"/>
      </w:rPr>
    </w:lvl>
  </w:abstractNum>
  <w:abstractNum w:abstractNumId="4"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306987"/>
    <w:multiLevelType w:val="hybridMultilevel"/>
    <w:tmpl w:val="51FA4D76"/>
    <w:lvl w:ilvl="0" w:tplc="0C09000B">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7"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4D5910"/>
    <w:multiLevelType w:val="hybridMultilevel"/>
    <w:tmpl w:val="99DAE4F8"/>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1633568E"/>
    <w:multiLevelType w:val="multilevel"/>
    <w:tmpl w:val="B7A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30971"/>
    <w:multiLevelType w:val="hybridMultilevel"/>
    <w:tmpl w:val="41EEC28C"/>
    <w:lvl w:ilvl="0" w:tplc="FFFFFFFF">
      <w:start w:val="1"/>
      <w:numFmt w:val="upperRoman"/>
      <w:lvlText w:val="%1."/>
      <w:lvlJc w:val="right"/>
      <w:pPr>
        <w:ind w:left="107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85D43"/>
    <w:multiLevelType w:val="hybridMultilevel"/>
    <w:tmpl w:val="611E222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C0733EB"/>
    <w:multiLevelType w:val="hybridMultilevel"/>
    <w:tmpl w:val="A6604588"/>
    <w:lvl w:ilvl="0" w:tplc="FFFFFFFF">
      <w:start w:val="1"/>
      <w:numFmt w:val="bullet"/>
      <w:lvlText w:val=""/>
      <w:lvlJc w:val="left"/>
      <w:pPr>
        <w:ind w:left="1069" w:hanging="360"/>
      </w:pPr>
      <w:rPr>
        <w:rFonts w:ascii="Wingdings" w:hAnsi="Wingdings" w:hint="default"/>
      </w:rPr>
    </w:lvl>
    <w:lvl w:ilvl="1" w:tplc="0C09000B">
      <w:start w:val="1"/>
      <w:numFmt w:val="bullet"/>
      <w:lvlText w:val=""/>
      <w:lvlJc w:val="left"/>
      <w:pPr>
        <w:ind w:left="1789" w:hanging="360"/>
      </w:pPr>
      <w:rPr>
        <w:rFonts w:ascii="Wingdings" w:hAnsi="Wingdings"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0A1DF6"/>
    <w:multiLevelType w:val="hybridMultilevel"/>
    <w:tmpl w:val="7AD4B0A0"/>
    <w:lvl w:ilvl="0" w:tplc="0C090013">
      <w:start w:val="1"/>
      <w:numFmt w:val="upperRoman"/>
      <w:lvlText w:val="%1."/>
      <w:lvlJc w:val="right"/>
      <w:pPr>
        <w:ind w:left="107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FC52C3F"/>
    <w:multiLevelType w:val="hybridMultilevel"/>
    <w:tmpl w:val="5E30BF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5F7A7E"/>
    <w:multiLevelType w:val="hybridMultilevel"/>
    <w:tmpl w:val="3210E7F4"/>
    <w:lvl w:ilvl="0" w:tplc="FFBEDDD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478571D"/>
    <w:multiLevelType w:val="multilevel"/>
    <w:tmpl w:val="7BB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D14CB"/>
    <w:multiLevelType w:val="hybridMultilevel"/>
    <w:tmpl w:val="6B144EFC"/>
    <w:lvl w:ilvl="0" w:tplc="FFFFFFFF">
      <w:start w:val="1"/>
      <w:numFmt w:val="bullet"/>
      <w:lvlText w:val=""/>
      <w:lvlJc w:val="left"/>
      <w:pPr>
        <w:ind w:left="720" w:hanging="360"/>
      </w:pPr>
      <w:rPr>
        <w:rFonts w:ascii="Wingdings" w:hAnsi="Wingdings"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26073B"/>
    <w:multiLevelType w:val="multilevel"/>
    <w:tmpl w:val="48A8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87322A0"/>
    <w:multiLevelType w:val="multilevel"/>
    <w:tmpl w:val="162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4478E"/>
    <w:multiLevelType w:val="multilevel"/>
    <w:tmpl w:val="A39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58242">
    <w:abstractNumId w:val="20"/>
  </w:num>
  <w:num w:numId="2" w16cid:durableId="952781302">
    <w:abstractNumId w:val="21"/>
  </w:num>
  <w:num w:numId="3" w16cid:durableId="1568806966">
    <w:abstractNumId w:val="4"/>
  </w:num>
  <w:num w:numId="4" w16cid:durableId="737092438">
    <w:abstractNumId w:val="0"/>
  </w:num>
  <w:num w:numId="5" w16cid:durableId="1775898440">
    <w:abstractNumId w:val="1"/>
  </w:num>
  <w:num w:numId="6" w16cid:durableId="1458598406">
    <w:abstractNumId w:val="11"/>
  </w:num>
  <w:num w:numId="7" w16cid:durableId="1946571805">
    <w:abstractNumId w:val="30"/>
  </w:num>
  <w:num w:numId="8" w16cid:durableId="240408762">
    <w:abstractNumId w:val="2"/>
  </w:num>
  <w:num w:numId="9" w16cid:durableId="1504782430">
    <w:abstractNumId w:val="17"/>
  </w:num>
  <w:num w:numId="10" w16cid:durableId="1971745461">
    <w:abstractNumId w:val="24"/>
  </w:num>
  <w:num w:numId="11" w16cid:durableId="606279175">
    <w:abstractNumId w:val="19"/>
  </w:num>
  <w:num w:numId="12" w16cid:durableId="2118521591">
    <w:abstractNumId w:val="25"/>
  </w:num>
  <w:num w:numId="13" w16cid:durableId="1422488894">
    <w:abstractNumId w:val="15"/>
  </w:num>
  <w:num w:numId="14" w16cid:durableId="2118404050">
    <w:abstractNumId w:val="12"/>
  </w:num>
  <w:num w:numId="15" w16cid:durableId="695079959">
    <w:abstractNumId w:val="14"/>
  </w:num>
  <w:num w:numId="16" w16cid:durableId="517888280">
    <w:abstractNumId w:val="7"/>
  </w:num>
  <w:num w:numId="17" w16cid:durableId="989407970">
    <w:abstractNumId w:val="5"/>
  </w:num>
  <w:num w:numId="18" w16cid:durableId="447355021">
    <w:abstractNumId w:val="8"/>
  </w:num>
  <w:num w:numId="19" w16cid:durableId="1107385771">
    <w:abstractNumId w:val="23"/>
  </w:num>
  <w:num w:numId="20" w16cid:durableId="1574506545">
    <w:abstractNumId w:val="28"/>
  </w:num>
  <w:num w:numId="21" w16cid:durableId="1522743171">
    <w:abstractNumId w:val="16"/>
  </w:num>
  <w:num w:numId="22" w16cid:durableId="1251937138">
    <w:abstractNumId w:val="13"/>
  </w:num>
  <w:num w:numId="23" w16cid:durableId="583689220">
    <w:abstractNumId w:val="22"/>
  </w:num>
  <w:num w:numId="24" w16cid:durableId="1332954921">
    <w:abstractNumId w:val="18"/>
  </w:num>
  <w:num w:numId="25" w16cid:durableId="223682412">
    <w:abstractNumId w:val="6"/>
  </w:num>
  <w:num w:numId="26" w16cid:durableId="294526718">
    <w:abstractNumId w:val="3"/>
  </w:num>
  <w:num w:numId="27" w16cid:durableId="566452357">
    <w:abstractNumId w:val="31"/>
  </w:num>
  <w:num w:numId="28" w16cid:durableId="339048938">
    <w:abstractNumId w:val="26"/>
  </w:num>
  <w:num w:numId="29" w16cid:durableId="868181859">
    <w:abstractNumId w:val="27"/>
  </w:num>
  <w:num w:numId="30" w16cid:durableId="205602831">
    <w:abstractNumId w:val="29"/>
  </w:num>
  <w:num w:numId="31" w16cid:durableId="1271352625">
    <w:abstractNumId w:val="18"/>
  </w:num>
  <w:num w:numId="32" w16cid:durableId="727803504">
    <w:abstractNumId w:val="32"/>
  </w:num>
  <w:num w:numId="33" w16cid:durableId="1785617764">
    <w:abstractNumId w:val="10"/>
  </w:num>
  <w:num w:numId="34" w16cid:durableId="774715119">
    <w:abstractNumId w:val="9"/>
  </w:num>
  <w:num w:numId="35" w16cid:durableId="1725176993">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qwUAZRu9vCwAAAA="/>
  </w:docVars>
  <w:rsids>
    <w:rsidRoot w:val="003C33EB"/>
    <w:rsid w:val="000011AA"/>
    <w:rsid w:val="000033E6"/>
    <w:rsid w:val="0000376B"/>
    <w:rsid w:val="00006A70"/>
    <w:rsid w:val="00006CD1"/>
    <w:rsid w:val="00010E3C"/>
    <w:rsid w:val="000202B0"/>
    <w:rsid w:val="00021370"/>
    <w:rsid w:val="00033096"/>
    <w:rsid w:val="00035AD8"/>
    <w:rsid w:val="0003646F"/>
    <w:rsid w:val="0003668E"/>
    <w:rsid w:val="00036803"/>
    <w:rsid w:val="00036E38"/>
    <w:rsid w:val="0003754C"/>
    <w:rsid w:val="0005400F"/>
    <w:rsid w:val="00086178"/>
    <w:rsid w:val="000903C6"/>
    <w:rsid w:val="00092304"/>
    <w:rsid w:val="000A202A"/>
    <w:rsid w:val="000A5E48"/>
    <w:rsid w:val="000B026F"/>
    <w:rsid w:val="000B293F"/>
    <w:rsid w:val="000B31A1"/>
    <w:rsid w:val="000C2172"/>
    <w:rsid w:val="000C49A8"/>
    <w:rsid w:val="000C4FC1"/>
    <w:rsid w:val="000C558C"/>
    <w:rsid w:val="000E172B"/>
    <w:rsid w:val="000E43FD"/>
    <w:rsid w:val="000F3482"/>
    <w:rsid w:val="000F3879"/>
    <w:rsid w:val="0010174D"/>
    <w:rsid w:val="001036C7"/>
    <w:rsid w:val="00103A32"/>
    <w:rsid w:val="00106AFB"/>
    <w:rsid w:val="001100C9"/>
    <w:rsid w:val="00110B7D"/>
    <w:rsid w:val="001126FC"/>
    <w:rsid w:val="001176F9"/>
    <w:rsid w:val="001207F6"/>
    <w:rsid w:val="00125A8A"/>
    <w:rsid w:val="001337A2"/>
    <w:rsid w:val="00137A3D"/>
    <w:rsid w:val="001436AB"/>
    <w:rsid w:val="001441C2"/>
    <w:rsid w:val="00145022"/>
    <w:rsid w:val="00146A6C"/>
    <w:rsid w:val="00146C65"/>
    <w:rsid w:val="00151A6B"/>
    <w:rsid w:val="00152865"/>
    <w:rsid w:val="00153639"/>
    <w:rsid w:val="00154EE8"/>
    <w:rsid w:val="001551EB"/>
    <w:rsid w:val="00156FCA"/>
    <w:rsid w:val="0015705E"/>
    <w:rsid w:val="00160467"/>
    <w:rsid w:val="00160556"/>
    <w:rsid w:val="00160D95"/>
    <w:rsid w:val="001618CE"/>
    <w:rsid w:val="00161F4B"/>
    <w:rsid w:val="00162E4A"/>
    <w:rsid w:val="001653BC"/>
    <w:rsid w:val="00176248"/>
    <w:rsid w:val="00177787"/>
    <w:rsid w:val="00181667"/>
    <w:rsid w:val="0018487B"/>
    <w:rsid w:val="0018795C"/>
    <w:rsid w:val="00191FC3"/>
    <w:rsid w:val="0019332F"/>
    <w:rsid w:val="00197C3B"/>
    <w:rsid w:val="001A1214"/>
    <w:rsid w:val="001A27C2"/>
    <w:rsid w:val="001A5478"/>
    <w:rsid w:val="001A6372"/>
    <w:rsid w:val="001B305B"/>
    <w:rsid w:val="001B729A"/>
    <w:rsid w:val="001B79DB"/>
    <w:rsid w:val="001C26A3"/>
    <w:rsid w:val="001C5F97"/>
    <w:rsid w:val="001C6146"/>
    <w:rsid w:val="001D5116"/>
    <w:rsid w:val="001E3569"/>
    <w:rsid w:val="001E3793"/>
    <w:rsid w:val="001F3EFD"/>
    <w:rsid w:val="001F7BC9"/>
    <w:rsid w:val="00204D7C"/>
    <w:rsid w:val="002064C4"/>
    <w:rsid w:val="002151BC"/>
    <w:rsid w:val="00225389"/>
    <w:rsid w:val="00225B60"/>
    <w:rsid w:val="00235A22"/>
    <w:rsid w:val="0023633B"/>
    <w:rsid w:val="002432E1"/>
    <w:rsid w:val="002516F4"/>
    <w:rsid w:val="00253C59"/>
    <w:rsid w:val="00255F4B"/>
    <w:rsid w:val="00257DFD"/>
    <w:rsid w:val="0026011F"/>
    <w:rsid w:val="00261E63"/>
    <w:rsid w:val="0026304A"/>
    <w:rsid w:val="00266953"/>
    <w:rsid w:val="00267878"/>
    <w:rsid w:val="00276D66"/>
    <w:rsid w:val="002A0A25"/>
    <w:rsid w:val="002A245D"/>
    <w:rsid w:val="002B1371"/>
    <w:rsid w:val="002B1C26"/>
    <w:rsid w:val="002B6359"/>
    <w:rsid w:val="002B77B2"/>
    <w:rsid w:val="002C3F62"/>
    <w:rsid w:val="002C5C41"/>
    <w:rsid w:val="002C7F31"/>
    <w:rsid w:val="002D07B8"/>
    <w:rsid w:val="002D26C3"/>
    <w:rsid w:val="002D7AEA"/>
    <w:rsid w:val="002E2102"/>
    <w:rsid w:val="002E6CD9"/>
    <w:rsid w:val="002F45E6"/>
    <w:rsid w:val="002F4D05"/>
    <w:rsid w:val="002F6841"/>
    <w:rsid w:val="00306B28"/>
    <w:rsid w:val="00307E7F"/>
    <w:rsid w:val="00310331"/>
    <w:rsid w:val="003121D6"/>
    <w:rsid w:val="00315AF5"/>
    <w:rsid w:val="00315E2C"/>
    <w:rsid w:val="00316CA6"/>
    <w:rsid w:val="00323197"/>
    <w:rsid w:val="00337EE8"/>
    <w:rsid w:val="00345EEB"/>
    <w:rsid w:val="00346897"/>
    <w:rsid w:val="00352678"/>
    <w:rsid w:val="0035574E"/>
    <w:rsid w:val="0035641C"/>
    <w:rsid w:val="00360344"/>
    <w:rsid w:val="00362C6F"/>
    <w:rsid w:val="00364FC8"/>
    <w:rsid w:val="00365234"/>
    <w:rsid w:val="00371C86"/>
    <w:rsid w:val="0037270D"/>
    <w:rsid w:val="00372E8A"/>
    <w:rsid w:val="00372FD2"/>
    <w:rsid w:val="00373204"/>
    <w:rsid w:val="00373896"/>
    <w:rsid w:val="00374F04"/>
    <w:rsid w:val="00376CF9"/>
    <w:rsid w:val="003770AA"/>
    <w:rsid w:val="00380404"/>
    <w:rsid w:val="00381077"/>
    <w:rsid w:val="00384D1F"/>
    <w:rsid w:val="00393891"/>
    <w:rsid w:val="003A18DD"/>
    <w:rsid w:val="003A28DB"/>
    <w:rsid w:val="003A3E5E"/>
    <w:rsid w:val="003B4415"/>
    <w:rsid w:val="003B7325"/>
    <w:rsid w:val="003B7FE0"/>
    <w:rsid w:val="003C33EB"/>
    <w:rsid w:val="003C612D"/>
    <w:rsid w:val="003C6D65"/>
    <w:rsid w:val="003D0950"/>
    <w:rsid w:val="003D6B6F"/>
    <w:rsid w:val="003E351D"/>
    <w:rsid w:val="003E665F"/>
    <w:rsid w:val="003E7BA9"/>
    <w:rsid w:val="003F2426"/>
    <w:rsid w:val="003F2804"/>
    <w:rsid w:val="003F64FA"/>
    <w:rsid w:val="003F6A8C"/>
    <w:rsid w:val="00402E41"/>
    <w:rsid w:val="00403D4C"/>
    <w:rsid w:val="00407087"/>
    <w:rsid w:val="00415FD0"/>
    <w:rsid w:val="00416229"/>
    <w:rsid w:val="0041651E"/>
    <w:rsid w:val="004176A6"/>
    <w:rsid w:val="00421621"/>
    <w:rsid w:val="00423DCC"/>
    <w:rsid w:val="004240DF"/>
    <w:rsid w:val="004244BE"/>
    <w:rsid w:val="00427A4E"/>
    <w:rsid w:val="00427BCA"/>
    <w:rsid w:val="00431963"/>
    <w:rsid w:val="00436828"/>
    <w:rsid w:val="004368B2"/>
    <w:rsid w:val="0044206C"/>
    <w:rsid w:val="00445CB6"/>
    <w:rsid w:val="00447310"/>
    <w:rsid w:val="00450287"/>
    <w:rsid w:val="004547FA"/>
    <w:rsid w:val="00454EF9"/>
    <w:rsid w:val="00464871"/>
    <w:rsid w:val="0046622F"/>
    <w:rsid w:val="00475994"/>
    <w:rsid w:val="004762A1"/>
    <w:rsid w:val="00476D3F"/>
    <w:rsid w:val="004822D9"/>
    <w:rsid w:val="00484616"/>
    <w:rsid w:val="004913A3"/>
    <w:rsid w:val="004A192D"/>
    <w:rsid w:val="004A2DB2"/>
    <w:rsid w:val="004B1483"/>
    <w:rsid w:val="004B2841"/>
    <w:rsid w:val="004B5C02"/>
    <w:rsid w:val="004B6E3E"/>
    <w:rsid w:val="004D3D5E"/>
    <w:rsid w:val="004D43E4"/>
    <w:rsid w:val="004D47FD"/>
    <w:rsid w:val="004D65E9"/>
    <w:rsid w:val="004E406D"/>
    <w:rsid w:val="004E427E"/>
    <w:rsid w:val="004E53CD"/>
    <w:rsid w:val="004F13C0"/>
    <w:rsid w:val="004F62DC"/>
    <w:rsid w:val="004F6F48"/>
    <w:rsid w:val="00511659"/>
    <w:rsid w:val="00514158"/>
    <w:rsid w:val="0051548E"/>
    <w:rsid w:val="00516191"/>
    <w:rsid w:val="00517DAC"/>
    <w:rsid w:val="005229FB"/>
    <w:rsid w:val="00527CAD"/>
    <w:rsid w:val="0053049E"/>
    <w:rsid w:val="00530DEB"/>
    <w:rsid w:val="0053352A"/>
    <w:rsid w:val="005378A7"/>
    <w:rsid w:val="0054108A"/>
    <w:rsid w:val="00542003"/>
    <w:rsid w:val="005479B7"/>
    <w:rsid w:val="00550B5D"/>
    <w:rsid w:val="0055708A"/>
    <w:rsid w:val="00566E44"/>
    <w:rsid w:val="0057147F"/>
    <w:rsid w:val="00573AEC"/>
    <w:rsid w:val="0057505A"/>
    <w:rsid w:val="00577EBC"/>
    <w:rsid w:val="00580C3A"/>
    <w:rsid w:val="0058247C"/>
    <w:rsid w:val="005871E4"/>
    <w:rsid w:val="0059331A"/>
    <w:rsid w:val="00595FE0"/>
    <w:rsid w:val="005A0823"/>
    <w:rsid w:val="005A32AC"/>
    <w:rsid w:val="005A3A70"/>
    <w:rsid w:val="005A47F4"/>
    <w:rsid w:val="005B2F89"/>
    <w:rsid w:val="005B3652"/>
    <w:rsid w:val="005B796C"/>
    <w:rsid w:val="005C27C3"/>
    <w:rsid w:val="005C350D"/>
    <w:rsid w:val="005C5D31"/>
    <w:rsid w:val="005D1F44"/>
    <w:rsid w:val="005D3BA4"/>
    <w:rsid w:val="005D513B"/>
    <w:rsid w:val="005D7F62"/>
    <w:rsid w:val="005E0279"/>
    <w:rsid w:val="005E2B02"/>
    <w:rsid w:val="005E5765"/>
    <w:rsid w:val="005E5E1E"/>
    <w:rsid w:val="005E6FE6"/>
    <w:rsid w:val="005F274E"/>
    <w:rsid w:val="005F2E8A"/>
    <w:rsid w:val="005F454B"/>
    <w:rsid w:val="0060184A"/>
    <w:rsid w:val="006039C6"/>
    <w:rsid w:val="00604674"/>
    <w:rsid w:val="00605479"/>
    <w:rsid w:val="00606783"/>
    <w:rsid w:val="006109BC"/>
    <w:rsid w:val="0061372A"/>
    <w:rsid w:val="006150A9"/>
    <w:rsid w:val="00627936"/>
    <w:rsid w:val="00636201"/>
    <w:rsid w:val="00644E7E"/>
    <w:rsid w:val="006456B8"/>
    <w:rsid w:val="006514D2"/>
    <w:rsid w:val="00654092"/>
    <w:rsid w:val="0066035B"/>
    <w:rsid w:val="00662166"/>
    <w:rsid w:val="00663538"/>
    <w:rsid w:val="00663E0C"/>
    <w:rsid w:val="0066408D"/>
    <w:rsid w:val="006646B8"/>
    <w:rsid w:val="00670169"/>
    <w:rsid w:val="006815EC"/>
    <w:rsid w:val="006841D2"/>
    <w:rsid w:val="006847C7"/>
    <w:rsid w:val="006903D4"/>
    <w:rsid w:val="00690EF9"/>
    <w:rsid w:val="006924CA"/>
    <w:rsid w:val="00695017"/>
    <w:rsid w:val="00696C71"/>
    <w:rsid w:val="006A0CFE"/>
    <w:rsid w:val="006A77D9"/>
    <w:rsid w:val="006B4367"/>
    <w:rsid w:val="006C2A02"/>
    <w:rsid w:val="006C6FAD"/>
    <w:rsid w:val="006D1784"/>
    <w:rsid w:val="006D489E"/>
    <w:rsid w:val="006D4DEC"/>
    <w:rsid w:val="006D6A44"/>
    <w:rsid w:val="006D7BAA"/>
    <w:rsid w:val="006E5313"/>
    <w:rsid w:val="006E6DCC"/>
    <w:rsid w:val="006E740F"/>
    <w:rsid w:val="006F00FF"/>
    <w:rsid w:val="006F1B37"/>
    <w:rsid w:val="006F2085"/>
    <w:rsid w:val="006F399C"/>
    <w:rsid w:val="006F4BAB"/>
    <w:rsid w:val="006F6185"/>
    <w:rsid w:val="006F7E51"/>
    <w:rsid w:val="006F7F98"/>
    <w:rsid w:val="00705212"/>
    <w:rsid w:val="00712A20"/>
    <w:rsid w:val="00714486"/>
    <w:rsid w:val="00715CDB"/>
    <w:rsid w:val="00716373"/>
    <w:rsid w:val="00721D2B"/>
    <w:rsid w:val="0072777D"/>
    <w:rsid w:val="00731E2B"/>
    <w:rsid w:val="007326F9"/>
    <w:rsid w:val="00734381"/>
    <w:rsid w:val="007430A7"/>
    <w:rsid w:val="0074310C"/>
    <w:rsid w:val="00743F99"/>
    <w:rsid w:val="00744590"/>
    <w:rsid w:val="00746E5E"/>
    <w:rsid w:val="007502A0"/>
    <w:rsid w:val="00750A10"/>
    <w:rsid w:val="0075223D"/>
    <w:rsid w:val="00757F56"/>
    <w:rsid w:val="00760C1C"/>
    <w:rsid w:val="00763E4F"/>
    <w:rsid w:val="00767BDB"/>
    <w:rsid w:val="0077022A"/>
    <w:rsid w:val="00777E16"/>
    <w:rsid w:val="00783219"/>
    <w:rsid w:val="00784BFA"/>
    <w:rsid w:val="007904C9"/>
    <w:rsid w:val="007A652B"/>
    <w:rsid w:val="007A6665"/>
    <w:rsid w:val="007A71FA"/>
    <w:rsid w:val="007B6981"/>
    <w:rsid w:val="007B6F12"/>
    <w:rsid w:val="007C1B43"/>
    <w:rsid w:val="007D1943"/>
    <w:rsid w:val="007E65FE"/>
    <w:rsid w:val="0080589C"/>
    <w:rsid w:val="00812040"/>
    <w:rsid w:val="008128D8"/>
    <w:rsid w:val="00815BAF"/>
    <w:rsid w:val="008204A5"/>
    <w:rsid w:val="008258E8"/>
    <w:rsid w:val="00830795"/>
    <w:rsid w:val="008346BC"/>
    <w:rsid w:val="00846E19"/>
    <w:rsid w:val="00851DFD"/>
    <w:rsid w:val="008522D4"/>
    <w:rsid w:val="008542A0"/>
    <w:rsid w:val="00855FD3"/>
    <w:rsid w:val="008563D6"/>
    <w:rsid w:val="00861384"/>
    <w:rsid w:val="008658D0"/>
    <w:rsid w:val="00867ACD"/>
    <w:rsid w:val="008735BE"/>
    <w:rsid w:val="008773DF"/>
    <w:rsid w:val="00881F63"/>
    <w:rsid w:val="00883BB5"/>
    <w:rsid w:val="008848B9"/>
    <w:rsid w:val="00886CB9"/>
    <w:rsid w:val="00890E5F"/>
    <w:rsid w:val="00892671"/>
    <w:rsid w:val="008948E7"/>
    <w:rsid w:val="00896043"/>
    <w:rsid w:val="00896094"/>
    <w:rsid w:val="008A05C2"/>
    <w:rsid w:val="008A0A7F"/>
    <w:rsid w:val="008A12BF"/>
    <w:rsid w:val="008A3020"/>
    <w:rsid w:val="008A4DE2"/>
    <w:rsid w:val="008B00A4"/>
    <w:rsid w:val="008B4880"/>
    <w:rsid w:val="008B6213"/>
    <w:rsid w:val="008B7475"/>
    <w:rsid w:val="008C06DD"/>
    <w:rsid w:val="008C44D9"/>
    <w:rsid w:val="008D0663"/>
    <w:rsid w:val="008D148C"/>
    <w:rsid w:val="008D37C4"/>
    <w:rsid w:val="008D79A4"/>
    <w:rsid w:val="008E4848"/>
    <w:rsid w:val="008E715B"/>
    <w:rsid w:val="008E73BE"/>
    <w:rsid w:val="008F7B7E"/>
    <w:rsid w:val="00903C38"/>
    <w:rsid w:val="009109BF"/>
    <w:rsid w:val="00912DAB"/>
    <w:rsid w:val="00914613"/>
    <w:rsid w:val="009179A5"/>
    <w:rsid w:val="0092194A"/>
    <w:rsid w:val="009271C7"/>
    <w:rsid w:val="00932FED"/>
    <w:rsid w:val="00935A5D"/>
    <w:rsid w:val="00935FF5"/>
    <w:rsid w:val="00942F10"/>
    <w:rsid w:val="00947004"/>
    <w:rsid w:val="00951FF6"/>
    <w:rsid w:val="00954C00"/>
    <w:rsid w:val="00956B8C"/>
    <w:rsid w:val="0096011C"/>
    <w:rsid w:val="009657DB"/>
    <w:rsid w:val="00966AF0"/>
    <w:rsid w:val="00967AB4"/>
    <w:rsid w:val="0097217E"/>
    <w:rsid w:val="00977A0D"/>
    <w:rsid w:val="0098434D"/>
    <w:rsid w:val="009933B6"/>
    <w:rsid w:val="009B0E31"/>
    <w:rsid w:val="009B1961"/>
    <w:rsid w:val="009B4100"/>
    <w:rsid w:val="009C1122"/>
    <w:rsid w:val="009C144D"/>
    <w:rsid w:val="009C4C36"/>
    <w:rsid w:val="009D13CF"/>
    <w:rsid w:val="009D4844"/>
    <w:rsid w:val="009D6DE0"/>
    <w:rsid w:val="009E1ACA"/>
    <w:rsid w:val="009F4940"/>
    <w:rsid w:val="009F4E03"/>
    <w:rsid w:val="009F7FE4"/>
    <w:rsid w:val="00A01AC9"/>
    <w:rsid w:val="00A0306D"/>
    <w:rsid w:val="00A107B2"/>
    <w:rsid w:val="00A1623C"/>
    <w:rsid w:val="00A17C1D"/>
    <w:rsid w:val="00A217DF"/>
    <w:rsid w:val="00A22DC3"/>
    <w:rsid w:val="00A259E3"/>
    <w:rsid w:val="00A30718"/>
    <w:rsid w:val="00A3228D"/>
    <w:rsid w:val="00A3264C"/>
    <w:rsid w:val="00A4117F"/>
    <w:rsid w:val="00A41501"/>
    <w:rsid w:val="00A46608"/>
    <w:rsid w:val="00A468AF"/>
    <w:rsid w:val="00A51E4D"/>
    <w:rsid w:val="00A53D5E"/>
    <w:rsid w:val="00A544AD"/>
    <w:rsid w:val="00A5599F"/>
    <w:rsid w:val="00A630A2"/>
    <w:rsid w:val="00A85632"/>
    <w:rsid w:val="00A912ED"/>
    <w:rsid w:val="00A95048"/>
    <w:rsid w:val="00A951B8"/>
    <w:rsid w:val="00A96EE0"/>
    <w:rsid w:val="00AA0794"/>
    <w:rsid w:val="00AA2415"/>
    <w:rsid w:val="00AA55DE"/>
    <w:rsid w:val="00AB386F"/>
    <w:rsid w:val="00AB51B3"/>
    <w:rsid w:val="00AB53F2"/>
    <w:rsid w:val="00AB709B"/>
    <w:rsid w:val="00AC178C"/>
    <w:rsid w:val="00AC3F81"/>
    <w:rsid w:val="00AC4D23"/>
    <w:rsid w:val="00AD4367"/>
    <w:rsid w:val="00AF3462"/>
    <w:rsid w:val="00AF407A"/>
    <w:rsid w:val="00AF44CC"/>
    <w:rsid w:val="00AF6352"/>
    <w:rsid w:val="00B03A5F"/>
    <w:rsid w:val="00B0570E"/>
    <w:rsid w:val="00B1339E"/>
    <w:rsid w:val="00B142EF"/>
    <w:rsid w:val="00B22120"/>
    <w:rsid w:val="00B255F1"/>
    <w:rsid w:val="00B30AFF"/>
    <w:rsid w:val="00B40E37"/>
    <w:rsid w:val="00B428E7"/>
    <w:rsid w:val="00B44FE0"/>
    <w:rsid w:val="00B45A63"/>
    <w:rsid w:val="00B54A5A"/>
    <w:rsid w:val="00B54FB6"/>
    <w:rsid w:val="00B565B5"/>
    <w:rsid w:val="00B5699F"/>
    <w:rsid w:val="00B63C0D"/>
    <w:rsid w:val="00B655FF"/>
    <w:rsid w:val="00B659EB"/>
    <w:rsid w:val="00B74EF9"/>
    <w:rsid w:val="00B8118A"/>
    <w:rsid w:val="00B8268F"/>
    <w:rsid w:val="00B84DE5"/>
    <w:rsid w:val="00B850CA"/>
    <w:rsid w:val="00B91C39"/>
    <w:rsid w:val="00B9294B"/>
    <w:rsid w:val="00B95494"/>
    <w:rsid w:val="00BA0C7D"/>
    <w:rsid w:val="00BA0F27"/>
    <w:rsid w:val="00BB0CF8"/>
    <w:rsid w:val="00BB1539"/>
    <w:rsid w:val="00BB2868"/>
    <w:rsid w:val="00BB415E"/>
    <w:rsid w:val="00BC3978"/>
    <w:rsid w:val="00BC4859"/>
    <w:rsid w:val="00BC6838"/>
    <w:rsid w:val="00BC6C79"/>
    <w:rsid w:val="00BD5F13"/>
    <w:rsid w:val="00BD6BF3"/>
    <w:rsid w:val="00BD6D2D"/>
    <w:rsid w:val="00BE0F0F"/>
    <w:rsid w:val="00BE18D6"/>
    <w:rsid w:val="00BE2802"/>
    <w:rsid w:val="00BE36CB"/>
    <w:rsid w:val="00BE4739"/>
    <w:rsid w:val="00BE4908"/>
    <w:rsid w:val="00BF29D5"/>
    <w:rsid w:val="00BF2ED0"/>
    <w:rsid w:val="00BF696D"/>
    <w:rsid w:val="00C015B1"/>
    <w:rsid w:val="00C01DE0"/>
    <w:rsid w:val="00C022B2"/>
    <w:rsid w:val="00C06687"/>
    <w:rsid w:val="00C123F8"/>
    <w:rsid w:val="00C13114"/>
    <w:rsid w:val="00C16A50"/>
    <w:rsid w:val="00C1743E"/>
    <w:rsid w:val="00C17DE8"/>
    <w:rsid w:val="00C2284B"/>
    <w:rsid w:val="00C23ABE"/>
    <w:rsid w:val="00C24106"/>
    <w:rsid w:val="00C2596D"/>
    <w:rsid w:val="00C26B33"/>
    <w:rsid w:val="00C3312D"/>
    <w:rsid w:val="00C41313"/>
    <w:rsid w:val="00C4381B"/>
    <w:rsid w:val="00C5027D"/>
    <w:rsid w:val="00C52817"/>
    <w:rsid w:val="00C5430D"/>
    <w:rsid w:val="00C563B2"/>
    <w:rsid w:val="00C57582"/>
    <w:rsid w:val="00C622D1"/>
    <w:rsid w:val="00C73988"/>
    <w:rsid w:val="00C8198A"/>
    <w:rsid w:val="00C826B0"/>
    <w:rsid w:val="00C86DE9"/>
    <w:rsid w:val="00C86E7D"/>
    <w:rsid w:val="00C92769"/>
    <w:rsid w:val="00C92E43"/>
    <w:rsid w:val="00C944E1"/>
    <w:rsid w:val="00C95BA3"/>
    <w:rsid w:val="00C96D23"/>
    <w:rsid w:val="00CA2C8F"/>
    <w:rsid w:val="00CA4553"/>
    <w:rsid w:val="00CA4A95"/>
    <w:rsid w:val="00CA7FD0"/>
    <w:rsid w:val="00CB0B1C"/>
    <w:rsid w:val="00CB32EE"/>
    <w:rsid w:val="00CB3E29"/>
    <w:rsid w:val="00CB7043"/>
    <w:rsid w:val="00CC0DB9"/>
    <w:rsid w:val="00CC323A"/>
    <w:rsid w:val="00CC38A2"/>
    <w:rsid w:val="00CC4DE8"/>
    <w:rsid w:val="00CE11C6"/>
    <w:rsid w:val="00CE151D"/>
    <w:rsid w:val="00CE263F"/>
    <w:rsid w:val="00CF1845"/>
    <w:rsid w:val="00CF2708"/>
    <w:rsid w:val="00CF5524"/>
    <w:rsid w:val="00CF5BA7"/>
    <w:rsid w:val="00CF6B9E"/>
    <w:rsid w:val="00D0249B"/>
    <w:rsid w:val="00D02E50"/>
    <w:rsid w:val="00D0477D"/>
    <w:rsid w:val="00D056E5"/>
    <w:rsid w:val="00D05ED8"/>
    <w:rsid w:val="00D066EA"/>
    <w:rsid w:val="00D07249"/>
    <w:rsid w:val="00D10602"/>
    <w:rsid w:val="00D10A1C"/>
    <w:rsid w:val="00D24A42"/>
    <w:rsid w:val="00D33B61"/>
    <w:rsid w:val="00D372CF"/>
    <w:rsid w:val="00D40106"/>
    <w:rsid w:val="00D40252"/>
    <w:rsid w:val="00D45A6D"/>
    <w:rsid w:val="00D45ECA"/>
    <w:rsid w:val="00D4707D"/>
    <w:rsid w:val="00D50121"/>
    <w:rsid w:val="00D51219"/>
    <w:rsid w:val="00D52903"/>
    <w:rsid w:val="00D53D3C"/>
    <w:rsid w:val="00D57309"/>
    <w:rsid w:val="00D6219A"/>
    <w:rsid w:val="00D621B7"/>
    <w:rsid w:val="00D70E58"/>
    <w:rsid w:val="00D75813"/>
    <w:rsid w:val="00D75C2C"/>
    <w:rsid w:val="00D764E1"/>
    <w:rsid w:val="00D76889"/>
    <w:rsid w:val="00D80387"/>
    <w:rsid w:val="00D83D8C"/>
    <w:rsid w:val="00D84FBB"/>
    <w:rsid w:val="00D92450"/>
    <w:rsid w:val="00D95756"/>
    <w:rsid w:val="00D97727"/>
    <w:rsid w:val="00DA0CC1"/>
    <w:rsid w:val="00DA3B40"/>
    <w:rsid w:val="00DA42CA"/>
    <w:rsid w:val="00DA56B4"/>
    <w:rsid w:val="00DA6408"/>
    <w:rsid w:val="00DB5AAC"/>
    <w:rsid w:val="00DC3ACC"/>
    <w:rsid w:val="00DC4AB9"/>
    <w:rsid w:val="00DD2979"/>
    <w:rsid w:val="00DE13FF"/>
    <w:rsid w:val="00DE51DF"/>
    <w:rsid w:val="00DE5CEB"/>
    <w:rsid w:val="00DF4513"/>
    <w:rsid w:val="00DF55F2"/>
    <w:rsid w:val="00E01261"/>
    <w:rsid w:val="00E020C1"/>
    <w:rsid w:val="00E100B0"/>
    <w:rsid w:val="00E12B39"/>
    <w:rsid w:val="00E13E00"/>
    <w:rsid w:val="00E1595E"/>
    <w:rsid w:val="00E22968"/>
    <w:rsid w:val="00E254DC"/>
    <w:rsid w:val="00E3253B"/>
    <w:rsid w:val="00E32CB8"/>
    <w:rsid w:val="00E32EB9"/>
    <w:rsid w:val="00E33143"/>
    <w:rsid w:val="00E53F5F"/>
    <w:rsid w:val="00E54086"/>
    <w:rsid w:val="00E54D88"/>
    <w:rsid w:val="00E64DB5"/>
    <w:rsid w:val="00E66F2C"/>
    <w:rsid w:val="00E71A99"/>
    <w:rsid w:val="00E7660F"/>
    <w:rsid w:val="00E773EE"/>
    <w:rsid w:val="00E8151E"/>
    <w:rsid w:val="00E839E2"/>
    <w:rsid w:val="00E83B91"/>
    <w:rsid w:val="00E9072C"/>
    <w:rsid w:val="00E91325"/>
    <w:rsid w:val="00E93B18"/>
    <w:rsid w:val="00EA13B8"/>
    <w:rsid w:val="00EA2255"/>
    <w:rsid w:val="00EA47AA"/>
    <w:rsid w:val="00EA6776"/>
    <w:rsid w:val="00EA7148"/>
    <w:rsid w:val="00EB30F2"/>
    <w:rsid w:val="00EB4460"/>
    <w:rsid w:val="00EB4F0F"/>
    <w:rsid w:val="00EB6721"/>
    <w:rsid w:val="00EB67E2"/>
    <w:rsid w:val="00EB772A"/>
    <w:rsid w:val="00EC087E"/>
    <w:rsid w:val="00EC117A"/>
    <w:rsid w:val="00EC3A78"/>
    <w:rsid w:val="00EC7200"/>
    <w:rsid w:val="00EC7225"/>
    <w:rsid w:val="00ED1CCE"/>
    <w:rsid w:val="00ED3091"/>
    <w:rsid w:val="00ED5066"/>
    <w:rsid w:val="00EE6C8C"/>
    <w:rsid w:val="00EE7088"/>
    <w:rsid w:val="00EE78EA"/>
    <w:rsid w:val="00EF084C"/>
    <w:rsid w:val="00EF27D8"/>
    <w:rsid w:val="00EF4859"/>
    <w:rsid w:val="00F00426"/>
    <w:rsid w:val="00F00B98"/>
    <w:rsid w:val="00F02D0D"/>
    <w:rsid w:val="00F07EA1"/>
    <w:rsid w:val="00F10E07"/>
    <w:rsid w:val="00F11606"/>
    <w:rsid w:val="00F11FC6"/>
    <w:rsid w:val="00F14A8C"/>
    <w:rsid w:val="00F15600"/>
    <w:rsid w:val="00F16E2A"/>
    <w:rsid w:val="00F21E8C"/>
    <w:rsid w:val="00F22E14"/>
    <w:rsid w:val="00F236F3"/>
    <w:rsid w:val="00F27674"/>
    <w:rsid w:val="00F30A6B"/>
    <w:rsid w:val="00F33E66"/>
    <w:rsid w:val="00F36973"/>
    <w:rsid w:val="00F4019E"/>
    <w:rsid w:val="00F40227"/>
    <w:rsid w:val="00F432D3"/>
    <w:rsid w:val="00F43740"/>
    <w:rsid w:val="00F44A07"/>
    <w:rsid w:val="00F4612F"/>
    <w:rsid w:val="00F5231A"/>
    <w:rsid w:val="00F55E67"/>
    <w:rsid w:val="00F560AF"/>
    <w:rsid w:val="00F56CF1"/>
    <w:rsid w:val="00F8187F"/>
    <w:rsid w:val="00F826B2"/>
    <w:rsid w:val="00F8288B"/>
    <w:rsid w:val="00F87721"/>
    <w:rsid w:val="00F93652"/>
    <w:rsid w:val="00F93D16"/>
    <w:rsid w:val="00F97C12"/>
    <w:rsid w:val="00FA386E"/>
    <w:rsid w:val="00FA4F8B"/>
    <w:rsid w:val="00FA7D40"/>
    <w:rsid w:val="00FB1B57"/>
    <w:rsid w:val="00FB3C00"/>
    <w:rsid w:val="00FC2482"/>
    <w:rsid w:val="00FC25A0"/>
    <w:rsid w:val="00FD598A"/>
    <w:rsid w:val="00FE12E7"/>
    <w:rsid w:val="00FE7DD2"/>
    <w:rsid w:val="00FF0B46"/>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A4"/>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unhideWhenUsed/>
    <w:qFormat/>
    <w:rsid w:val="00B54FB6"/>
    <w:pPr>
      <w:keepNext/>
      <w:keepLines/>
      <w:spacing w:before="40" w:after="0"/>
      <w:outlineLvl w:val="1"/>
    </w:pPr>
    <w:rPr>
      <w:rFonts w:eastAsiaTheme="majorEastAsia" w:cstheme="majorBidi"/>
      <w:color w:val="2F5496" w:themeColor="accent1" w:themeShade="BF"/>
      <w:szCs w:val="20"/>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8A05C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B54FB6"/>
    <w:rPr>
      <w:rFonts w:ascii="Verdana" w:eastAsiaTheme="majorEastAsia" w:hAnsi="Verdana" w:cstheme="majorBidi"/>
      <w:color w:val="2F5496" w:themeColor="accent1" w:themeShade="BF"/>
      <w:sz w:val="20"/>
      <w:szCs w:val="20"/>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42F10"/>
    <w:pPr>
      <w:spacing w:after="0" w:line="240" w:lineRule="auto"/>
    </w:pPr>
    <w:rPr>
      <w:szCs w:val="20"/>
    </w:rPr>
  </w:style>
  <w:style w:type="character" w:customStyle="1" w:styleId="TextonotapieCar">
    <w:name w:val="Texto nota pie Car"/>
    <w:basedOn w:val="Fuentedeprrafopredeter"/>
    <w:link w:val="Textonotapie"/>
    <w:uiPriority w:val="99"/>
    <w:semiHidden/>
    <w:rsid w:val="00942F10"/>
    <w:rPr>
      <w:rFonts w:ascii="Verdana" w:hAnsi="Verdana"/>
      <w:sz w:val="20"/>
      <w:szCs w:val="20"/>
    </w:rPr>
  </w:style>
  <w:style w:type="character" w:styleId="Refdenotaalpie">
    <w:name w:val="footnote reference"/>
    <w:basedOn w:val="Fuentedeprrafopredeter"/>
    <w:uiPriority w:val="99"/>
    <w:semiHidden/>
    <w:unhideWhenUsed/>
    <w:rsid w:val="00942F10"/>
    <w:rPr>
      <w:vertAlign w:val="superscript"/>
    </w:rPr>
  </w:style>
  <w:style w:type="paragraph" w:styleId="Descripcin">
    <w:name w:val="caption"/>
    <w:basedOn w:val="Normal"/>
    <w:next w:val="Normal"/>
    <w:uiPriority w:val="35"/>
    <w:unhideWhenUsed/>
    <w:qFormat/>
    <w:rsid w:val="00942F10"/>
    <w:pPr>
      <w:spacing w:after="200" w:line="240" w:lineRule="auto"/>
    </w:pPr>
    <w:rPr>
      <w:i/>
      <w:iCs/>
      <w:color w:val="44546A" w:themeColor="text2"/>
      <w:sz w:val="18"/>
      <w:szCs w:val="18"/>
    </w:rPr>
  </w:style>
  <w:style w:type="paragraph" w:customStyle="1" w:styleId="paragraph">
    <w:name w:val="paragraph"/>
    <w:basedOn w:val="Normal"/>
    <w:rsid w:val="00006A70"/>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normaltextrun">
    <w:name w:val="normaltextrun"/>
    <w:basedOn w:val="Fuentedeprrafopredeter"/>
    <w:rsid w:val="00006A70"/>
  </w:style>
  <w:style w:type="character" w:customStyle="1" w:styleId="eop">
    <w:name w:val="eop"/>
    <w:basedOn w:val="Fuentedeprrafopredeter"/>
    <w:rsid w:val="00006A70"/>
  </w:style>
  <w:style w:type="character" w:customStyle="1" w:styleId="author">
    <w:name w:val="author"/>
    <w:basedOn w:val="Fuentedeprrafopredeter"/>
    <w:rsid w:val="00316CA6"/>
  </w:style>
  <w:style w:type="character" w:customStyle="1" w:styleId="articletitle">
    <w:name w:val="articletitle"/>
    <w:basedOn w:val="Fuentedeprrafopredeter"/>
    <w:rsid w:val="00316CA6"/>
  </w:style>
  <w:style w:type="character" w:customStyle="1" w:styleId="pubyear">
    <w:name w:val="pubyear"/>
    <w:basedOn w:val="Fuentedeprrafopredeter"/>
    <w:rsid w:val="00316CA6"/>
  </w:style>
  <w:style w:type="character" w:customStyle="1" w:styleId="vol">
    <w:name w:val="vol"/>
    <w:basedOn w:val="Fuentedeprrafopredeter"/>
    <w:rsid w:val="00316CA6"/>
  </w:style>
  <w:style w:type="character" w:customStyle="1" w:styleId="pagefirst">
    <w:name w:val="pagefirst"/>
    <w:basedOn w:val="Fuentedeprrafopredeter"/>
    <w:rsid w:val="00316CA6"/>
  </w:style>
  <w:style w:type="character" w:customStyle="1" w:styleId="pagelast">
    <w:name w:val="pagelast"/>
    <w:basedOn w:val="Fuentedeprrafopredeter"/>
    <w:rsid w:val="00316CA6"/>
  </w:style>
  <w:style w:type="paragraph" w:styleId="TtuloTDC">
    <w:name w:val="TOC Heading"/>
    <w:basedOn w:val="Ttulo1"/>
    <w:next w:val="Normal"/>
    <w:uiPriority w:val="39"/>
    <w:unhideWhenUsed/>
    <w:qFormat/>
    <w:rsid w:val="00261E6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A259E3"/>
    <w:pPr>
      <w:tabs>
        <w:tab w:val="left" w:pos="440"/>
        <w:tab w:val="right" w:leader="dot" w:pos="10194"/>
      </w:tabs>
      <w:spacing w:after="100"/>
    </w:pPr>
  </w:style>
  <w:style w:type="character" w:styleId="Textodelmarcadordeposicin">
    <w:name w:val="Placeholder Text"/>
    <w:basedOn w:val="Fuentedeprrafopredeter"/>
    <w:uiPriority w:val="99"/>
    <w:semiHidden/>
    <w:rsid w:val="00A107B2"/>
    <w:rPr>
      <w:color w:val="666666"/>
    </w:rPr>
  </w:style>
  <w:style w:type="paragraph" w:styleId="Bibliografa">
    <w:name w:val="Bibliography"/>
    <w:basedOn w:val="Normal"/>
    <w:next w:val="Normal"/>
    <w:uiPriority w:val="37"/>
    <w:unhideWhenUsed/>
    <w:rsid w:val="00830795"/>
    <w:pPr>
      <w:spacing w:after="0" w:line="480" w:lineRule="auto"/>
      <w:ind w:left="720" w:hanging="720"/>
    </w:pPr>
  </w:style>
  <w:style w:type="paragraph" w:styleId="TDC2">
    <w:name w:val="toc 2"/>
    <w:basedOn w:val="Normal"/>
    <w:next w:val="Normal"/>
    <w:autoRedefine/>
    <w:uiPriority w:val="39"/>
    <w:unhideWhenUsed/>
    <w:rsid w:val="00A259E3"/>
    <w:pPr>
      <w:spacing w:after="100"/>
      <w:ind w:left="200"/>
    </w:pPr>
  </w:style>
  <w:style w:type="character" w:customStyle="1" w:styleId="Ttulo6Car">
    <w:name w:val="Título 6 Car"/>
    <w:basedOn w:val="Fuentedeprrafopredeter"/>
    <w:link w:val="Ttulo6"/>
    <w:uiPriority w:val="9"/>
    <w:semiHidden/>
    <w:rsid w:val="008A05C2"/>
    <w:rPr>
      <w:rFonts w:asciiTheme="majorHAnsi" w:eastAsiaTheme="majorEastAsia" w:hAnsiTheme="majorHAnsi" w:cstheme="majorBidi"/>
      <w:color w:val="1F3763" w:themeColor="accent1" w:themeShade="7F"/>
      <w:sz w:val="20"/>
    </w:rPr>
  </w:style>
  <w:style w:type="paragraph" w:styleId="Textoindependiente">
    <w:name w:val="Body Text"/>
    <w:basedOn w:val="Normal"/>
    <w:link w:val="TextoindependienteCar"/>
    <w:uiPriority w:val="99"/>
    <w:semiHidden/>
    <w:unhideWhenUsed/>
    <w:rsid w:val="00B659EB"/>
    <w:pPr>
      <w:spacing w:after="120"/>
    </w:pPr>
  </w:style>
  <w:style w:type="character" w:customStyle="1" w:styleId="TextoindependienteCar">
    <w:name w:val="Texto independiente Car"/>
    <w:basedOn w:val="Fuentedeprrafopredeter"/>
    <w:link w:val="Textoindependiente"/>
    <w:uiPriority w:val="99"/>
    <w:semiHidden/>
    <w:rsid w:val="00B659EB"/>
    <w:rPr>
      <w:rFonts w:ascii="Verdana" w:hAnsi="Verdana"/>
      <w:sz w:val="20"/>
    </w:rPr>
  </w:style>
  <w:style w:type="paragraph" w:styleId="Textoindependienteprimerasangra">
    <w:name w:val="Body Text First Indent"/>
    <w:basedOn w:val="Textoindependiente"/>
    <w:link w:val="TextoindependienteprimerasangraCar"/>
    <w:uiPriority w:val="99"/>
    <w:semiHidden/>
    <w:unhideWhenUsed/>
    <w:rsid w:val="00B659EB"/>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659E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284">
      <w:bodyDiv w:val="1"/>
      <w:marLeft w:val="0"/>
      <w:marRight w:val="0"/>
      <w:marTop w:val="0"/>
      <w:marBottom w:val="0"/>
      <w:divBdr>
        <w:top w:val="none" w:sz="0" w:space="0" w:color="auto"/>
        <w:left w:val="none" w:sz="0" w:space="0" w:color="auto"/>
        <w:bottom w:val="none" w:sz="0" w:space="0" w:color="auto"/>
        <w:right w:val="none" w:sz="0" w:space="0" w:color="auto"/>
      </w:divBdr>
    </w:div>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43216071">
      <w:bodyDiv w:val="1"/>
      <w:marLeft w:val="0"/>
      <w:marRight w:val="0"/>
      <w:marTop w:val="0"/>
      <w:marBottom w:val="0"/>
      <w:divBdr>
        <w:top w:val="none" w:sz="0" w:space="0" w:color="auto"/>
        <w:left w:val="none" w:sz="0" w:space="0" w:color="auto"/>
        <w:bottom w:val="none" w:sz="0" w:space="0" w:color="auto"/>
        <w:right w:val="none" w:sz="0" w:space="0" w:color="auto"/>
      </w:divBdr>
    </w:div>
    <w:div w:id="49114535">
      <w:bodyDiv w:val="1"/>
      <w:marLeft w:val="0"/>
      <w:marRight w:val="0"/>
      <w:marTop w:val="0"/>
      <w:marBottom w:val="0"/>
      <w:divBdr>
        <w:top w:val="none" w:sz="0" w:space="0" w:color="auto"/>
        <w:left w:val="none" w:sz="0" w:space="0" w:color="auto"/>
        <w:bottom w:val="none" w:sz="0" w:space="0" w:color="auto"/>
        <w:right w:val="none" w:sz="0" w:space="0" w:color="auto"/>
      </w:divBdr>
    </w:div>
    <w:div w:id="53436818">
      <w:bodyDiv w:val="1"/>
      <w:marLeft w:val="0"/>
      <w:marRight w:val="0"/>
      <w:marTop w:val="0"/>
      <w:marBottom w:val="0"/>
      <w:divBdr>
        <w:top w:val="none" w:sz="0" w:space="0" w:color="auto"/>
        <w:left w:val="none" w:sz="0" w:space="0" w:color="auto"/>
        <w:bottom w:val="none" w:sz="0" w:space="0" w:color="auto"/>
        <w:right w:val="none" w:sz="0" w:space="0" w:color="auto"/>
      </w:divBdr>
    </w:div>
    <w:div w:id="75445037">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90126089">
      <w:bodyDiv w:val="1"/>
      <w:marLeft w:val="0"/>
      <w:marRight w:val="0"/>
      <w:marTop w:val="0"/>
      <w:marBottom w:val="0"/>
      <w:divBdr>
        <w:top w:val="none" w:sz="0" w:space="0" w:color="auto"/>
        <w:left w:val="none" w:sz="0" w:space="0" w:color="auto"/>
        <w:bottom w:val="none" w:sz="0" w:space="0" w:color="auto"/>
        <w:right w:val="none" w:sz="0" w:space="0" w:color="auto"/>
      </w:divBdr>
    </w:div>
    <w:div w:id="112944924">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93924864">
      <w:bodyDiv w:val="1"/>
      <w:marLeft w:val="0"/>
      <w:marRight w:val="0"/>
      <w:marTop w:val="0"/>
      <w:marBottom w:val="0"/>
      <w:divBdr>
        <w:top w:val="none" w:sz="0" w:space="0" w:color="auto"/>
        <w:left w:val="none" w:sz="0" w:space="0" w:color="auto"/>
        <w:bottom w:val="none" w:sz="0" w:space="0" w:color="auto"/>
        <w:right w:val="none" w:sz="0" w:space="0" w:color="auto"/>
      </w:divBdr>
      <w:divsChild>
        <w:div w:id="1355963529">
          <w:marLeft w:val="0"/>
          <w:marRight w:val="0"/>
          <w:marTop w:val="0"/>
          <w:marBottom w:val="0"/>
          <w:divBdr>
            <w:top w:val="single" w:sz="2" w:space="0" w:color="E3E3E3"/>
            <w:left w:val="single" w:sz="2" w:space="0" w:color="E3E3E3"/>
            <w:bottom w:val="single" w:sz="2" w:space="0" w:color="E3E3E3"/>
            <w:right w:val="single" w:sz="2" w:space="0" w:color="E3E3E3"/>
          </w:divBdr>
          <w:divsChild>
            <w:div w:id="1339651529">
              <w:marLeft w:val="0"/>
              <w:marRight w:val="0"/>
              <w:marTop w:val="0"/>
              <w:marBottom w:val="0"/>
              <w:divBdr>
                <w:top w:val="single" w:sz="2" w:space="0" w:color="E3E3E3"/>
                <w:left w:val="single" w:sz="2" w:space="0" w:color="E3E3E3"/>
                <w:bottom w:val="single" w:sz="2" w:space="0" w:color="E3E3E3"/>
                <w:right w:val="single" w:sz="2" w:space="0" w:color="E3E3E3"/>
              </w:divBdr>
              <w:divsChild>
                <w:div w:id="1917083413">
                  <w:marLeft w:val="0"/>
                  <w:marRight w:val="0"/>
                  <w:marTop w:val="0"/>
                  <w:marBottom w:val="0"/>
                  <w:divBdr>
                    <w:top w:val="single" w:sz="2" w:space="2" w:color="E3E3E3"/>
                    <w:left w:val="single" w:sz="2" w:space="0" w:color="E3E3E3"/>
                    <w:bottom w:val="single" w:sz="2" w:space="0" w:color="E3E3E3"/>
                    <w:right w:val="single" w:sz="2" w:space="0" w:color="E3E3E3"/>
                  </w:divBdr>
                  <w:divsChild>
                    <w:div w:id="175932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226570375">
      <w:bodyDiv w:val="1"/>
      <w:marLeft w:val="0"/>
      <w:marRight w:val="0"/>
      <w:marTop w:val="0"/>
      <w:marBottom w:val="0"/>
      <w:divBdr>
        <w:top w:val="none" w:sz="0" w:space="0" w:color="auto"/>
        <w:left w:val="none" w:sz="0" w:space="0" w:color="auto"/>
        <w:bottom w:val="none" w:sz="0" w:space="0" w:color="auto"/>
        <w:right w:val="none" w:sz="0" w:space="0" w:color="auto"/>
      </w:divBdr>
    </w:div>
    <w:div w:id="227500084">
      <w:bodyDiv w:val="1"/>
      <w:marLeft w:val="0"/>
      <w:marRight w:val="0"/>
      <w:marTop w:val="0"/>
      <w:marBottom w:val="0"/>
      <w:divBdr>
        <w:top w:val="none" w:sz="0" w:space="0" w:color="auto"/>
        <w:left w:val="none" w:sz="0" w:space="0" w:color="auto"/>
        <w:bottom w:val="none" w:sz="0" w:space="0" w:color="auto"/>
        <w:right w:val="none" w:sz="0" w:space="0" w:color="auto"/>
      </w:divBdr>
    </w:div>
    <w:div w:id="237521267">
      <w:bodyDiv w:val="1"/>
      <w:marLeft w:val="0"/>
      <w:marRight w:val="0"/>
      <w:marTop w:val="0"/>
      <w:marBottom w:val="0"/>
      <w:divBdr>
        <w:top w:val="none" w:sz="0" w:space="0" w:color="auto"/>
        <w:left w:val="none" w:sz="0" w:space="0" w:color="auto"/>
        <w:bottom w:val="none" w:sz="0" w:space="0" w:color="auto"/>
        <w:right w:val="none" w:sz="0" w:space="0" w:color="auto"/>
      </w:divBdr>
      <w:divsChild>
        <w:div w:id="983393123">
          <w:marLeft w:val="0"/>
          <w:marRight w:val="0"/>
          <w:marTop w:val="0"/>
          <w:marBottom w:val="0"/>
          <w:divBdr>
            <w:top w:val="none" w:sz="0" w:space="0" w:color="auto"/>
            <w:left w:val="none" w:sz="0" w:space="0" w:color="auto"/>
            <w:bottom w:val="none" w:sz="0" w:space="0" w:color="auto"/>
            <w:right w:val="none" w:sz="0" w:space="0" w:color="auto"/>
          </w:divBdr>
          <w:divsChild>
            <w:div w:id="1266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6192">
      <w:bodyDiv w:val="1"/>
      <w:marLeft w:val="0"/>
      <w:marRight w:val="0"/>
      <w:marTop w:val="0"/>
      <w:marBottom w:val="0"/>
      <w:divBdr>
        <w:top w:val="none" w:sz="0" w:space="0" w:color="auto"/>
        <w:left w:val="none" w:sz="0" w:space="0" w:color="auto"/>
        <w:bottom w:val="none" w:sz="0" w:space="0" w:color="auto"/>
        <w:right w:val="none" w:sz="0" w:space="0" w:color="auto"/>
      </w:divBdr>
    </w:div>
    <w:div w:id="281349375">
      <w:bodyDiv w:val="1"/>
      <w:marLeft w:val="0"/>
      <w:marRight w:val="0"/>
      <w:marTop w:val="0"/>
      <w:marBottom w:val="0"/>
      <w:divBdr>
        <w:top w:val="none" w:sz="0" w:space="0" w:color="auto"/>
        <w:left w:val="none" w:sz="0" w:space="0" w:color="auto"/>
        <w:bottom w:val="none" w:sz="0" w:space="0" w:color="auto"/>
        <w:right w:val="none" w:sz="0" w:space="0" w:color="auto"/>
      </w:divBdr>
    </w:div>
    <w:div w:id="284580073">
      <w:bodyDiv w:val="1"/>
      <w:marLeft w:val="0"/>
      <w:marRight w:val="0"/>
      <w:marTop w:val="0"/>
      <w:marBottom w:val="0"/>
      <w:divBdr>
        <w:top w:val="none" w:sz="0" w:space="0" w:color="auto"/>
        <w:left w:val="none" w:sz="0" w:space="0" w:color="auto"/>
        <w:bottom w:val="none" w:sz="0" w:space="0" w:color="auto"/>
        <w:right w:val="none" w:sz="0" w:space="0" w:color="auto"/>
      </w:divBdr>
    </w:div>
    <w:div w:id="308051877">
      <w:bodyDiv w:val="1"/>
      <w:marLeft w:val="0"/>
      <w:marRight w:val="0"/>
      <w:marTop w:val="0"/>
      <w:marBottom w:val="0"/>
      <w:divBdr>
        <w:top w:val="none" w:sz="0" w:space="0" w:color="auto"/>
        <w:left w:val="none" w:sz="0" w:space="0" w:color="auto"/>
        <w:bottom w:val="none" w:sz="0" w:space="0" w:color="auto"/>
        <w:right w:val="none" w:sz="0" w:space="0" w:color="auto"/>
      </w:divBdr>
    </w:div>
    <w:div w:id="318507440">
      <w:bodyDiv w:val="1"/>
      <w:marLeft w:val="0"/>
      <w:marRight w:val="0"/>
      <w:marTop w:val="0"/>
      <w:marBottom w:val="0"/>
      <w:divBdr>
        <w:top w:val="none" w:sz="0" w:space="0" w:color="auto"/>
        <w:left w:val="none" w:sz="0" w:space="0" w:color="auto"/>
        <w:bottom w:val="none" w:sz="0" w:space="0" w:color="auto"/>
        <w:right w:val="none" w:sz="0" w:space="0" w:color="auto"/>
      </w:divBdr>
    </w:div>
    <w:div w:id="343672815">
      <w:bodyDiv w:val="1"/>
      <w:marLeft w:val="0"/>
      <w:marRight w:val="0"/>
      <w:marTop w:val="0"/>
      <w:marBottom w:val="0"/>
      <w:divBdr>
        <w:top w:val="none" w:sz="0" w:space="0" w:color="auto"/>
        <w:left w:val="none" w:sz="0" w:space="0" w:color="auto"/>
        <w:bottom w:val="none" w:sz="0" w:space="0" w:color="auto"/>
        <w:right w:val="none" w:sz="0" w:space="0" w:color="auto"/>
      </w:divBdr>
    </w:div>
    <w:div w:id="352918867">
      <w:bodyDiv w:val="1"/>
      <w:marLeft w:val="0"/>
      <w:marRight w:val="0"/>
      <w:marTop w:val="0"/>
      <w:marBottom w:val="0"/>
      <w:divBdr>
        <w:top w:val="none" w:sz="0" w:space="0" w:color="auto"/>
        <w:left w:val="none" w:sz="0" w:space="0" w:color="auto"/>
        <w:bottom w:val="none" w:sz="0" w:space="0" w:color="auto"/>
        <w:right w:val="none" w:sz="0" w:space="0" w:color="auto"/>
      </w:divBdr>
    </w:div>
    <w:div w:id="385957567">
      <w:bodyDiv w:val="1"/>
      <w:marLeft w:val="0"/>
      <w:marRight w:val="0"/>
      <w:marTop w:val="0"/>
      <w:marBottom w:val="0"/>
      <w:divBdr>
        <w:top w:val="none" w:sz="0" w:space="0" w:color="auto"/>
        <w:left w:val="none" w:sz="0" w:space="0" w:color="auto"/>
        <w:bottom w:val="none" w:sz="0" w:space="0" w:color="auto"/>
        <w:right w:val="none" w:sz="0" w:space="0" w:color="auto"/>
      </w:divBdr>
    </w:div>
    <w:div w:id="396250514">
      <w:bodyDiv w:val="1"/>
      <w:marLeft w:val="0"/>
      <w:marRight w:val="0"/>
      <w:marTop w:val="0"/>
      <w:marBottom w:val="0"/>
      <w:divBdr>
        <w:top w:val="none" w:sz="0" w:space="0" w:color="auto"/>
        <w:left w:val="none" w:sz="0" w:space="0" w:color="auto"/>
        <w:bottom w:val="none" w:sz="0" w:space="0" w:color="auto"/>
        <w:right w:val="none" w:sz="0" w:space="0" w:color="auto"/>
      </w:divBdr>
    </w:div>
    <w:div w:id="396513926">
      <w:bodyDiv w:val="1"/>
      <w:marLeft w:val="0"/>
      <w:marRight w:val="0"/>
      <w:marTop w:val="0"/>
      <w:marBottom w:val="0"/>
      <w:divBdr>
        <w:top w:val="none" w:sz="0" w:space="0" w:color="auto"/>
        <w:left w:val="none" w:sz="0" w:space="0" w:color="auto"/>
        <w:bottom w:val="none" w:sz="0" w:space="0" w:color="auto"/>
        <w:right w:val="none" w:sz="0" w:space="0" w:color="auto"/>
      </w:divBdr>
    </w:div>
    <w:div w:id="420952222">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39111270">
      <w:bodyDiv w:val="1"/>
      <w:marLeft w:val="0"/>
      <w:marRight w:val="0"/>
      <w:marTop w:val="0"/>
      <w:marBottom w:val="0"/>
      <w:divBdr>
        <w:top w:val="none" w:sz="0" w:space="0" w:color="auto"/>
        <w:left w:val="none" w:sz="0" w:space="0" w:color="auto"/>
        <w:bottom w:val="none" w:sz="0" w:space="0" w:color="auto"/>
        <w:right w:val="none" w:sz="0" w:space="0" w:color="auto"/>
      </w:divBdr>
    </w:div>
    <w:div w:id="464659859">
      <w:bodyDiv w:val="1"/>
      <w:marLeft w:val="0"/>
      <w:marRight w:val="0"/>
      <w:marTop w:val="0"/>
      <w:marBottom w:val="0"/>
      <w:divBdr>
        <w:top w:val="none" w:sz="0" w:space="0" w:color="auto"/>
        <w:left w:val="none" w:sz="0" w:space="0" w:color="auto"/>
        <w:bottom w:val="none" w:sz="0" w:space="0" w:color="auto"/>
        <w:right w:val="none" w:sz="0" w:space="0" w:color="auto"/>
      </w:divBdr>
    </w:div>
    <w:div w:id="468324262">
      <w:bodyDiv w:val="1"/>
      <w:marLeft w:val="0"/>
      <w:marRight w:val="0"/>
      <w:marTop w:val="0"/>
      <w:marBottom w:val="0"/>
      <w:divBdr>
        <w:top w:val="none" w:sz="0" w:space="0" w:color="auto"/>
        <w:left w:val="none" w:sz="0" w:space="0" w:color="auto"/>
        <w:bottom w:val="none" w:sz="0" w:space="0" w:color="auto"/>
        <w:right w:val="none" w:sz="0" w:space="0" w:color="auto"/>
      </w:divBdr>
    </w:div>
    <w:div w:id="479737448">
      <w:bodyDiv w:val="1"/>
      <w:marLeft w:val="0"/>
      <w:marRight w:val="0"/>
      <w:marTop w:val="0"/>
      <w:marBottom w:val="0"/>
      <w:divBdr>
        <w:top w:val="none" w:sz="0" w:space="0" w:color="auto"/>
        <w:left w:val="none" w:sz="0" w:space="0" w:color="auto"/>
        <w:bottom w:val="none" w:sz="0" w:space="0" w:color="auto"/>
        <w:right w:val="none" w:sz="0" w:space="0" w:color="auto"/>
      </w:divBdr>
    </w:div>
    <w:div w:id="490830324">
      <w:bodyDiv w:val="1"/>
      <w:marLeft w:val="0"/>
      <w:marRight w:val="0"/>
      <w:marTop w:val="0"/>
      <w:marBottom w:val="0"/>
      <w:divBdr>
        <w:top w:val="none" w:sz="0" w:space="0" w:color="auto"/>
        <w:left w:val="none" w:sz="0" w:space="0" w:color="auto"/>
        <w:bottom w:val="none" w:sz="0" w:space="0" w:color="auto"/>
        <w:right w:val="none" w:sz="0" w:space="0" w:color="auto"/>
      </w:divBdr>
    </w:div>
    <w:div w:id="499931524">
      <w:bodyDiv w:val="1"/>
      <w:marLeft w:val="0"/>
      <w:marRight w:val="0"/>
      <w:marTop w:val="0"/>
      <w:marBottom w:val="0"/>
      <w:divBdr>
        <w:top w:val="none" w:sz="0" w:space="0" w:color="auto"/>
        <w:left w:val="none" w:sz="0" w:space="0" w:color="auto"/>
        <w:bottom w:val="none" w:sz="0" w:space="0" w:color="auto"/>
        <w:right w:val="none" w:sz="0" w:space="0" w:color="auto"/>
      </w:divBdr>
    </w:div>
    <w:div w:id="549541456">
      <w:bodyDiv w:val="1"/>
      <w:marLeft w:val="0"/>
      <w:marRight w:val="0"/>
      <w:marTop w:val="0"/>
      <w:marBottom w:val="0"/>
      <w:divBdr>
        <w:top w:val="none" w:sz="0" w:space="0" w:color="auto"/>
        <w:left w:val="none" w:sz="0" w:space="0" w:color="auto"/>
        <w:bottom w:val="none" w:sz="0" w:space="0" w:color="auto"/>
        <w:right w:val="none" w:sz="0" w:space="0" w:color="auto"/>
      </w:divBdr>
    </w:div>
    <w:div w:id="634071151">
      <w:bodyDiv w:val="1"/>
      <w:marLeft w:val="0"/>
      <w:marRight w:val="0"/>
      <w:marTop w:val="0"/>
      <w:marBottom w:val="0"/>
      <w:divBdr>
        <w:top w:val="none" w:sz="0" w:space="0" w:color="auto"/>
        <w:left w:val="none" w:sz="0" w:space="0" w:color="auto"/>
        <w:bottom w:val="none" w:sz="0" w:space="0" w:color="auto"/>
        <w:right w:val="none" w:sz="0" w:space="0" w:color="auto"/>
      </w:divBdr>
    </w:div>
    <w:div w:id="689843110">
      <w:bodyDiv w:val="1"/>
      <w:marLeft w:val="0"/>
      <w:marRight w:val="0"/>
      <w:marTop w:val="0"/>
      <w:marBottom w:val="0"/>
      <w:divBdr>
        <w:top w:val="none" w:sz="0" w:space="0" w:color="auto"/>
        <w:left w:val="none" w:sz="0" w:space="0" w:color="auto"/>
        <w:bottom w:val="none" w:sz="0" w:space="0" w:color="auto"/>
        <w:right w:val="none" w:sz="0" w:space="0" w:color="auto"/>
      </w:divBdr>
    </w:div>
    <w:div w:id="708989407">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68156044">
      <w:bodyDiv w:val="1"/>
      <w:marLeft w:val="0"/>
      <w:marRight w:val="0"/>
      <w:marTop w:val="0"/>
      <w:marBottom w:val="0"/>
      <w:divBdr>
        <w:top w:val="none" w:sz="0" w:space="0" w:color="auto"/>
        <w:left w:val="none" w:sz="0" w:space="0" w:color="auto"/>
        <w:bottom w:val="none" w:sz="0" w:space="0" w:color="auto"/>
        <w:right w:val="none" w:sz="0" w:space="0" w:color="auto"/>
      </w:divBdr>
    </w:div>
    <w:div w:id="819032830">
      <w:bodyDiv w:val="1"/>
      <w:marLeft w:val="0"/>
      <w:marRight w:val="0"/>
      <w:marTop w:val="0"/>
      <w:marBottom w:val="0"/>
      <w:divBdr>
        <w:top w:val="none" w:sz="0" w:space="0" w:color="auto"/>
        <w:left w:val="none" w:sz="0" w:space="0" w:color="auto"/>
        <w:bottom w:val="none" w:sz="0" w:space="0" w:color="auto"/>
        <w:right w:val="none" w:sz="0" w:space="0" w:color="auto"/>
      </w:divBdr>
    </w:div>
    <w:div w:id="822550471">
      <w:bodyDiv w:val="1"/>
      <w:marLeft w:val="0"/>
      <w:marRight w:val="0"/>
      <w:marTop w:val="0"/>
      <w:marBottom w:val="0"/>
      <w:divBdr>
        <w:top w:val="none" w:sz="0" w:space="0" w:color="auto"/>
        <w:left w:val="none" w:sz="0" w:space="0" w:color="auto"/>
        <w:bottom w:val="none" w:sz="0" w:space="0" w:color="auto"/>
        <w:right w:val="none" w:sz="0" w:space="0" w:color="auto"/>
      </w:divBdr>
    </w:div>
    <w:div w:id="855264858">
      <w:bodyDiv w:val="1"/>
      <w:marLeft w:val="0"/>
      <w:marRight w:val="0"/>
      <w:marTop w:val="0"/>
      <w:marBottom w:val="0"/>
      <w:divBdr>
        <w:top w:val="none" w:sz="0" w:space="0" w:color="auto"/>
        <w:left w:val="none" w:sz="0" w:space="0" w:color="auto"/>
        <w:bottom w:val="none" w:sz="0" w:space="0" w:color="auto"/>
        <w:right w:val="none" w:sz="0" w:space="0" w:color="auto"/>
      </w:divBdr>
    </w:div>
    <w:div w:id="858742010">
      <w:bodyDiv w:val="1"/>
      <w:marLeft w:val="0"/>
      <w:marRight w:val="0"/>
      <w:marTop w:val="0"/>
      <w:marBottom w:val="0"/>
      <w:divBdr>
        <w:top w:val="none" w:sz="0" w:space="0" w:color="auto"/>
        <w:left w:val="none" w:sz="0" w:space="0" w:color="auto"/>
        <w:bottom w:val="none" w:sz="0" w:space="0" w:color="auto"/>
        <w:right w:val="none" w:sz="0" w:space="0" w:color="auto"/>
      </w:divBdr>
    </w:div>
    <w:div w:id="885332296">
      <w:bodyDiv w:val="1"/>
      <w:marLeft w:val="0"/>
      <w:marRight w:val="0"/>
      <w:marTop w:val="0"/>
      <w:marBottom w:val="0"/>
      <w:divBdr>
        <w:top w:val="none" w:sz="0" w:space="0" w:color="auto"/>
        <w:left w:val="none" w:sz="0" w:space="0" w:color="auto"/>
        <w:bottom w:val="none" w:sz="0" w:space="0" w:color="auto"/>
        <w:right w:val="none" w:sz="0" w:space="0" w:color="auto"/>
      </w:divBdr>
    </w:div>
    <w:div w:id="945186794">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sChild>
        <w:div w:id="686176833">
          <w:marLeft w:val="0"/>
          <w:marRight w:val="0"/>
          <w:marTop w:val="0"/>
          <w:marBottom w:val="0"/>
          <w:divBdr>
            <w:top w:val="none" w:sz="0" w:space="0" w:color="auto"/>
            <w:left w:val="none" w:sz="0" w:space="0" w:color="auto"/>
            <w:bottom w:val="none" w:sz="0" w:space="0" w:color="auto"/>
            <w:right w:val="none" w:sz="0" w:space="0" w:color="auto"/>
          </w:divBdr>
          <w:divsChild>
            <w:div w:id="1837525581">
              <w:marLeft w:val="0"/>
              <w:marRight w:val="0"/>
              <w:marTop w:val="0"/>
              <w:marBottom w:val="0"/>
              <w:divBdr>
                <w:top w:val="none" w:sz="0" w:space="0" w:color="auto"/>
                <w:left w:val="none" w:sz="0" w:space="0" w:color="auto"/>
                <w:bottom w:val="none" w:sz="0" w:space="0" w:color="auto"/>
                <w:right w:val="none" w:sz="0" w:space="0" w:color="auto"/>
              </w:divBdr>
            </w:div>
          </w:divsChild>
        </w:div>
        <w:div w:id="1903172940">
          <w:marLeft w:val="0"/>
          <w:marRight w:val="0"/>
          <w:marTop w:val="0"/>
          <w:marBottom w:val="0"/>
          <w:divBdr>
            <w:top w:val="none" w:sz="0" w:space="0" w:color="auto"/>
            <w:left w:val="none" w:sz="0" w:space="0" w:color="auto"/>
            <w:bottom w:val="none" w:sz="0" w:space="0" w:color="auto"/>
            <w:right w:val="none" w:sz="0" w:space="0" w:color="auto"/>
          </w:divBdr>
          <w:divsChild>
            <w:div w:id="1603613759">
              <w:marLeft w:val="0"/>
              <w:marRight w:val="0"/>
              <w:marTop w:val="0"/>
              <w:marBottom w:val="0"/>
              <w:divBdr>
                <w:top w:val="none" w:sz="0" w:space="0" w:color="auto"/>
                <w:left w:val="none" w:sz="0" w:space="0" w:color="auto"/>
                <w:bottom w:val="none" w:sz="0" w:space="0" w:color="auto"/>
                <w:right w:val="none" w:sz="0" w:space="0" w:color="auto"/>
              </w:divBdr>
            </w:div>
          </w:divsChild>
        </w:div>
        <w:div w:id="1802378230">
          <w:marLeft w:val="0"/>
          <w:marRight w:val="0"/>
          <w:marTop w:val="0"/>
          <w:marBottom w:val="0"/>
          <w:divBdr>
            <w:top w:val="none" w:sz="0" w:space="0" w:color="auto"/>
            <w:left w:val="none" w:sz="0" w:space="0" w:color="auto"/>
            <w:bottom w:val="none" w:sz="0" w:space="0" w:color="auto"/>
            <w:right w:val="none" w:sz="0" w:space="0" w:color="auto"/>
          </w:divBdr>
          <w:divsChild>
            <w:div w:id="1842160905">
              <w:marLeft w:val="0"/>
              <w:marRight w:val="0"/>
              <w:marTop w:val="0"/>
              <w:marBottom w:val="0"/>
              <w:divBdr>
                <w:top w:val="none" w:sz="0" w:space="0" w:color="auto"/>
                <w:left w:val="none" w:sz="0" w:space="0" w:color="auto"/>
                <w:bottom w:val="none" w:sz="0" w:space="0" w:color="auto"/>
                <w:right w:val="none" w:sz="0" w:space="0" w:color="auto"/>
              </w:divBdr>
            </w:div>
          </w:divsChild>
        </w:div>
        <w:div w:id="1281648773">
          <w:marLeft w:val="0"/>
          <w:marRight w:val="0"/>
          <w:marTop w:val="0"/>
          <w:marBottom w:val="0"/>
          <w:divBdr>
            <w:top w:val="none" w:sz="0" w:space="0" w:color="auto"/>
            <w:left w:val="none" w:sz="0" w:space="0" w:color="auto"/>
            <w:bottom w:val="none" w:sz="0" w:space="0" w:color="auto"/>
            <w:right w:val="none" w:sz="0" w:space="0" w:color="auto"/>
          </w:divBdr>
          <w:divsChild>
            <w:div w:id="1165241396">
              <w:marLeft w:val="0"/>
              <w:marRight w:val="0"/>
              <w:marTop w:val="0"/>
              <w:marBottom w:val="0"/>
              <w:divBdr>
                <w:top w:val="none" w:sz="0" w:space="0" w:color="auto"/>
                <w:left w:val="none" w:sz="0" w:space="0" w:color="auto"/>
                <w:bottom w:val="none" w:sz="0" w:space="0" w:color="auto"/>
                <w:right w:val="none" w:sz="0" w:space="0" w:color="auto"/>
              </w:divBdr>
            </w:div>
          </w:divsChild>
        </w:div>
        <w:div w:id="1550530615">
          <w:marLeft w:val="0"/>
          <w:marRight w:val="0"/>
          <w:marTop w:val="0"/>
          <w:marBottom w:val="0"/>
          <w:divBdr>
            <w:top w:val="none" w:sz="0" w:space="0" w:color="auto"/>
            <w:left w:val="none" w:sz="0" w:space="0" w:color="auto"/>
            <w:bottom w:val="none" w:sz="0" w:space="0" w:color="auto"/>
            <w:right w:val="none" w:sz="0" w:space="0" w:color="auto"/>
          </w:divBdr>
        </w:div>
        <w:div w:id="2039744352">
          <w:marLeft w:val="0"/>
          <w:marRight w:val="0"/>
          <w:marTop w:val="0"/>
          <w:marBottom w:val="0"/>
          <w:divBdr>
            <w:top w:val="none" w:sz="0" w:space="0" w:color="auto"/>
            <w:left w:val="none" w:sz="0" w:space="0" w:color="auto"/>
            <w:bottom w:val="none" w:sz="0" w:space="0" w:color="auto"/>
            <w:right w:val="none" w:sz="0" w:space="0" w:color="auto"/>
          </w:divBdr>
          <w:divsChild>
            <w:div w:id="474613100">
              <w:marLeft w:val="0"/>
              <w:marRight w:val="0"/>
              <w:marTop w:val="0"/>
              <w:marBottom w:val="0"/>
              <w:divBdr>
                <w:top w:val="none" w:sz="0" w:space="0" w:color="auto"/>
                <w:left w:val="none" w:sz="0" w:space="0" w:color="auto"/>
                <w:bottom w:val="none" w:sz="0" w:space="0" w:color="auto"/>
                <w:right w:val="none" w:sz="0" w:space="0" w:color="auto"/>
              </w:divBdr>
            </w:div>
          </w:divsChild>
        </w:div>
        <w:div w:id="594827457">
          <w:marLeft w:val="0"/>
          <w:marRight w:val="0"/>
          <w:marTop w:val="0"/>
          <w:marBottom w:val="0"/>
          <w:divBdr>
            <w:top w:val="none" w:sz="0" w:space="0" w:color="auto"/>
            <w:left w:val="none" w:sz="0" w:space="0" w:color="auto"/>
            <w:bottom w:val="none" w:sz="0" w:space="0" w:color="auto"/>
            <w:right w:val="none" w:sz="0" w:space="0" w:color="auto"/>
          </w:divBdr>
          <w:divsChild>
            <w:div w:id="1464225566">
              <w:marLeft w:val="0"/>
              <w:marRight w:val="0"/>
              <w:marTop w:val="0"/>
              <w:marBottom w:val="0"/>
              <w:divBdr>
                <w:top w:val="none" w:sz="0" w:space="0" w:color="auto"/>
                <w:left w:val="none" w:sz="0" w:space="0" w:color="auto"/>
                <w:bottom w:val="none" w:sz="0" w:space="0" w:color="auto"/>
                <w:right w:val="none" w:sz="0" w:space="0" w:color="auto"/>
              </w:divBdr>
              <w:divsChild>
                <w:div w:id="96365404">
                  <w:marLeft w:val="0"/>
                  <w:marRight w:val="0"/>
                  <w:marTop w:val="0"/>
                  <w:marBottom w:val="0"/>
                  <w:divBdr>
                    <w:top w:val="none" w:sz="0" w:space="0" w:color="auto"/>
                    <w:left w:val="none" w:sz="0" w:space="0" w:color="auto"/>
                    <w:bottom w:val="none" w:sz="0" w:space="0" w:color="auto"/>
                    <w:right w:val="none" w:sz="0" w:space="0" w:color="auto"/>
                  </w:divBdr>
                </w:div>
              </w:divsChild>
            </w:div>
            <w:div w:id="379598639">
              <w:marLeft w:val="0"/>
              <w:marRight w:val="0"/>
              <w:marTop w:val="0"/>
              <w:marBottom w:val="0"/>
              <w:divBdr>
                <w:top w:val="none" w:sz="0" w:space="0" w:color="auto"/>
                <w:left w:val="none" w:sz="0" w:space="0" w:color="auto"/>
                <w:bottom w:val="none" w:sz="0" w:space="0" w:color="auto"/>
                <w:right w:val="none" w:sz="0" w:space="0" w:color="auto"/>
              </w:divBdr>
            </w:div>
            <w:div w:id="1698895818">
              <w:marLeft w:val="0"/>
              <w:marRight w:val="0"/>
              <w:marTop w:val="0"/>
              <w:marBottom w:val="0"/>
              <w:divBdr>
                <w:top w:val="none" w:sz="0" w:space="0" w:color="auto"/>
                <w:left w:val="none" w:sz="0" w:space="0" w:color="auto"/>
                <w:bottom w:val="none" w:sz="0" w:space="0" w:color="auto"/>
                <w:right w:val="none" w:sz="0" w:space="0" w:color="auto"/>
              </w:divBdr>
              <w:divsChild>
                <w:div w:id="813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549">
          <w:marLeft w:val="0"/>
          <w:marRight w:val="0"/>
          <w:marTop w:val="0"/>
          <w:marBottom w:val="0"/>
          <w:divBdr>
            <w:top w:val="none" w:sz="0" w:space="0" w:color="auto"/>
            <w:left w:val="none" w:sz="0" w:space="0" w:color="auto"/>
            <w:bottom w:val="none" w:sz="0" w:space="0" w:color="auto"/>
            <w:right w:val="none" w:sz="0" w:space="0" w:color="auto"/>
          </w:divBdr>
          <w:divsChild>
            <w:div w:id="1867597315">
              <w:marLeft w:val="0"/>
              <w:marRight w:val="0"/>
              <w:marTop w:val="0"/>
              <w:marBottom w:val="0"/>
              <w:divBdr>
                <w:top w:val="none" w:sz="0" w:space="0" w:color="auto"/>
                <w:left w:val="none" w:sz="0" w:space="0" w:color="auto"/>
                <w:bottom w:val="none" w:sz="0" w:space="0" w:color="auto"/>
                <w:right w:val="none" w:sz="0" w:space="0" w:color="auto"/>
              </w:divBdr>
              <w:divsChild>
                <w:div w:id="2038921261">
                  <w:marLeft w:val="0"/>
                  <w:marRight w:val="0"/>
                  <w:marTop w:val="0"/>
                  <w:marBottom w:val="0"/>
                  <w:divBdr>
                    <w:top w:val="none" w:sz="0" w:space="0" w:color="auto"/>
                    <w:left w:val="none" w:sz="0" w:space="0" w:color="auto"/>
                    <w:bottom w:val="none" w:sz="0" w:space="0" w:color="auto"/>
                    <w:right w:val="none" w:sz="0" w:space="0" w:color="auto"/>
                  </w:divBdr>
                </w:div>
              </w:divsChild>
            </w:div>
            <w:div w:id="657147176">
              <w:marLeft w:val="0"/>
              <w:marRight w:val="0"/>
              <w:marTop w:val="0"/>
              <w:marBottom w:val="0"/>
              <w:divBdr>
                <w:top w:val="none" w:sz="0" w:space="0" w:color="auto"/>
                <w:left w:val="none" w:sz="0" w:space="0" w:color="auto"/>
                <w:bottom w:val="none" w:sz="0" w:space="0" w:color="auto"/>
                <w:right w:val="none" w:sz="0" w:space="0" w:color="auto"/>
              </w:divBdr>
              <w:divsChild>
                <w:div w:id="1892882475">
                  <w:marLeft w:val="0"/>
                  <w:marRight w:val="0"/>
                  <w:marTop w:val="0"/>
                  <w:marBottom w:val="0"/>
                  <w:divBdr>
                    <w:top w:val="none" w:sz="0" w:space="0" w:color="auto"/>
                    <w:left w:val="none" w:sz="0" w:space="0" w:color="auto"/>
                    <w:bottom w:val="none" w:sz="0" w:space="0" w:color="auto"/>
                    <w:right w:val="none" w:sz="0" w:space="0" w:color="auto"/>
                  </w:divBdr>
                </w:div>
              </w:divsChild>
            </w:div>
            <w:div w:id="155150219">
              <w:marLeft w:val="0"/>
              <w:marRight w:val="0"/>
              <w:marTop w:val="0"/>
              <w:marBottom w:val="0"/>
              <w:divBdr>
                <w:top w:val="none" w:sz="0" w:space="0" w:color="auto"/>
                <w:left w:val="none" w:sz="0" w:space="0" w:color="auto"/>
                <w:bottom w:val="none" w:sz="0" w:space="0" w:color="auto"/>
                <w:right w:val="none" w:sz="0" w:space="0" w:color="auto"/>
              </w:divBdr>
            </w:div>
            <w:div w:id="523058385">
              <w:marLeft w:val="0"/>
              <w:marRight w:val="0"/>
              <w:marTop w:val="0"/>
              <w:marBottom w:val="0"/>
              <w:divBdr>
                <w:top w:val="none" w:sz="0" w:space="0" w:color="auto"/>
                <w:left w:val="none" w:sz="0" w:space="0" w:color="auto"/>
                <w:bottom w:val="none" w:sz="0" w:space="0" w:color="auto"/>
                <w:right w:val="none" w:sz="0" w:space="0" w:color="auto"/>
              </w:divBdr>
              <w:divsChild>
                <w:div w:id="14277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528">
          <w:marLeft w:val="0"/>
          <w:marRight w:val="0"/>
          <w:marTop w:val="0"/>
          <w:marBottom w:val="0"/>
          <w:divBdr>
            <w:top w:val="none" w:sz="0" w:space="0" w:color="auto"/>
            <w:left w:val="none" w:sz="0" w:space="0" w:color="auto"/>
            <w:bottom w:val="none" w:sz="0" w:space="0" w:color="auto"/>
            <w:right w:val="none" w:sz="0" w:space="0" w:color="auto"/>
          </w:divBdr>
          <w:divsChild>
            <w:div w:id="640426132">
              <w:marLeft w:val="0"/>
              <w:marRight w:val="0"/>
              <w:marTop w:val="0"/>
              <w:marBottom w:val="0"/>
              <w:divBdr>
                <w:top w:val="none" w:sz="0" w:space="0" w:color="auto"/>
                <w:left w:val="none" w:sz="0" w:space="0" w:color="auto"/>
                <w:bottom w:val="none" w:sz="0" w:space="0" w:color="auto"/>
                <w:right w:val="none" w:sz="0" w:space="0" w:color="auto"/>
              </w:divBdr>
              <w:divsChild>
                <w:div w:id="1151403429">
                  <w:marLeft w:val="0"/>
                  <w:marRight w:val="0"/>
                  <w:marTop w:val="0"/>
                  <w:marBottom w:val="0"/>
                  <w:divBdr>
                    <w:top w:val="none" w:sz="0" w:space="0" w:color="auto"/>
                    <w:left w:val="none" w:sz="0" w:space="0" w:color="auto"/>
                    <w:bottom w:val="none" w:sz="0" w:space="0" w:color="auto"/>
                    <w:right w:val="none" w:sz="0" w:space="0" w:color="auto"/>
                  </w:divBdr>
                </w:div>
              </w:divsChild>
            </w:div>
            <w:div w:id="1044059741">
              <w:marLeft w:val="0"/>
              <w:marRight w:val="0"/>
              <w:marTop w:val="0"/>
              <w:marBottom w:val="0"/>
              <w:divBdr>
                <w:top w:val="none" w:sz="0" w:space="0" w:color="auto"/>
                <w:left w:val="none" w:sz="0" w:space="0" w:color="auto"/>
                <w:bottom w:val="none" w:sz="0" w:space="0" w:color="auto"/>
                <w:right w:val="none" w:sz="0" w:space="0" w:color="auto"/>
              </w:divBdr>
              <w:divsChild>
                <w:div w:id="1467550726">
                  <w:marLeft w:val="0"/>
                  <w:marRight w:val="0"/>
                  <w:marTop w:val="0"/>
                  <w:marBottom w:val="0"/>
                  <w:divBdr>
                    <w:top w:val="none" w:sz="0" w:space="0" w:color="auto"/>
                    <w:left w:val="none" w:sz="0" w:space="0" w:color="auto"/>
                    <w:bottom w:val="none" w:sz="0" w:space="0" w:color="auto"/>
                    <w:right w:val="none" w:sz="0" w:space="0" w:color="auto"/>
                  </w:divBdr>
                </w:div>
              </w:divsChild>
            </w:div>
            <w:div w:id="1932276467">
              <w:marLeft w:val="0"/>
              <w:marRight w:val="0"/>
              <w:marTop w:val="0"/>
              <w:marBottom w:val="0"/>
              <w:divBdr>
                <w:top w:val="none" w:sz="0" w:space="0" w:color="auto"/>
                <w:left w:val="none" w:sz="0" w:space="0" w:color="auto"/>
                <w:bottom w:val="none" w:sz="0" w:space="0" w:color="auto"/>
                <w:right w:val="none" w:sz="0" w:space="0" w:color="auto"/>
              </w:divBdr>
              <w:divsChild>
                <w:div w:id="159465773">
                  <w:marLeft w:val="0"/>
                  <w:marRight w:val="0"/>
                  <w:marTop w:val="0"/>
                  <w:marBottom w:val="0"/>
                  <w:divBdr>
                    <w:top w:val="none" w:sz="0" w:space="0" w:color="auto"/>
                    <w:left w:val="none" w:sz="0" w:space="0" w:color="auto"/>
                    <w:bottom w:val="none" w:sz="0" w:space="0" w:color="auto"/>
                    <w:right w:val="none" w:sz="0" w:space="0" w:color="auto"/>
                  </w:divBdr>
                </w:div>
              </w:divsChild>
            </w:div>
            <w:div w:id="417094800">
              <w:marLeft w:val="0"/>
              <w:marRight w:val="0"/>
              <w:marTop w:val="0"/>
              <w:marBottom w:val="0"/>
              <w:divBdr>
                <w:top w:val="none" w:sz="0" w:space="0" w:color="auto"/>
                <w:left w:val="none" w:sz="0" w:space="0" w:color="auto"/>
                <w:bottom w:val="none" w:sz="0" w:space="0" w:color="auto"/>
                <w:right w:val="none" w:sz="0" w:space="0" w:color="auto"/>
              </w:divBdr>
              <w:divsChild>
                <w:div w:id="455762217">
                  <w:marLeft w:val="0"/>
                  <w:marRight w:val="0"/>
                  <w:marTop w:val="0"/>
                  <w:marBottom w:val="0"/>
                  <w:divBdr>
                    <w:top w:val="none" w:sz="0" w:space="0" w:color="auto"/>
                    <w:left w:val="none" w:sz="0" w:space="0" w:color="auto"/>
                    <w:bottom w:val="none" w:sz="0" w:space="0" w:color="auto"/>
                    <w:right w:val="none" w:sz="0" w:space="0" w:color="auto"/>
                  </w:divBdr>
                </w:div>
              </w:divsChild>
            </w:div>
            <w:div w:id="347950372">
              <w:marLeft w:val="0"/>
              <w:marRight w:val="0"/>
              <w:marTop w:val="0"/>
              <w:marBottom w:val="0"/>
              <w:divBdr>
                <w:top w:val="none" w:sz="0" w:space="0" w:color="auto"/>
                <w:left w:val="none" w:sz="0" w:space="0" w:color="auto"/>
                <w:bottom w:val="none" w:sz="0" w:space="0" w:color="auto"/>
                <w:right w:val="none" w:sz="0" w:space="0" w:color="auto"/>
              </w:divBdr>
              <w:divsChild>
                <w:div w:id="529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694">
          <w:marLeft w:val="0"/>
          <w:marRight w:val="0"/>
          <w:marTop w:val="0"/>
          <w:marBottom w:val="0"/>
          <w:divBdr>
            <w:top w:val="none" w:sz="0" w:space="0" w:color="auto"/>
            <w:left w:val="none" w:sz="0" w:space="0" w:color="auto"/>
            <w:bottom w:val="none" w:sz="0" w:space="0" w:color="auto"/>
            <w:right w:val="none" w:sz="0" w:space="0" w:color="auto"/>
          </w:divBdr>
          <w:divsChild>
            <w:div w:id="438374913">
              <w:marLeft w:val="0"/>
              <w:marRight w:val="0"/>
              <w:marTop w:val="0"/>
              <w:marBottom w:val="0"/>
              <w:divBdr>
                <w:top w:val="none" w:sz="0" w:space="0" w:color="auto"/>
                <w:left w:val="none" w:sz="0" w:space="0" w:color="auto"/>
                <w:bottom w:val="none" w:sz="0" w:space="0" w:color="auto"/>
                <w:right w:val="none" w:sz="0" w:space="0" w:color="auto"/>
              </w:divBdr>
            </w:div>
            <w:div w:id="1028070489">
              <w:marLeft w:val="0"/>
              <w:marRight w:val="0"/>
              <w:marTop w:val="0"/>
              <w:marBottom w:val="0"/>
              <w:divBdr>
                <w:top w:val="none" w:sz="0" w:space="0" w:color="auto"/>
                <w:left w:val="none" w:sz="0" w:space="0" w:color="auto"/>
                <w:bottom w:val="none" w:sz="0" w:space="0" w:color="auto"/>
                <w:right w:val="none" w:sz="0" w:space="0" w:color="auto"/>
              </w:divBdr>
              <w:divsChild>
                <w:div w:id="1327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52">
          <w:marLeft w:val="0"/>
          <w:marRight w:val="0"/>
          <w:marTop w:val="0"/>
          <w:marBottom w:val="0"/>
          <w:divBdr>
            <w:top w:val="none" w:sz="0" w:space="0" w:color="auto"/>
            <w:left w:val="none" w:sz="0" w:space="0" w:color="auto"/>
            <w:bottom w:val="none" w:sz="0" w:space="0" w:color="auto"/>
            <w:right w:val="none" w:sz="0" w:space="0" w:color="auto"/>
          </w:divBdr>
          <w:divsChild>
            <w:div w:id="1469318306">
              <w:marLeft w:val="0"/>
              <w:marRight w:val="0"/>
              <w:marTop w:val="0"/>
              <w:marBottom w:val="0"/>
              <w:divBdr>
                <w:top w:val="none" w:sz="0" w:space="0" w:color="auto"/>
                <w:left w:val="none" w:sz="0" w:space="0" w:color="auto"/>
                <w:bottom w:val="none" w:sz="0" w:space="0" w:color="auto"/>
                <w:right w:val="none" w:sz="0" w:space="0" w:color="auto"/>
              </w:divBdr>
            </w:div>
            <w:div w:id="861625634">
              <w:marLeft w:val="0"/>
              <w:marRight w:val="0"/>
              <w:marTop w:val="0"/>
              <w:marBottom w:val="0"/>
              <w:divBdr>
                <w:top w:val="none" w:sz="0" w:space="0" w:color="auto"/>
                <w:left w:val="none" w:sz="0" w:space="0" w:color="auto"/>
                <w:bottom w:val="none" w:sz="0" w:space="0" w:color="auto"/>
                <w:right w:val="none" w:sz="0" w:space="0" w:color="auto"/>
              </w:divBdr>
              <w:divsChild>
                <w:div w:id="1140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010">
          <w:marLeft w:val="0"/>
          <w:marRight w:val="0"/>
          <w:marTop w:val="0"/>
          <w:marBottom w:val="0"/>
          <w:divBdr>
            <w:top w:val="none" w:sz="0" w:space="0" w:color="auto"/>
            <w:left w:val="none" w:sz="0" w:space="0" w:color="auto"/>
            <w:bottom w:val="none" w:sz="0" w:space="0" w:color="auto"/>
            <w:right w:val="none" w:sz="0" w:space="0" w:color="auto"/>
          </w:divBdr>
          <w:divsChild>
            <w:div w:id="1084767541">
              <w:marLeft w:val="0"/>
              <w:marRight w:val="0"/>
              <w:marTop w:val="0"/>
              <w:marBottom w:val="0"/>
              <w:divBdr>
                <w:top w:val="none" w:sz="0" w:space="0" w:color="auto"/>
                <w:left w:val="none" w:sz="0" w:space="0" w:color="auto"/>
                <w:bottom w:val="none" w:sz="0" w:space="0" w:color="auto"/>
                <w:right w:val="none" w:sz="0" w:space="0" w:color="auto"/>
              </w:divBdr>
            </w:div>
          </w:divsChild>
        </w:div>
        <w:div w:id="1508711679">
          <w:marLeft w:val="0"/>
          <w:marRight w:val="0"/>
          <w:marTop w:val="0"/>
          <w:marBottom w:val="0"/>
          <w:divBdr>
            <w:top w:val="none" w:sz="0" w:space="0" w:color="auto"/>
            <w:left w:val="none" w:sz="0" w:space="0" w:color="auto"/>
            <w:bottom w:val="none" w:sz="0" w:space="0" w:color="auto"/>
            <w:right w:val="none" w:sz="0" w:space="0" w:color="auto"/>
          </w:divBdr>
        </w:div>
        <w:div w:id="1563061341">
          <w:marLeft w:val="0"/>
          <w:marRight w:val="0"/>
          <w:marTop w:val="0"/>
          <w:marBottom w:val="0"/>
          <w:divBdr>
            <w:top w:val="none" w:sz="0" w:space="0" w:color="auto"/>
            <w:left w:val="none" w:sz="0" w:space="0" w:color="auto"/>
            <w:bottom w:val="none" w:sz="0" w:space="0" w:color="auto"/>
            <w:right w:val="none" w:sz="0" w:space="0" w:color="auto"/>
          </w:divBdr>
          <w:divsChild>
            <w:div w:id="2034726189">
              <w:marLeft w:val="0"/>
              <w:marRight w:val="0"/>
              <w:marTop w:val="0"/>
              <w:marBottom w:val="0"/>
              <w:divBdr>
                <w:top w:val="none" w:sz="0" w:space="0" w:color="auto"/>
                <w:left w:val="none" w:sz="0" w:space="0" w:color="auto"/>
                <w:bottom w:val="none" w:sz="0" w:space="0" w:color="auto"/>
                <w:right w:val="none" w:sz="0" w:space="0" w:color="auto"/>
              </w:divBdr>
            </w:div>
          </w:divsChild>
        </w:div>
        <w:div w:id="489835172">
          <w:marLeft w:val="0"/>
          <w:marRight w:val="0"/>
          <w:marTop w:val="0"/>
          <w:marBottom w:val="0"/>
          <w:divBdr>
            <w:top w:val="none" w:sz="0" w:space="0" w:color="auto"/>
            <w:left w:val="none" w:sz="0" w:space="0" w:color="auto"/>
            <w:bottom w:val="none" w:sz="0" w:space="0" w:color="auto"/>
            <w:right w:val="none" w:sz="0" w:space="0" w:color="auto"/>
          </w:divBdr>
          <w:divsChild>
            <w:div w:id="1421095580">
              <w:marLeft w:val="0"/>
              <w:marRight w:val="0"/>
              <w:marTop w:val="0"/>
              <w:marBottom w:val="0"/>
              <w:divBdr>
                <w:top w:val="none" w:sz="0" w:space="0" w:color="auto"/>
                <w:left w:val="none" w:sz="0" w:space="0" w:color="auto"/>
                <w:bottom w:val="none" w:sz="0" w:space="0" w:color="auto"/>
                <w:right w:val="none" w:sz="0" w:space="0" w:color="auto"/>
              </w:divBdr>
            </w:div>
          </w:divsChild>
        </w:div>
        <w:div w:id="170796978">
          <w:marLeft w:val="0"/>
          <w:marRight w:val="0"/>
          <w:marTop w:val="0"/>
          <w:marBottom w:val="0"/>
          <w:divBdr>
            <w:top w:val="none" w:sz="0" w:space="0" w:color="auto"/>
            <w:left w:val="none" w:sz="0" w:space="0" w:color="auto"/>
            <w:bottom w:val="none" w:sz="0" w:space="0" w:color="auto"/>
            <w:right w:val="none" w:sz="0" w:space="0" w:color="auto"/>
          </w:divBdr>
        </w:div>
        <w:div w:id="550922206">
          <w:marLeft w:val="0"/>
          <w:marRight w:val="0"/>
          <w:marTop w:val="0"/>
          <w:marBottom w:val="0"/>
          <w:divBdr>
            <w:top w:val="none" w:sz="0" w:space="0" w:color="auto"/>
            <w:left w:val="none" w:sz="0" w:space="0" w:color="auto"/>
            <w:bottom w:val="none" w:sz="0" w:space="0" w:color="auto"/>
            <w:right w:val="none" w:sz="0" w:space="0" w:color="auto"/>
          </w:divBdr>
          <w:divsChild>
            <w:div w:id="1724022330">
              <w:marLeft w:val="0"/>
              <w:marRight w:val="0"/>
              <w:marTop w:val="0"/>
              <w:marBottom w:val="0"/>
              <w:divBdr>
                <w:top w:val="none" w:sz="0" w:space="0" w:color="auto"/>
                <w:left w:val="none" w:sz="0" w:space="0" w:color="auto"/>
                <w:bottom w:val="none" w:sz="0" w:space="0" w:color="auto"/>
                <w:right w:val="none" w:sz="0" w:space="0" w:color="auto"/>
              </w:divBdr>
            </w:div>
          </w:divsChild>
        </w:div>
        <w:div w:id="596796223">
          <w:marLeft w:val="0"/>
          <w:marRight w:val="0"/>
          <w:marTop w:val="0"/>
          <w:marBottom w:val="0"/>
          <w:divBdr>
            <w:top w:val="none" w:sz="0" w:space="0" w:color="auto"/>
            <w:left w:val="none" w:sz="0" w:space="0" w:color="auto"/>
            <w:bottom w:val="none" w:sz="0" w:space="0" w:color="auto"/>
            <w:right w:val="none" w:sz="0" w:space="0" w:color="auto"/>
          </w:divBdr>
          <w:divsChild>
            <w:div w:id="1137838332">
              <w:marLeft w:val="0"/>
              <w:marRight w:val="0"/>
              <w:marTop w:val="0"/>
              <w:marBottom w:val="0"/>
              <w:divBdr>
                <w:top w:val="none" w:sz="0" w:space="0" w:color="auto"/>
                <w:left w:val="none" w:sz="0" w:space="0" w:color="auto"/>
                <w:bottom w:val="none" w:sz="0" w:space="0" w:color="auto"/>
                <w:right w:val="none" w:sz="0" w:space="0" w:color="auto"/>
              </w:divBdr>
            </w:div>
          </w:divsChild>
        </w:div>
        <w:div w:id="1676959499">
          <w:marLeft w:val="0"/>
          <w:marRight w:val="0"/>
          <w:marTop w:val="0"/>
          <w:marBottom w:val="0"/>
          <w:divBdr>
            <w:top w:val="none" w:sz="0" w:space="0" w:color="auto"/>
            <w:left w:val="none" w:sz="0" w:space="0" w:color="auto"/>
            <w:bottom w:val="none" w:sz="0" w:space="0" w:color="auto"/>
            <w:right w:val="none" w:sz="0" w:space="0" w:color="auto"/>
          </w:divBdr>
          <w:divsChild>
            <w:div w:id="416904917">
              <w:marLeft w:val="0"/>
              <w:marRight w:val="0"/>
              <w:marTop w:val="0"/>
              <w:marBottom w:val="0"/>
              <w:divBdr>
                <w:top w:val="none" w:sz="0" w:space="0" w:color="auto"/>
                <w:left w:val="none" w:sz="0" w:space="0" w:color="auto"/>
                <w:bottom w:val="none" w:sz="0" w:space="0" w:color="auto"/>
                <w:right w:val="none" w:sz="0" w:space="0" w:color="auto"/>
              </w:divBdr>
            </w:div>
          </w:divsChild>
        </w:div>
        <w:div w:id="722097557">
          <w:marLeft w:val="0"/>
          <w:marRight w:val="0"/>
          <w:marTop w:val="0"/>
          <w:marBottom w:val="0"/>
          <w:divBdr>
            <w:top w:val="none" w:sz="0" w:space="0" w:color="auto"/>
            <w:left w:val="none" w:sz="0" w:space="0" w:color="auto"/>
            <w:bottom w:val="none" w:sz="0" w:space="0" w:color="auto"/>
            <w:right w:val="none" w:sz="0" w:space="0" w:color="auto"/>
          </w:divBdr>
          <w:divsChild>
            <w:div w:id="1202478911">
              <w:marLeft w:val="0"/>
              <w:marRight w:val="0"/>
              <w:marTop w:val="0"/>
              <w:marBottom w:val="0"/>
              <w:divBdr>
                <w:top w:val="none" w:sz="0" w:space="0" w:color="auto"/>
                <w:left w:val="none" w:sz="0" w:space="0" w:color="auto"/>
                <w:bottom w:val="none" w:sz="0" w:space="0" w:color="auto"/>
                <w:right w:val="none" w:sz="0" w:space="0" w:color="auto"/>
              </w:divBdr>
            </w:div>
          </w:divsChild>
        </w:div>
        <w:div w:id="1726949882">
          <w:marLeft w:val="0"/>
          <w:marRight w:val="0"/>
          <w:marTop w:val="0"/>
          <w:marBottom w:val="0"/>
          <w:divBdr>
            <w:top w:val="none" w:sz="0" w:space="0" w:color="auto"/>
            <w:left w:val="none" w:sz="0" w:space="0" w:color="auto"/>
            <w:bottom w:val="none" w:sz="0" w:space="0" w:color="auto"/>
            <w:right w:val="none" w:sz="0" w:space="0" w:color="auto"/>
          </w:divBdr>
          <w:divsChild>
            <w:div w:id="1616978932">
              <w:marLeft w:val="0"/>
              <w:marRight w:val="0"/>
              <w:marTop w:val="0"/>
              <w:marBottom w:val="0"/>
              <w:divBdr>
                <w:top w:val="none" w:sz="0" w:space="0" w:color="auto"/>
                <w:left w:val="none" w:sz="0" w:space="0" w:color="auto"/>
                <w:bottom w:val="none" w:sz="0" w:space="0" w:color="auto"/>
                <w:right w:val="none" w:sz="0" w:space="0" w:color="auto"/>
              </w:divBdr>
            </w:div>
          </w:divsChild>
        </w:div>
        <w:div w:id="890459769">
          <w:marLeft w:val="0"/>
          <w:marRight w:val="0"/>
          <w:marTop w:val="0"/>
          <w:marBottom w:val="0"/>
          <w:divBdr>
            <w:top w:val="none" w:sz="0" w:space="0" w:color="auto"/>
            <w:left w:val="none" w:sz="0" w:space="0" w:color="auto"/>
            <w:bottom w:val="none" w:sz="0" w:space="0" w:color="auto"/>
            <w:right w:val="none" w:sz="0" w:space="0" w:color="auto"/>
          </w:divBdr>
          <w:divsChild>
            <w:div w:id="1603566575">
              <w:marLeft w:val="0"/>
              <w:marRight w:val="0"/>
              <w:marTop w:val="0"/>
              <w:marBottom w:val="0"/>
              <w:divBdr>
                <w:top w:val="none" w:sz="0" w:space="0" w:color="auto"/>
                <w:left w:val="none" w:sz="0" w:space="0" w:color="auto"/>
                <w:bottom w:val="none" w:sz="0" w:space="0" w:color="auto"/>
                <w:right w:val="none" w:sz="0" w:space="0" w:color="auto"/>
              </w:divBdr>
            </w:div>
          </w:divsChild>
        </w:div>
        <w:div w:id="1284190834">
          <w:marLeft w:val="0"/>
          <w:marRight w:val="0"/>
          <w:marTop w:val="0"/>
          <w:marBottom w:val="0"/>
          <w:divBdr>
            <w:top w:val="none" w:sz="0" w:space="0" w:color="auto"/>
            <w:left w:val="none" w:sz="0" w:space="0" w:color="auto"/>
            <w:bottom w:val="none" w:sz="0" w:space="0" w:color="auto"/>
            <w:right w:val="none" w:sz="0" w:space="0" w:color="auto"/>
          </w:divBdr>
          <w:divsChild>
            <w:div w:id="1889413855">
              <w:marLeft w:val="0"/>
              <w:marRight w:val="0"/>
              <w:marTop w:val="0"/>
              <w:marBottom w:val="0"/>
              <w:divBdr>
                <w:top w:val="none" w:sz="0" w:space="0" w:color="auto"/>
                <w:left w:val="none" w:sz="0" w:space="0" w:color="auto"/>
                <w:bottom w:val="none" w:sz="0" w:space="0" w:color="auto"/>
                <w:right w:val="none" w:sz="0" w:space="0" w:color="auto"/>
              </w:divBdr>
            </w:div>
          </w:divsChild>
        </w:div>
        <w:div w:id="578250801">
          <w:marLeft w:val="0"/>
          <w:marRight w:val="0"/>
          <w:marTop w:val="0"/>
          <w:marBottom w:val="0"/>
          <w:divBdr>
            <w:top w:val="none" w:sz="0" w:space="0" w:color="auto"/>
            <w:left w:val="none" w:sz="0" w:space="0" w:color="auto"/>
            <w:bottom w:val="none" w:sz="0" w:space="0" w:color="auto"/>
            <w:right w:val="none" w:sz="0" w:space="0" w:color="auto"/>
          </w:divBdr>
          <w:divsChild>
            <w:div w:id="1129129220">
              <w:marLeft w:val="0"/>
              <w:marRight w:val="0"/>
              <w:marTop w:val="0"/>
              <w:marBottom w:val="0"/>
              <w:divBdr>
                <w:top w:val="none" w:sz="0" w:space="0" w:color="auto"/>
                <w:left w:val="none" w:sz="0" w:space="0" w:color="auto"/>
                <w:bottom w:val="none" w:sz="0" w:space="0" w:color="auto"/>
                <w:right w:val="none" w:sz="0" w:space="0" w:color="auto"/>
              </w:divBdr>
            </w:div>
          </w:divsChild>
        </w:div>
        <w:div w:id="1025792489">
          <w:marLeft w:val="0"/>
          <w:marRight w:val="0"/>
          <w:marTop w:val="0"/>
          <w:marBottom w:val="0"/>
          <w:divBdr>
            <w:top w:val="none" w:sz="0" w:space="0" w:color="auto"/>
            <w:left w:val="none" w:sz="0" w:space="0" w:color="auto"/>
            <w:bottom w:val="none" w:sz="0" w:space="0" w:color="auto"/>
            <w:right w:val="none" w:sz="0" w:space="0" w:color="auto"/>
          </w:divBdr>
          <w:divsChild>
            <w:div w:id="1755055198">
              <w:marLeft w:val="0"/>
              <w:marRight w:val="0"/>
              <w:marTop w:val="0"/>
              <w:marBottom w:val="0"/>
              <w:divBdr>
                <w:top w:val="none" w:sz="0" w:space="0" w:color="auto"/>
                <w:left w:val="none" w:sz="0" w:space="0" w:color="auto"/>
                <w:bottom w:val="none" w:sz="0" w:space="0" w:color="auto"/>
                <w:right w:val="none" w:sz="0" w:space="0" w:color="auto"/>
              </w:divBdr>
            </w:div>
            <w:div w:id="1645350244">
              <w:marLeft w:val="0"/>
              <w:marRight w:val="0"/>
              <w:marTop w:val="0"/>
              <w:marBottom w:val="0"/>
              <w:divBdr>
                <w:top w:val="none" w:sz="0" w:space="0" w:color="auto"/>
                <w:left w:val="none" w:sz="0" w:space="0" w:color="auto"/>
                <w:bottom w:val="none" w:sz="0" w:space="0" w:color="auto"/>
                <w:right w:val="none" w:sz="0" w:space="0" w:color="auto"/>
              </w:divBdr>
              <w:divsChild>
                <w:div w:id="289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114">
          <w:marLeft w:val="0"/>
          <w:marRight w:val="0"/>
          <w:marTop w:val="0"/>
          <w:marBottom w:val="0"/>
          <w:divBdr>
            <w:top w:val="none" w:sz="0" w:space="0" w:color="auto"/>
            <w:left w:val="none" w:sz="0" w:space="0" w:color="auto"/>
            <w:bottom w:val="none" w:sz="0" w:space="0" w:color="auto"/>
            <w:right w:val="none" w:sz="0" w:space="0" w:color="auto"/>
          </w:divBdr>
          <w:divsChild>
            <w:div w:id="847673514">
              <w:marLeft w:val="0"/>
              <w:marRight w:val="0"/>
              <w:marTop w:val="0"/>
              <w:marBottom w:val="0"/>
              <w:divBdr>
                <w:top w:val="none" w:sz="0" w:space="0" w:color="auto"/>
                <w:left w:val="none" w:sz="0" w:space="0" w:color="auto"/>
                <w:bottom w:val="none" w:sz="0" w:space="0" w:color="auto"/>
                <w:right w:val="none" w:sz="0" w:space="0" w:color="auto"/>
              </w:divBdr>
            </w:div>
            <w:div w:id="1101073890">
              <w:marLeft w:val="0"/>
              <w:marRight w:val="0"/>
              <w:marTop w:val="0"/>
              <w:marBottom w:val="0"/>
              <w:divBdr>
                <w:top w:val="none" w:sz="0" w:space="0" w:color="auto"/>
                <w:left w:val="none" w:sz="0" w:space="0" w:color="auto"/>
                <w:bottom w:val="none" w:sz="0" w:space="0" w:color="auto"/>
                <w:right w:val="none" w:sz="0" w:space="0" w:color="auto"/>
              </w:divBdr>
              <w:divsChild>
                <w:div w:id="926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039">
          <w:marLeft w:val="0"/>
          <w:marRight w:val="0"/>
          <w:marTop w:val="0"/>
          <w:marBottom w:val="0"/>
          <w:divBdr>
            <w:top w:val="none" w:sz="0" w:space="0" w:color="auto"/>
            <w:left w:val="none" w:sz="0" w:space="0" w:color="auto"/>
            <w:bottom w:val="none" w:sz="0" w:space="0" w:color="auto"/>
            <w:right w:val="none" w:sz="0" w:space="0" w:color="auto"/>
          </w:divBdr>
        </w:div>
        <w:div w:id="327056502">
          <w:marLeft w:val="0"/>
          <w:marRight w:val="0"/>
          <w:marTop w:val="0"/>
          <w:marBottom w:val="0"/>
          <w:divBdr>
            <w:top w:val="none" w:sz="0" w:space="0" w:color="auto"/>
            <w:left w:val="none" w:sz="0" w:space="0" w:color="auto"/>
            <w:bottom w:val="none" w:sz="0" w:space="0" w:color="auto"/>
            <w:right w:val="none" w:sz="0" w:space="0" w:color="auto"/>
          </w:divBdr>
          <w:divsChild>
            <w:div w:id="2077167637">
              <w:marLeft w:val="0"/>
              <w:marRight w:val="0"/>
              <w:marTop w:val="0"/>
              <w:marBottom w:val="0"/>
              <w:divBdr>
                <w:top w:val="none" w:sz="0" w:space="0" w:color="auto"/>
                <w:left w:val="none" w:sz="0" w:space="0" w:color="auto"/>
                <w:bottom w:val="none" w:sz="0" w:space="0" w:color="auto"/>
                <w:right w:val="none" w:sz="0" w:space="0" w:color="auto"/>
              </w:divBdr>
            </w:div>
          </w:divsChild>
        </w:div>
        <w:div w:id="2069263532">
          <w:marLeft w:val="0"/>
          <w:marRight w:val="0"/>
          <w:marTop w:val="0"/>
          <w:marBottom w:val="0"/>
          <w:divBdr>
            <w:top w:val="none" w:sz="0" w:space="0" w:color="auto"/>
            <w:left w:val="none" w:sz="0" w:space="0" w:color="auto"/>
            <w:bottom w:val="none" w:sz="0" w:space="0" w:color="auto"/>
            <w:right w:val="none" w:sz="0" w:space="0" w:color="auto"/>
          </w:divBdr>
        </w:div>
        <w:div w:id="171144341">
          <w:marLeft w:val="0"/>
          <w:marRight w:val="0"/>
          <w:marTop w:val="0"/>
          <w:marBottom w:val="0"/>
          <w:divBdr>
            <w:top w:val="none" w:sz="0" w:space="0" w:color="auto"/>
            <w:left w:val="none" w:sz="0" w:space="0" w:color="auto"/>
            <w:bottom w:val="none" w:sz="0" w:space="0" w:color="auto"/>
            <w:right w:val="none" w:sz="0" w:space="0" w:color="auto"/>
          </w:divBdr>
          <w:divsChild>
            <w:div w:id="521672552">
              <w:marLeft w:val="0"/>
              <w:marRight w:val="0"/>
              <w:marTop w:val="0"/>
              <w:marBottom w:val="0"/>
              <w:divBdr>
                <w:top w:val="none" w:sz="0" w:space="0" w:color="auto"/>
                <w:left w:val="none" w:sz="0" w:space="0" w:color="auto"/>
                <w:bottom w:val="none" w:sz="0" w:space="0" w:color="auto"/>
                <w:right w:val="none" w:sz="0" w:space="0" w:color="auto"/>
              </w:divBdr>
            </w:div>
          </w:divsChild>
        </w:div>
        <w:div w:id="1014726142">
          <w:marLeft w:val="0"/>
          <w:marRight w:val="0"/>
          <w:marTop w:val="0"/>
          <w:marBottom w:val="0"/>
          <w:divBdr>
            <w:top w:val="none" w:sz="0" w:space="0" w:color="auto"/>
            <w:left w:val="none" w:sz="0" w:space="0" w:color="auto"/>
            <w:bottom w:val="none" w:sz="0" w:space="0" w:color="auto"/>
            <w:right w:val="none" w:sz="0" w:space="0" w:color="auto"/>
          </w:divBdr>
          <w:divsChild>
            <w:div w:id="546331296">
              <w:marLeft w:val="0"/>
              <w:marRight w:val="0"/>
              <w:marTop w:val="0"/>
              <w:marBottom w:val="0"/>
              <w:divBdr>
                <w:top w:val="none" w:sz="0" w:space="0" w:color="auto"/>
                <w:left w:val="none" w:sz="0" w:space="0" w:color="auto"/>
                <w:bottom w:val="none" w:sz="0" w:space="0" w:color="auto"/>
                <w:right w:val="none" w:sz="0" w:space="0" w:color="auto"/>
              </w:divBdr>
            </w:div>
          </w:divsChild>
        </w:div>
        <w:div w:id="1566718553">
          <w:marLeft w:val="0"/>
          <w:marRight w:val="0"/>
          <w:marTop w:val="0"/>
          <w:marBottom w:val="0"/>
          <w:divBdr>
            <w:top w:val="none" w:sz="0" w:space="0" w:color="auto"/>
            <w:left w:val="none" w:sz="0" w:space="0" w:color="auto"/>
            <w:bottom w:val="none" w:sz="0" w:space="0" w:color="auto"/>
            <w:right w:val="none" w:sz="0" w:space="0" w:color="auto"/>
          </w:divBdr>
          <w:divsChild>
            <w:div w:id="470831015">
              <w:marLeft w:val="0"/>
              <w:marRight w:val="0"/>
              <w:marTop w:val="0"/>
              <w:marBottom w:val="0"/>
              <w:divBdr>
                <w:top w:val="none" w:sz="0" w:space="0" w:color="auto"/>
                <w:left w:val="none" w:sz="0" w:space="0" w:color="auto"/>
                <w:bottom w:val="none" w:sz="0" w:space="0" w:color="auto"/>
                <w:right w:val="none" w:sz="0" w:space="0" w:color="auto"/>
              </w:divBdr>
            </w:div>
          </w:divsChild>
        </w:div>
        <w:div w:id="507329120">
          <w:marLeft w:val="0"/>
          <w:marRight w:val="0"/>
          <w:marTop w:val="0"/>
          <w:marBottom w:val="0"/>
          <w:divBdr>
            <w:top w:val="none" w:sz="0" w:space="0" w:color="auto"/>
            <w:left w:val="none" w:sz="0" w:space="0" w:color="auto"/>
            <w:bottom w:val="none" w:sz="0" w:space="0" w:color="auto"/>
            <w:right w:val="none" w:sz="0" w:space="0" w:color="auto"/>
          </w:divBdr>
          <w:divsChild>
            <w:div w:id="2036422346">
              <w:marLeft w:val="0"/>
              <w:marRight w:val="0"/>
              <w:marTop w:val="360"/>
              <w:marBottom w:val="600"/>
              <w:divBdr>
                <w:top w:val="none" w:sz="0" w:space="0" w:color="auto"/>
                <w:left w:val="none" w:sz="0" w:space="0" w:color="auto"/>
                <w:bottom w:val="none" w:sz="0" w:space="0" w:color="auto"/>
                <w:right w:val="none" w:sz="0" w:space="0" w:color="auto"/>
              </w:divBdr>
            </w:div>
          </w:divsChild>
        </w:div>
        <w:div w:id="1188177386">
          <w:marLeft w:val="0"/>
          <w:marRight w:val="0"/>
          <w:marTop w:val="0"/>
          <w:marBottom w:val="0"/>
          <w:divBdr>
            <w:top w:val="none" w:sz="0" w:space="0" w:color="auto"/>
            <w:left w:val="none" w:sz="0" w:space="0" w:color="auto"/>
            <w:bottom w:val="none" w:sz="0" w:space="0" w:color="auto"/>
            <w:right w:val="none" w:sz="0" w:space="0" w:color="auto"/>
          </w:divBdr>
          <w:divsChild>
            <w:div w:id="2067409451">
              <w:marLeft w:val="0"/>
              <w:marRight w:val="0"/>
              <w:marTop w:val="0"/>
              <w:marBottom w:val="0"/>
              <w:divBdr>
                <w:top w:val="none" w:sz="0" w:space="0" w:color="auto"/>
                <w:left w:val="none" w:sz="0" w:space="0" w:color="auto"/>
                <w:bottom w:val="none" w:sz="0" w:space="0" w:color="auto"/>
                <w:right w:val="none" w:sz="0" w:space="0" w:color="auto"/>
              </w:divBdr>
            </w:div>
          </w:divsChild>
        </w:div>
        <w:div w:id="1006711504">
          <w:marLeft w:val="0"/>
          <w:marRight w:val="0"/>
          <w:marTop w:val="0"/>
          <w:marBottom w:val="0"/>
          <w:divBdr>
            <w:top w:val="none" w:sz="0" w:space="0" w:color="auto"/>
            <w:left w:val="none" w:sz="0" w:space="0" w:color="auto"/>
            <w:bottom w:val="none" w:sz="0" w:space="0" w:color="auto"/>
            <w:right w:val="none" w:sz="0" w:space="0" w:color="auto"/>
          </w:divBdr>
          <w:divsChild>
            <w:div w:id="627778310">
              <w:marLeft w:val="0"/>
              <w:marRight w:val="0"/>
              <w:marTop w:val="0"/>
              <w:marBottom w:val="0"/>
              <w:divBdr>
                <w:top w:val="none" w:sz="0" w:space="0" w:color="auto"/>
                <w:left w:val="none" w:sz="0" w:space="0" w:color="auto"/>
                <w:bottom w:val="none" w:sz="0" w:space="0" w:color="auto"/>
                <w:right w:val="none" w:sz="0" w:space="0" w:color="auto"/>
              </w:divBdr>
            </w:div>
          </w:divsChild>
        </w:div>
        <w:div w:id="2074237899">
          <w:marLeft w:val="0"/>
          <w:marRight w:val="0"/>
          <w:marTop w:val="0"/>
          <w:marBottom w:val="0"/>
          <w:divBdr>
            <w:top w:val="none" w:sz="0" w:space="0" w:color="auto"/>
            <w:left w:val="none" w:sz="0" w:space="0" w:color="auto"/>
            <w:bottom w:val="none" w:sz="0" w:space="0" w:color="auto"/>
            <w:right w:val="none" w:sz="0" w:space="0" w:color="auto"/>
          </w:divBdr>
          <w:divsChild>
            <w:div w:id="1965698668">
              <w:marLeft w:val="0"/>
              <w:marRight w:val="0"/>
              <w:marTop w:val="0"/>
              <w:marBottom w:val="0"/>
              <w:divBdr>
                <w:top w:val="none" w:sz="0" w:space="0" w:color="auto"/>
                <w:left w:val="none" w:sz="0" w:space="0" w:color="auto"/>
                <w:bottom w:val="none" w:sz="0" w:space="0" w:color="auto"/>
                <w:right w:val="none" w:sz="0" w:space="0" w:color="auto"/>
              </w:divBdr>
            </w:div>
          </w:divsChild>
        </w:div>
        <w:div w:id="1217546659">
          <w:marLeft w:val="0"/>
          <w:marRight w:val="0"/>
          <w:marTop w:val="0"/>
          <w:marBottom w:val="0"/>
          <w:divBdr>
            <w:top w:val="none" w:sz="0" w:space="0" w:color="auto"/>
            <w:left w:val="none" w:sz="0" w:space="0" w:color="auto"/>
            <w:bottom w:val="none" w:sz="0" w:space="0" w:color="auto"/>
            <w:right w:val="none" w:sz="0" w:space="0" w:color="auto"/>
          </w:divBdr>
          <w:divsChild>
            <w:div w:id="303853334">
              <w:marLeft w:val="0"/>
              <w:marRight w:val="0"/>
              <w:marTop w:val="360"/>
              <w:marBottom w:val="600"/>
              <w:divBdr>
                <w:top w:val="none" w:sz="0" w:space="0" w:color="auto"/>
                <w:left w:val="none" w:sz="0" w:space="0" w:color="auto"/>
                <w:bottom w:val="none" w:sz="0" w:space="0" w:color="auto"/>
                <w:right w:val="none" w:sz="0" w:space="0" w:color="auto"/>
              </w:divBdr>
            </w:div>
          </w:divsChild>
        </w:div>
        <w:div w:id="744454002">
          <w:marLeft w:val="0"/>
          <w:marRight w:val="0"/>
          <w:marTop w:val="0"/>
          <w:marBottom w:val="0"/>
          <w:divBdr>
            <w:top w:val="none" w:sz="0" w:space="0" w:color="auto"/>
            <w:left w:val="none" w:sz="0" w:space="0" w:color="auto"/>
            <w:bottom w:val="none" w:sz="0" w:space="0" w:color="auto"/>
            <w:right w:val="none" w:sz="0" w:space="0" w:color="auto"/>
          </w:divBdr>
          <w:divsChild>
            <w:div w:id="349529960">
              <w:marLeft w:val="0"/>
              <w:marRight w:val="0"/>
              <w:marTop w:val="0"/>
              <w:marBottom w:val="0"/>
              <w:divBdr>
                <w:top w:val="none" w:sz="0" w:space="0" w:color="auto"/>
                <w:left w:val="none" w:sz="0" w:space="0" w:color="auto"/>
                <w:bottom w:val="none" w:sz="0" w:space="0" w:color="auto"/>
                <w:right w:val="none" w:sz="0" w:space="0" w:color="auto"/>
              </w:divBdr>
            </w:div>
          </w:divsChild>
        </w:div>
        <w:div w:id="981151838">
          <w:marLeft w:val="0"/>
          <w:marRight w:val="0"/>
          <w:marTop w:val="0"/>
          <w:marBottom w:val="0"/>
          <w:divBdr>
            <w:top w:val="none" w:sz="0" w:space="0" w:color="auto"/>
            <w:left w:val="none" w:sz="0" w:space="0" w:color="auto"/>
            <w:bottom w:val="none" w:sz="0" w:space="0" w:color="auto"/>
            <w:right w:val="none" w:sz="0" w:space="0" w:color="auto"/>
          </w:divBdr>
          <w:divsChild>
            <w:div w:id="1969776742">
              <w:marLeft w:val="0"/>
              <w:marRight w:val="0"/>
              <w:marTop w:val="360"/>
              <w:marBottom w:val="600"/>
              <w:divBdr>
                <w:top w:val="none" w:sz="0" w:space="0" w:color="auto"/>
                <w:left w:val="none" w:sz="0" w:space="0" w:color="auto"/>
                <w:bottom w:val="none" w:sz="0" w:space="0" w:color="auto"/>
                <w:right w:val="none" w:sz="0" w:space="0" w:color="auto"/>
              </w:divBdr>
            </w:div>
          </w:divsChild>
        </w:div>
        <w:div w:id="873231619">
          <w:marLeft w:val="0"/>
          <w:marRight w:val="0"/>
          <w:marTop w:val="0"/>
          <w:marBottom w:val="0"/>
          <w:divBdr>
            <w:top w:val="none" w:sz="0" w:space="0" w:color="auto"/>
            <w:left w:val="none" w:sz="0" w:space="0" w:color="auto"/>
            <w:bottom w:val="none" w:sz="0" w:space="0" w:color="auto"/>
            <w:right w:val="none" w:sz="0" w:space="0" w:color="auto"/>
          </w:divBdr>
          <w:divsChild>
            <w:div w:id="249242481">
              <w:marLeft w:val="0"/>
              <w:marRight w:val="0"/>
              <w:marTop w:val="0"/>
              <w:marBottom w:val="0"/>
              <w:divBdr>
                <w:top w:val="none" w:sz="0" w:space="0" w:color="auto"/>
                <w:left w:val="none" w:sz="0" w:space="0" w:color="auto"/>
                <w:bottom w:val="none" w:sz="0" w:space="0" w:color="auto"/>
                <w:right w:val="none" w:sz="0" w:space="0" w:color="auto"/>
              </w:divBdr>
            </w:div>
          </w:divsChild>
        </w:div>
        <w:div w:id="2009358286">
          <w:marLeft w:val="0"/>
          <w:marRight w:val="0"/>
          <w:marTop w:val="0"/>
          <w:marBottom w:val="0"/>
          <w:divBdr>
            <w:top w:val="none" w:sz="0" w:space="0" w:color="auto"/>
            <w:left w:val="none" w:sz="0" w:space="0" w:color="auto"/>
            <w:bottom w:val="none" w:sz="0" w:space="0" w:color="auto"/>
            <w:right w:val="none" w:sz="0" w:space="0" w:color="auto"/>
          </w:divBdr>
          <w:divsChild>
            <w:div w:id="265307988">
              <w:marLeft w:val="0"/>
              <w:marRight w:val="0"/>
              <w:marTop w:val="360"/>
              <w:marBottom w:val="600"/>
              <w:divBdr>
                <w:top w:val="none" w:sz="0" w:space="0" w:color="auto"/>
                <w:left w:val="none" w:sz="0" w:space="0" w:color="auto"/>
                <w:bottom w:val="none" w:sz="0" w:space="0" w:color="auto"/>
                <w:right w:val="none" w:sz="0" w:space="0" w:color="auto"/>
              </w:divBdr>
            </w:div>
          </w:divsChild>
        </w:div>
        <w:div w:id="714352766">
          <w:marLeft w:val="0"/>
          <w:marRight w:val="0"/>
          <w:marTop w:val="0"/>
          <w:marBottom w:val="0"/>
          <w:divBdr>
            <w:top w:val="none" w:sz="0" w:space="0" w:color="auto"/>
            <w:left w:val="none" w:sz="0" w:space="0" w:color="auto"/>
            <w:bottom w:val="none" w:sz="0" w:space="0" w:color="auto"/>
            <w:right w:val="none" w:sz="0" w:space="0" w:color="auto"/>
          </w:divBdr>
          <w:divsChild>
            <w:div w:id="1980456574">
              <w:marLeft w:val="0"/>
              <w:marRight w:val="0"/>
              <w:marTop w:val="0"/>
              <w:marBottom w:val="0"/>
              <w:divBdr>
                <w:top w:val="none" w:sz="0" w:space="0" w:color="auto"/>
                <w:left w:val="none" w:sz="0" w:space="0" w:color="auto"/>
                <w:bottom w:val="none" w:sz="0" w:space="0" w:color="auto"/>
                <w:right w:val="none" w:sz="0" w:space="0" w:color="auto"/>
              </w:divBdr>
            </w:div>
          </w:divsChild>
        </w:div>
        <w:div w:id="2046249980">
          <w:marLeft w:val="0"/>
          <w:marRight w:val="0"/>
          <w:marTop w:val="0"/>
          <w:marBottom w:val="0"/>
          <w:divBdr>
            <w:top w:val="none" w:sz="0" w:space="0" w:color="auto"/>
            <w:left w:val="none" w:sz="0" w:space="0" w:color="auto"/>
            <w:bottom w:val="none" w:sz="0" w:space="0" w:color="auto"/>
            <w:right w:val="none" w:sz="0" w:space="0" w:color="auto"/>
          </w:divBdr>
          <w:divsChild>
            <w:div w:id="1579972744">
              <w:marLeft w:val="0"/>
              <w:marRight w:val="0"/>
              <w:marTop w:val="0"/>
              <w:marBottom w:val="0"/>
              <w:divBdr>
                <w:top w:val="none" w:sz="0" w:space="0" w:color="auto"/>
                <w:left w:val="none" w:sz="0" w:space="0" w:color="auto"/>
                <w:bottom w:val="none" w:sz="0" w:space="0" w:color="auto"/>
                <w:right w:val="none" w:sz="0" w:space="0" w:color="auto"/>
              </w:divBdr>
              <w:divsChild>
                <w:div w:id="194852360">
                  <w:marLeft w:val="0"/>
                  <w:marRight w:val="0"/>
                  <w:marTop w:val="0"/>
                  <w:marBottom w:val="0"/>
                  <w:divBdr>
                    <w:top w:val="none" w:sz="0" w:space="0" w:color="auto"/>
                    <w:left w:val="none" w:sz="0" w:space="0" w:color="auto"/>
                    <w:bottom w:val="none" w:sz="0" w:space="0" w:color="auto"/>
                    <w:right w:val="none" w:sz="0" w:space="0" w:color="auto"/>
                  </w:divBdr>
                </w:div>
              </w:divsChild>
            </w:div>
            <w:div w:id="1836919158">
              <w:marLeft w:val="0"/>
              <w:marRight w:val="0"/>
              <w:marTop w:val="0"/>
              <w:marBottom w:val="0"/>
              <w:divBdr>
                <w:top w:val="none" w:sz="0" w:space="0" w:color="auto"/>
                <w:left w:val="none" w:sz="0" w:space="0" w:color="auto"/>
                <w:bottom w:val="none" w:sz="0" w:space="0" w:color="auto"/>
                <w:right w:val="none" w:sz="0" w:space="0" w:color="auto"/>
              </w:divBdr>
              <w:divsChild>
                <w:div w:id="815103181">
                  <w:marLeft w:val="0"/>
                  <w:marRight w:val="0"/>
                  <w:marTop w:val="360"/>
                  <w:marBottom w:val="600"/>
                  <w:divBdr>
                    <w:top w:val="none" w:sz="0" w:space="0" w:color="auto"/>
                    <w:left w:val="none" w:sz="0" w:space="0" w:color="auto"/>
                    <w:bottom w:val="none" w:sz="0" w:space="0" w:color="auto"/>
                    <w:right w:val="none" w:sz="0" w:space="0" w:color="auto"/>
                  </w:divBdr>
                </w:div>
              </w:divsChild>
            </w:div>
            <w:div w:id="1498421468">
              <w:marLeft w:val="0"/>
              <w:marRight w:val="0"/>
              <w:marTop w:val="0"/>
              <w:marBottom w:val="0"/>
              <w:divBdr>
                <w:top w:val="none" w:sz="0" w:space="0" w:color="auto"/>
                <w:left w:val="none" w:sz="0" w:space="0" w:color="auto"/>
                <w:bottom w:val="none" w:sz="0" w:space="0" w:color="auto"/>
                <w:right w:val="none" w:sz="0" w:space="0" w:color="auto"/>
              </w:divBdr>
              <w:divsChild>
                <w:div w:id="751852226">
                  <w:marLeft w:val="0"/>
                  <w:marRight w:val="0"/>
                  <w:marTop w:val="0"/>
                  <w:marBottom w:val="0"/>
                  <w:divBdr>
                    <w:top w:val="none" w:sz="0" w:space="0" w:color="auto"/>
                    <w:left w:val="none" w:sz="0" w:space="0" w:color="auto"/>
                    <w:bottom w:val="none" w:sz="0" w:space="0" w:color="auto"/>
                    <w:right w:val="none" w:sz="0" w:space="0" w:color="auto"/>
                  </w:divBdr>
                </w:div>
              </w:divsChild>
            </w:div>
            <w:div w:id="463501183">
              <w:marLeft w:val="0"/>
              <w:marRight w:val="0"/>
              <w:marTop w:val="0"/>
              <w:marBottom w:val="0"/>
              <w:divBdr>
                <w:top w:val="none" w:sz="0" w:space="0" w:color="auto"/>
                <w:left w:val="none" w:sz="0" w:space="0" w:color="auto"/>
                <w:bottom w:val="none" w:sz="0" w:space="0" w:color="auto"/>
                <w:right w:val="none" w:sz="0" w:space="0" w:color="auto"/>
              </w:divBdr>
              <w:divsChild>
                <w:div w:id="90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265">
          <w:marLeft w:val="0"/>
          <w:marRight w:val="0"/>
          <w:marTop w:val="0"/>
          <w:marBottom w:val="0"/>
          <w:divBdr>
            <w:top w:val="none" w:sz="0" w:space="0" w:color="auto"/>
            <w:left w:val="none" w:sz="0" w:space="0" w:color="auto"/>
            <w:bottom w:val="none" w:sz="0" w:space="0" w:color="auto"/>
            <w:right w:val="none" w:sz="0" w:space="0" w:color="auto"/>
          </w:divBdr>
          <w:divsChild>
            <w:div w:id="1031879569">
              <w:marLeft w:val="0"/>
              <w:marRight w:val="0"/>
              <w:marTop w:val="0"/>
              <w:marBottom w:val="0"/>
              <w:divBdr>
                <w:top w:val="none" w:sz="0" w:space="0" w:color="auto"/>
                <w:left w:val="none" w:sz="0" w:space="0" w:color="auto"/>
                <w:bottom w:val="none" w:sz="0" w:space="0" w:color="auto"/>
                <w:right w:val="none" w:sz="0" w:space="0" w:color="auto"/>
              </w:divBdr>
              <w:divsChild>
                <w:div w:id="838808765">
                  <w:marLeft w:val="0"/>
                  <w:marRight w:val="0"/>
                  <w:marTop w:val="0"/>
                  <w:marBottom w:val="0"/>
                  <w:divBdr>
                    <w:top w:val="none" w:sz="0" w:space="0" w:color="auto"/>
                    <w:left w:val="none" w:sz="0" w:space="0" w:color="auto"/>
                    <w:bottom w:val="none" w:sz="0" w:space="0" w:color="auto"/>
                    <w:right w:val="none" w:sz="0" w:space="0" w:color="auto"/>
                  </w:divBdr>
                </w:div>
              </w:divsChild>
            </w:div>
            <w:div w:id="1410926785">
              <w:marLeft w:val="0"/>
              <w:marRight w:val="0"/>
              <w:marTop w:val="0"/>
              <w:marBottom w:val="0"/>
              <w:divBdr>
                <w:top w:val="none" w:sz="0" w:space="0" w:color="auto"/>
                <w:left w:val="none" w:sz="0" w:space="0" w:color="auto"/>
                <w:bottom w:val="none" w:sz="0" w:space="0" w:color="auto"/>
                <w:right w:val="none" w:sz="0" w:space="0" w:color="auto"/>
              </w:divBdr>
              <w:divsChild>
                <w:div w:id="1396005603">
                  <w:marLeft w:val="0"/>
                  <w:marRight w:val="0"/>
                  <w:marTop w:val="360"/>
                  <w:marBottom w:val="600"/>
                  <w:divBdr>
                    <w:top w:val="none" w:sz="0" w:space="0" w:color="auto"/>
                    <w:left w:val="none" w:sz="0" w:space="0" w:color="auto"/>
                    <w:bottom w:val="none" w:sz="0" w:space="0" w:color="auto"/>
                    <w:right w:val="none" w:sz="0" w:space="0" w:color="auto"/>
                  </w:divBdr>
                </w:div>
              </w:divsChild>
            </w:div>
            <w:div w:id="897787217">
              <w:marLeft w:val="0"/>
              <w:marRight w:val="0"/>
              <w:marTop w:val="0"/>
              <w:marBottom w:val="0"/>
              <w:divBdr>
                <w:top w:val="none" w:sz="0" w:space="0" w:color="auto"/>
                <w:left w:val="none" w:sz="0" w:space="0" w:color="auto"/>
                <w:bottom w:val="none" w:sz="0" w:space="0" w:color="auto"/>
                <w:right w:val="none" w:sz="0" w:space="0" w:color="auto"/>
              </w:divBdr>
              <w:divsChild>
                <w:div w:id="1905137597">
                  <w:marLeft w:val="0"/>
                  <w:marRight w:val="0"/>
                  <w:marTop w:val="0"/>
                  <w:marBottom w:val="0"/>
                  <w:divBdr>
                    <w:top w:val="none" w:sz="0" w:space="0" w:color="auto"/>
                    <w:left w:val="none" w:sz="0" w:space="0" w:color="auto"/>
                    <w:bottom w:val="none" w:sz="0" w:space="0" w:color="auto"/>
                    <w:right w:val="none" w:sz="0" w:space="0" w:color="auto"/>
                  </w:divBdr>
                </w:div>
              </w:divsChild>
            </w:div>
            <w:div w:id="798763549">
              <w:marLeft w:val="0"/>
              <w:marRight w:val="0"/>
              <w:marTop w:val="0"/>
              <w:marBottom w:val="0"/>
              <w:divBdr>
                <w:top w:val="none" w:sz="0" w:space="0" w:color="auto"/>
                <w:left w:val="none" w:sz="0" w:space="0" w:color="auto"/>
                <w:bottom w:val="none" w:sz="0" w:space="0" w:color="auto"/>
                <w:right w:val="none" w:sz="0" w:space="0" w:color="auto"/>
              </w:divBdr>
              <w:divsChild>
                <w:div w:id="535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993">
          <w:marLeft w:val="0"/>
          <w:marRight w:val="0"/>
          <w:marTop w:val="0"/>
          <w:marBottom w:val="0"/>
          <w:divBdr>
            <w:top w:val="none" w:sz="0" w:space="0" w:color="auto"/>
            <w:left w:val="none" w:sz="0" w:space="0" w:color="auto"/>
            <w:bottom w:val="none" w:sz="0" w:space="0" w:color="auto"/>
            <w:right w:val="none" w:sz="0" w:space="0" w:color="auto"/>
          </w:divBdr>
          <w:divsChild>
            <w:div w:id="388379586">
              <w:marLeft w:val="0"/>
              <w:marRight w:val="0"/>
              <w:marTop w:val="0"/>
              <w:marBottom w:val="0"/>
              <w:divBdr>
                <w:top w:val="none" w:sz="0" w:space="0" w:color="auto"/>
                <w:left w:val="none" w:sz="0" w:space="0" w:color="auto"/>
                <w:bottom w:val="none" w:sz="0" w:space="0" w:color="auto"/>
                <w:right w:val="none" w:sz="0" w:space="0" w:color="auto"/>
              </w:divBdr>
              <w:divsChild>
                <w:div w:id="545947010">
                  <w:marLeft w:val="0"/>
                  <w:marRight w:val="0"/>
                  <w:marTop w:val="0"/>
                  <w:marBottom w:val="0"/>
                  <w:divBdr>
                    <w:top w:val="none" w:sz="0" w:space="0" w:color="auto"/>
                    <w:left w:val="none" w:sz="0" w:space="0" w:color="auto"/>
                    <w:bottom w:val="none" w:sz="0" w:space="0" w:color="auto"/>
                    <w:right w:val="none" w:sz="0" w:space="0" w:color="auto"/>
                  </w:divBdr>
                </w:div>
              </w:divsChild>
            </w:div>
            <w:div w:id="770396337">
              <w:marLeft w:val="0"/>
              <w:marRight w:val="0"/>
              <w:marTop w:val="0"/>
              <w:marBottom w:val="0"/>
              <w:divBdr>
                <w:top w:val="none" w:sz="0" w:space="0" w:color="auto"/>
                <w:left w:val="none" w:sz="0" w:space="0" w:color="auto"/>
                <w:bottom w:val="none" w:sz="0" w:space="0" w:color="auto"/>
                <w:right w:val="none" w:sz="0" w:space="0" w:color="auto"/>
              </w:divBdr>
              <w:divsChild>
                <w:div w:id="733429639">
                  <w:marLeft w:val="0"/>
                  <w:marRight w:val="0"/>
                  <w:marTop w:val="360"/>
                  <w:marBottom w:val="600"/>
                  <w:divBdr>
                    <w:top w:val="none" w:sz="0" w:space="0" w:color="auto"/>
                    <w:left w:val="none" w:sz="0" w:space="0" w:color="auto"/>
                    <w:bottom w:val="none" w:sz="0" w:space="0" w:color="auto"/>
                    <w:right w:val="none" w:sz="0" w:space="0" w:color="auto"/>
                  </w:divBdr>
                </w:div>
              </w:divsChild>
            </w:div>
            <w:div w:id="1003896179">
              <w:marLeft w:val="0"/>
              <w:marRight w:val="0"/>
              <w:marTop w:val="0"/>
              <w:marBottom w:val="0"/>
              <w:divBdr>
                <w:top w:val="none" w:sz="0" w:space="0" w:color="auto"/>
                <w:left w:val="none" w:sz="0" w:space="0" w:color="auto"/>
                <w:bottom w:val="none" w:sz="0" w:space="0" w:color="auto"/>
                <w:right w:val="none" w:sz="0" w:space="0" w:color="auto"/>
              </w:divBdr>
              <w:divsChild>
                <w:div w:id="913974353">
                  <w:marLeft w:val="0"/>
                  <w:marRight w:val="0"/>
                  <w:marTop w:val="0"/>
                  <w:marBottom w:val="0"/>
                  <w:divBdr>
                    <w:top w:val="none" w:sz="0" w:space="0" w:color="auto"/>
                    <w:left w:val="none" w:sz="0" w:space="0" w:color="auto"/>
                    <w:bottom w:val="none" w:sz="0" w:space="0" w:color="auto"/>
                    <w:right w:val="none" w:sz="0" w:space="0" w:color="auto"/>
                  </w:divBdr>
                </w:div>
              </w:divsChild>
            </w:div>
            <w:div w:id="1484470953">
              <w:marLeft w:val="0"/>
              <w:marRight w:val="0"/>
              <w:marTop w:val="0"/>
              <w:marBottom w:val="0"/>
              <w:divBdr>
                <w:top w:val="none" w:sz="0" w:space="0" w:color="auto"/>
                <w:left w:val="none" w:sz="0" w:space="0" w:color="auto"/>
                <w:bottom w:val="none" w:sz="0" w:space="0" w:color="auto"/>
                <w:right w:val="none" w:sz="0" w:space="0" w:color="auto"/>
              </w:divBdr>
              <w:divsChild>
                <w:div w:id="1882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74">
          <w:marLeft w:val="0"/>
          <w:marRight w:val="0"/>
          <w:marTop w:val="0"/>
          <w:marBottom w:val="0"/>
          <w:divBdr>
            <w:top w:val="none" w:sz="0" w:space="0" w:color="auto"/>
            <w:left w:val="none" w:sz="0" w:space="0" w:color="auto"/>
            <w:bottom w:val="none" w:sz="0" w:space="0" w:color="auto"/>
            <w:right w:val="none" w:sz="0" w:space="0" w:color="auto"/>
          </w:divBdr>
          <w:divsChild>
            <w:div w:id="2014842586">
              <w:marLeft w:val="0"/>
              <w:marRight w:val="0"/>
              <w:marTop w:val="0"/>
              <w:marBottom w:val="0"/>
              <w:divBdr>
                <w:top w:val="none" w:sz="0" w:space="0" w:color="auto"/>
                <w:left w:val="none" w:sz="0" w:space="0" w:color="auto"/>
                <w:bottom w:val="none" w:sz="0" w:space="0" w:color="auto"/>
                <w:right w:val="none" w:sz="0" w:space="0" w:color="auto"/>
              </w:divBdr>
              <w:divsChild>
                <w:div w:id="436751435">
                  <w:marLeft w:val="0"/>
                  <w:marRight w:val="0"/>
                  <w:marTop w:val="0"/>
                  <w:marBottom w:val="0"/>
                  <w:divBdr>
                    <w:top w:val="none" w:sz="0" w:space="0" w:color="auto"/>
                    <w:left w:val="none" w:sz="0" w:space="0" w:color="auto"/>
                    <w:bottom w:val="none" w:sz="0" w:space="0" w:color="auto"/>
                    <w:right w:val="none" w:sz="0" w:space="0" w:color="auto"/>
                  </w:divBdr>
                </w:div>
              </w:divsChild>
            </w:div>
            <w:div w:id="20515711">
              <w:marLeft w:val="0"/>
              <w:marRight w:val="0"/>
              <w:marTop w:val="0"/>
              <w:marBottom w:val="0"/>
              <w:divBdr>
                <w:top w:val="none" w:sz="0" w:space="0" w:color="auto"/>
                <w:left w:val="none" w:sz="0" w:space="0" w:color="auto"/>
                <w:bottom w:val="none" w:sz="0" w:space="0" w:color="auto"/>
                <w:right w:val="none" w:sz="0" w:space="0" w:color="auto"/>
              </w:divBdr>
              <w:divsChild>
                <w:div w:id="1259555498">
                  <w:marLeft w:val="0"/>
                  <w:marRight w:val="0"/>
                  <w:marTop w:val="360"/>
                  <w:marBottom w:val="600"/>
                  <w:divBdr>
                    <w:top w:val="none" w:sz="0" w:space="0" w:color="auto"/>
                    <w:left w:val="none" w:sz="0" w:space="0" w:color="auto"/>
                    <w:bottom w:val="none" w:sz="0" w:space="0" w:color="auto"/>
                    <w:right w:val="none" w:sz="0" w:space="0" w:color="auto"/>
                  </w:divBdr>
                </w:div>
              </w:divsChild>
            </w:div>
            <w:div w:id="2108574962">
              <w:marLeft w:val="0"/>
              <w:marRight w:val="0"/>
              <w:marTop w:val="0"/>
              <w:marBottom w:val="0"/>
              <w:divBdr>
                <w:top w:val="none" w:sz="0" w:space="0" w:color="auto"/>
                <w:left w:val="none" w:sz="0" w:space="0" w:color="auto"/>
                <w:bottom w:val="none" w:sz="0" w:space="0" w:color="auto"/>
                <w:right w:val="none" w:sz="0" w:space="0" w:color="auto"/>
              </w:divBdr>
              <w:divsChild>
                <w:div w:id="390928886">
                  <w:marLeft w:val="0"/>
                  <w:marRight w:val="0"/>
                  <w:marTop w:val="0"/>
                  <w:marBottom w:val="0"/>
                  <w:divBdr>
                    <w:top w:val="none" w:sz="0" w:space="0" w:color="auto"/>
                    <w:left w:val="none" w:sz="0" w:space="0" w:color="auto"/>
                    <w:bottom w:val="none" w:sz="0" w:space="0" w:color="auto"/>
                    <w:right w:val="none" w:sz="0" w:space="0" w:color="auto"/>
                  </w:divBdr>
                </w:div>
              </w:divsChild>
            </w:div>
            <w:div w:id="951211367">
              <w:marLeft w:val="0"/>
              <w:marRight w:val="0"/>
              <w:marTop w:val="0"/>
              <w:marBottom w:val="0"/>
              <w:divBdr>
                <w:top w:val="none" w:sz="0" w:space="0" w:color="auto"/>
                <w:left w:val="none" w:sz="0" w:space="0" w:color="auto"/>
                <w:bottom w:val="none" w:sz="0" w:space="0" w:color="auto"/>
                <w:right w:val="none" w:sz="0" w:space="0" w:color="auto"/>
              </w:divBdr>
              <w:divsChild>
                <w:div w:id="1931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189">
          <w:marLeft w:val="0"/>
          <w:marRight w:val="0"/>
          <w:marTop w:val="0"/>
          <w:marBottom w:val="0"/>
          <w:divBdr>
            <w:top w:val="none" w:sz="0" w:space="0" w:color="auto"/>
            <w:left w:val="none" w:sz="0" w:space="0" w:color="auto"/>
            <w:bottom w:val="none" w:sz="0" w:space="0" w:color="auto"/>
            <w:right w:val="none" w:sz="0" w:space="0" w:color="auto"/>
          </w:divBdr>
          <w:divsChild>
            <w:div w:id="1441223174">
              <w:marLeft w:val="0"/>
              <w:marRight w:val="0"/>
              <w:marTop w:val="0"/>
              <w:marBottom w:val="0"/>
              <w:divBdr>
                <w:top w:val="none" w:sz="0" w:space="0" w:color="auto"/>
                <w:left w:val="none" w:sz="0" w:space="0" w:color="auto"/>
                <w:bottom w:val="none" w:sz="0" w:space="0" w:color="auto"/>
                <w:right w:val="none" w:sz="0" w:space="0" w:color="auto"/>
              </w:divBdr>
            </w:div>
          </w:divsChild>
        </w:div>
        <w:div w:id="1190988900">
          <w:marLeft w:val="0"/>
          <w:marRight w:val="0"/>
          <w:marTop w:val="0"/>
          <w:marBottom w:val="0"/>
          <w:divBdr>
            <w:top w:val="none" w:sz="0" w:space="0" w:color="auto"/>
            <w:left w:val="none" w:sz="0" w:space="0" w:color="auto"/>
            <w:bottom w:val="none" w:sz="0" w:space="0" w:color="auto"/>
            <w:right w:val="none" w:sz="0" w:space="0" w:color="auto"/>
          </w:divBdr>
        </w:div>
        <w:div w:id="1398435507">
          <w:marLeft w:val="0"/>
          <w:marRight w:val="0"/>
          <w:marTop w:val="0"/>
          <w:marBottom w:val="0"/>
          <w:divBdr>
            <w:top w:val="none" w:sz="0" w:space="0" w:color="auto"/>
            <w:left w:val="none" w:sz="0" w:space="0" w:color="auto"/>
            <w:bottom w:val="none" w:sz="0" w:space="0" w:color="auto"/>
            <w:right w:val="none" w:sz="0" w:space="0" w:color="auto"/>
          </w:divBdr>
        </w:div>
        <w:div w:id="23749872">
          <w:marLeft w:val="0"/>
          <w:marRight w:val="0"/>
          <w:marTop w:val="0"/>
          <w:marBottom w:val="0"/>
          <w:divBdr>
            <w:top w:val="none" w:sz="0" w:space="0" w:color="auto"/>
            <w:left w:val="none" w:sz="0" w:space="0" w:color="auto"/>
            <w:bottom w:val="none" w:sz="0" w:space="0" w:color="auto"/>
            <w:right w:val="none" w:sz="0" w:space="0" w:color="auto"/>
          </w:divBdr>
          <w:divsChild>
            <w:div w:id="1907832892">
              <w:marLeft w:val="0"/>
              <w:marRight w:val="0"/>
              <w:marTop w:val="0"/>
              <w:marBottom w:val="0"/>
              <w:divBdr>
                <w:top w:val="none" w:sz="0" w:space="0" w:color="auto"/>
                <w:left w:val="none" w:sz="0" w:space="0" w:color="auto"/>
                <w:bottom w:val="none" w:sz="0" w:space="0" w:color="auto"/>
                <w:right w:val="none" w:sz="0" w:space="0" w:color="auto"/>
              </w:divBdr>
            </w:div>
          </w:divsChild>
        </w:div>
        <w:div w:id="807015402">
          <w:marLeft w:val="0"/>
          <w:marRight w:val="0"/>
          <w:marTop w:val="0"/>
          <w:marBottom w:val="0"/>
          <w:divBdr>
            <w:top w:val="none" w:sz="0" w:space="0" w:color="auto"/>
            <w:left w:val="none" w:sz="0" w:space="0" w:color="auto"/>
            <w:bottom w:val="none" w:sz="0" w:space="0" w:color="auto"/>
            <w:right w:val="none" w:sz="0" w:space="0" w:color="auto"/>
          </w:divBdr>
          <w:divsChild>
            <w:div w:id="49110869">
              <w:marLeft w:val="0"/>
              <w:marRight w:val="0"/>
              <w:marTop w:val="0"/>
              <w:marBottom w:val="0"/>
              <w:divBdr>
                <w:top w:val="none" w:sz="0" w:space="0" w:color="auto"/>
                <w:left w:val="none" w:sz="0" w:space="0" w:color="auto"/>
                <w:bottom w:val="none" w:sz="0" w:space="0" w:color="auto"/>
                <w:right w:val="none" w:sz="0" w:space="0" w:color="auto"/>
              </w:divBdr>
            </w:div>
            <w:div w:id="1914851241">
              <w:marLeft w:val="0"/>
              <w:marRight w:val="0"/>
              <w:marTop w:val="0"/>
              <w:marBottom w:val="0"/>
              <w:divBdr>
                <w:top w:val="none" w:sz="0" w:space="0" w:color="auto"/>
                <w:left w:val="none" w:sz="0" w:space="0" w:color="auto"/>
                <w:bottom w:val="none" w:sz="0" w:space="0" w:color="auto"/>
                <w:right w:val="none" w:sz="0" w:space="0" w:color="auto"/>
              </w:divBdr>
              <w:divsChild>
                <w:div w:id="1994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682">
          <w:marLeft w:val="0"/>
          <w:marRight w:val="0"/>
          <w:marTop w:val="0"/>
          <w:marBottom w:val="0"/>
          <w:divBdr>
            <w:top w:val="none" w:sz="0" w:space="0" w:color="auto"/>
            <w:left w:val="none" w:sz="0" w:space="0" w:color="auto"/>
            <w:bottom w:val="none" w:sz="0" w:space="0" w:color="auto"/>
            <w:right w:val="none" w:sz="0" w:space="0" w:color="auto"/>
          </w:divBdr>
          <w:divsChild>
            <w:div w:id="52629901">
              <w:marLeft w:val="0"/>
              <w:marRight w:val="0"/>
              <w:marTop w:val="0"/>
              <w:marBottom w:val="0"/>
              <w:divBdr>
                <w:top w:val="none" w:sz="0" w:space="0" w:color="auto"/>
                <w:left w:val="none" w:sz="0" w:space="0" w:color="auto"/>
                <w:bottom w:val="none" w:sz="0" w:space="0" w:color="auto"/>
                <w:right w:val="none" w:sz="0" w:space="0" w:color="auto"/>
              </w:divBdr>
            </w:div>
          </w:divsChild>
        </w:div>
        <w:div w:id="820804404">
          <w:marLeft w:val="0"/>
          <w:marRight w:val="0"/>
          <w:marTop w:val="0"/>
          <w:marBottom w:val="0"/>
          <w:divBdr>
            <w:top w:val="none" w:sz="0" w:space="0" w:color="auto"/>
            <w:left w:val="none" w:sz="0" w:space="0" w:color="auto"/>
            <w:bottom w:val="none" w:sz="0" w:space="0" w:color="auto"/>
            <w:right w:val="none" w:sz="0" w:space="0" w:color="auto"/>
          </w:divBdr>
          <w:divsChild>
            <w:div w:id="924997222">
              <w:marLeft w:val="0"/>
              <w:marRight w:val="0"/>
              <w:marTop w:val="0"/>
              <w:marBottom w:val="0"/>
              <w:divBdr>
                <w:top w:val="none" w:sz="0" w:space="0" w:color="auto"/>
                <w:left w:val="none" w:sz="0" w:space="0" w:color="auto"/>
                <w:bottom w:val="none" w:sz="0" w:space="0" w:color="auto"/>
                <w:right w:val="none" w:sz="0" w:space="0" w:color="auto"/>
              </w:divBdr>
            </w:div>
          </w:divsChild>
        </w:div>
        <w:div w:id="807554177">
          <w:marLeft w:val="0"/>
          <w:marRight w:val="0"/>
          <w:marTop w:val="0"/>
          <w:marBottom w:val="0"/>
          <w:divBdr>
            <w:top w:val="none" w:sz="0" w:space="0" w:color="auto"/>
            <w:left w:val="none" w:sz="0" w:space="0" w:color="auto"/>
            <w:bottom w:val="none" w:sz="0" w:space="0" w:color="auto"/>
            <w:right w:val="none" w:sz="0" w:space="0" w:color="auto"/>
          </w:divBdr>
        </w:div>
        <w:div w:id="285621915">
          <w:marLeft w:val="0"/>
          <w:marRight w:val="0"/>
          <w:marTop w:val="0"/>
          <w:marBottom w:val="0"/>
          <w:divBdr>
            <w:top w:val="none" w:sz="0" w:space="0" w:color="auto"/>
            <w:left w:val="none" w:sz="0" w:space="0" w:color="auto"/>
            <w:bottom w:val="none" w:sz="0" w:space="0" w:color="auto"/>
            <w:right w:val="none" w:sz="0" w:space="0" w:color="auto"/>
          </w:divBdr>
          <w:divsChild>
            <w:div w:id="512182688">
              <w:marLeft w:val="0"/>
              <w:marRight w:val="0"/>
              <w:marTop w:val="0"/>
              <w:marBottom w:val="0"/>
              <w:divBdr>
                <w:top w:val="none" w:sz="0" w:space="0" w:color="auto"/>
                <w:left w:val="none" w:sz="0" w:space="0" w:color="auto"/>
                <w:bottom w:val="none" w:sz="0" w:space="0" w:color="auto"/>
                <w:right w:val="none" w:sz="0" w:space="0" w:color="auto"/>
              </w:divBdr>
            </w:div>
          </w:divsChild>
        </w:div>
        <w:div w:id="1881555864">
          <w:marLeft w:val="0"/>
          <w:marRight w:val="0"/>
          <w:marTop w:val="0"/>
          <w:marBottom w:val="0"/>
          <w:divBdr>
            <w:top w:val="none" w:sz="0" w:space="0" w:color="auto"/>
            <w:left w:val="none" w:sz="0" w:space="0" w:color="auto"/>
            <w:bottom w:val="none" w:sz="0" w:space="0" w:color="auto"/>
            <w:right w:val="none" w:sz="0" w:space="0" w:color="auto"/>
          </w:divBdr>
          <w:divsChild>
            <w:div w:id="1377117163">
              <w:marLeft w:val="0"/>
              <w:marRight w:val="0"/>
              <w:marTop w:val="0"/>
              <w:marBottom w:val="0"/>
              <w:divBdr>
                <w:top w:val="none" w:sz="0" w:space="0" w:color="auto"/>
                <w:left w:val="none" w:sz="0" w:space="0" w:color="auto"/>
                <w:bottom w:val="none" w:sz="0" w:space="0" w:color="auto"/>
                <w:right w:val="none" w:sz="0" w:space="0" w:color="auto"/>
              </w:divBdr>
            </w:div>
          </w:divsChild>
        </w:div>
        <w:div w:id="1289244406">
          <w:marLeft w:val="0"/>
          <w:marRight w:val="0"/>
          <w:marTop w:val="0"/>
          <w:marBottom w:val="0"/>
          <w:divBdr>
            <w:top w:val="none" w:sz="0" w:space="0" w:color="auto"/>
            <w:left w:val="none" w:sz="0" w:space="0" w:color="auto"/>
            <w:bottom w:val="none" w:sz="0" w:space="0" w:color="auto"/>
            <w:right w:val="none" w:sz="0" w:space="0" w:color="auto"/>
          </w:divBdr>
          <w:divsChild>
            <w:div w:id="957567514">
              <w:marLeft w:val="0"/>
              <w:marRight w:val="0"/>
              <w:marTop w:val="0"/>
              <w:marBottom w:val="0"/>
              <w:divBdr>
                <w:top w:val="none" w:sz="0" w:space="0" w:color="auto"/>
                <w:left w:val="none" w:sz="0" w:space="0" w:color="auto"/>
                <w:bottom w:val="none" w:sz="0" w:space="0" w:color="auto"/>
                <w:right w:val="none" w:sz="0" w:space="0" w:color="auto"/>
              </w:divBdr>
            </w:div>
          </w:divsChild>
        </w:div>
        <w:div w:id="1889028498">
          <w:marLeft w:val="0"/>
          <w:marRight w:val="0"/>
          <w:marTop w:val="0"/>
          <w:marBottom w:val="0"/>
          <w:divBdr>
            <w:top w:val="none" w:sz="0" w:space="0" w:color="auto"/>
            <w:left w:val="none" w:sz="0" w:space="0" w:color="auto"/>
            <w:bottom w:val="none" w:sz="0" w:space="0" w:color="auto"/>
            <w:right w:val="none" w:sz="0" w:space="0" w:color="auto"/>
          </w:divBdr>
          <w:divsChild>
            <w:div w:id="1608584466">
              <w:marLeft w:val="0"/>
              <w:marRight w:val="0"/>
              <w:marTop w:val="0"/>
              <w:marBottom w:val="0"/>
              <w:divBdr>
                <w:top w:val="none" w:sz="0" w:space="0" w:color="auto"/>
                <w:left w:val="none" w:sz="0" w:space="0" w:color="auto"/>
                <w:bottom w:val="none" w:sz="0" w:space="0" w:color="auto"/>
                <w:right w:val="none" w:sz="0" w:space="0" w:color="auto"/>
              </w:divBdr>
            </w:div>
          </w:divsChild>
        </w:div>
        <w:div w:id="36663577">
          <w:marLeft w:val="0"/>
          <w:marRight w:val="0"/>
          <w:marTop w:val="0"/>
          <w:marBottom w:val="0"/>
          <w:divBdr>
            <w:top w:val="none" w:sz="0" w:space="0" w:color="auto"/>
            <w:left w:val="none" w:sz="0" w:space="0" w:color="auto"/>
            <w:bottom w:val="none" w:sz="0" w:space="0" w:color="auto"/>
            <w:right w:val="none" w:sz="0" w:space="0" w:color="auto"/>
          </w:divBdr>
          <w:divsChild>
            <w:div w:id="531770898">
              <w:marLeft w:val="0"/>
              <w:marRight w:val="0"/>
              <w:marTop w:val="0"/>
              <w:marBottom w:val="480"/>
              <w:divBdr>
                <w:top w:val="none" w:sz="0" w:space="0" w:color="auto"/>
                <w:left w:val="none" w:sz="0" w:space="0" w:color="auto"/>
                <w:bottom w:val="none" w:sz="0" w:space="0" w:color="auto"/>
                <w:right w:val="none" w:sz="0" w:space="0" w:color="auto"/>
              </w:divBdr>
              <w:divsChild>
                <w:div w:id="1271010533">
                  <w:marLeft w:val="0"/>
                  <w:marRight w:val="0"/>
                  <w:marTop w:val="0"/>
                  <w:marBottom w:val="0"/>
                  <w:divBdr>
                    <w:top w:val="none" w:sz="0" w:space="0" w:color="auto"/>
                    <w:left w:val="none" w:sz="0" w:space="0" w:color="auto"/>
                    <w:bottom w:val="none" w:sz="0" w:space="0" w:color="auto"/>
                    <w:right w:val="none" w:sz="0" w:space="0" w:color="auto"/>
                  </w:divBdr>
                  <w:divsChild>
                    <w:div w:id="310718872">
                      <w:marLeft w:val="0"/>
                      <w:marRight w:val="0"/>
                      <w:marTop w:val="0"/>
                      <w:marBottom w:val="0"/>
                      <w:divBdr>
                        <w:top w:val="none" w:sz="0" w:space="0" w:color="auto"/>
                        <w:left w:val="none" w:sz="0" w:space="0" w:color="auto"/>
                        <w:bottom w:val="none" w:sz="0" w:space="0" w:color="auto"/>
                        <w:right w:val="none" w:sz="0" w:space="0" w:color="auto"/>
                      </w:divBdr>
                    </w:div>
                    <w:div w:id="636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7205">
          <w:marLeft w:val="0"/>
          <w:marRight w:val="0"/>
          <w:marTop w:val="0"/>
          <w:marBottom w:val="0"/>
          <w:divBdr>
            <w:top w:val="none" w:sz="0" w:space="0" w:color="auto"/>
            <w:left w:val="none" w:sz="0" w:space="0" w:color="auto"/>
            <w:bottom w:val="none" w:sz="0" w:space="0" w:color="auto"/>
            <w:right w:val="none" w:sz="0" w:space="0" w:color="auto"/>
          </w:divBdr>
          <w:divsChild>
            <w:div w:id="2105107868">
              <w:marLeft w:val="0"/>
              <w:marRight w:val="0"/>
              <w:marTop w:val="0"/>
              <w:marBottom w:val="0"/>
              <w:divBdr>
                <w:top w:val="none" w:sz="0" w:space="0" w:color="auto"/>
                <w:left w:val="none" w:sz="0" w:space="0" w:color="auto"/>
                <w:bottom w:val="none" w:sz="0" w:space="0" w:color="auto"/>
                <w:right w:val="none" w:sz="0" w:space="0" w:color="auto"/>
              </w:divBdr>
            </w:div>
          </w:divsChild>
        </w:div>
        <w:div w:id="1946885265">
          <w:marLeft w:val="0"/>
          <w:marRight w:val="0"/>
          <w:marTop w:val="0"/>
          <w:marBottom w:val="0"/>
          <w:divBdr>
            <w:top w:val="none" w:sz="0" w:space="0" w:color="auto"/>
            <w:left w:val="none" w:sz="0" w:space="0" w:color="auto"/>
            <w:bottom w:val="none" w:sz="0" w:space="0" w:color="auto"/>
            <w:right w:val="none" w:sz="0" w:space="0" w:color="auto"/>
          </w:divBdr>
          <w:divsChild>
            <w:div w:id="770662983">
              <w:marLeft w:val="0"/>
              <w:marRight w:val="0"/>
              <w:marTop w:val="0"/>
              <w:marBottom w:val="0"/>
              <w:divBdr>
                <w:top w:val="none" w:sz="0" w:space="0" w:color="auto"/>
                <w:left w:val="none" w:sz="0" w:space="0" w:color="auto"/>
                <w:bottom w:val="none" w:sz="0" w:space="0" w:color="auto"/>
                <w:right w:val="none" w:sz="0" w:space="0" w:color="auto"/>
              </w:divBdr>
            </w:div>
          </w:divsChild>
        </w:div>
        <w:div w:id="1535651351">
          <w:marLeft w:val="0"/>
          <w:marRight w:val="0"/>
          <w:marTop w:val="0"/>
          <w:marBottom w:val="0"/>
          <w:divBdr>
            <w:top w:val="none" w:sz="0" w:space="0" w:color="auto"/>
            <w:left w:val="none" w:sz="0" w:space="0" w:color="auto"/>
            <w:bottom w:val="none" w:sz="0" w:space="0" w:color="auto"/>
            <w:right w:val="none" w:sz="0" w:space="0" w:color="auto"/>
          </w:divBdr>
          <w:divsChild>
            <w:div w:id="2145852884">
              <w:marLeft w:val="0"/>
              <w:marRight w:val="0"/>
              <w:marTop w:val="0"/>
              <w:marBottom w:val="0"/>
              <w:divBdr>
                <w:top w:val="none" w:sz="0" w:space="0" w:color="auto"/>
                <w:left w:val="none" w:sz="0" w:space="0" w:color="auto"/>
                <w:bottom w:val="none" w:sz="0" w:space="0" w:color="auto"/>
                <w:right w:val="none" w:sz="0" w:space="0" w:color="auto"/>
              </w:divBdr>
            </w:div>
            <w:div w:id="2033216181">
              <w:marLeft w:val="0"/>
              <w:marRight w:val="0"/>
              <w:marTop w:val="0"/>
              <w:marBottom w:val="0"/>
              <w:divBdr>
                <w:top w:val="none" w:sz="0" w:space="0" w:color="auto"/>
                <w:left w:val="none" w:sz="0" w:space="0" w:color="auto"/>
                <w:bottom w:val="none" w:sz="0" w:space="0" w:color="auto"/>
                <w:right w:val="none" w:sz="0" w:space="0" w:color="auto"/>
              </w:divBdr>
              <w:divsChild>
                <w:div w:id="13300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323">
          <w:marLeft w:val="0"/>
          <w:marRight w:val="0"/>
          <w:marTop w:val="0"/>
          <w:marBottom w:val="0"/>
          <w:divBdr>
            <w:top w:val="single" w:sz="6" w:space="4" w:color="DDDDDD"/>
            <w:left w:val="single" w:sz="6" w:space="4" w:color="DDDDDD"/>
            <w:bottom w:val="single" w:sz="6" w:space="4" w:color="DDDDDD"/>
            <w:right w:val="single" w:sz="6" w:space="4" w:color="DDDDDD"/>
          </w:divBdr>
          <w:divsChild>
            <w:div w:id="2066105014">
              <w:marLeft w:val="0"/>
              <w:marRight w:val="0"/>
              <w:marTop w:val="0"/>
              <w:marBottom w:val="0"/>
              <w:divBdr>
                <w:top w:val="none" w:sz="0" w:space="0" w:color="auto"/>
                <w:left w:val="none" w:sz="0" w:space="0" w:color="auto"/>
                <w:bottom w:val="none" w:sz="0" w:space="0" w:color="auto"/>
                <w:right w:val="none" w:sz="0" w:space="0" w:color="auto"/>
              </w:divBdr>
              <w:divsChild>
                <w:div w:id="1050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1250">
      <w:bodyDiv w:val="1"/>
      <w:marLeft w:val="0"/>
      <w:marRight w:val="0"/>
      <w:marTop w:val="0"/>
      <w:marBottom w:val="0"/>
      <w:divBdr>
        <w:top w:val="none" w:sz="0" w:space="0" w:color="auto"/>
        <w:left w:val="none" w:sz="0" w:space="0" w:color="auto"/>
        <w:bottom w:val="none" w:sz="0" w:space="0" w:color="auto"/>
        <w:right w:val="none" w:sz="0" w:space="0" w:color="auto"/>
      </w:divBdr>
    </w:div>
    <w:div w:id="994845461">
      <w:bodyDiv w:val="1"/>
      <w:marLeft w:val="0"/>
      <w:marRight w:val="0"/>
      <w:marTop w:val="0"/>
      <w:marBottom w:val="0"/>
      <w:divBdr>
        <w:top w:val="none" w:sz="0" w:space="0" w:color="auto"/>
        <w:left w:val="none" w:sz="0" w:space="0" w:color="auto"/>
        <w:bottom w:val="none" w:sz="0" w:space="0" w:color="auto"/>
        <w:right w:val="none" w:sz="0" w:space="0" w:color="auto"/>
      </w:divBdr>
    </w:div>
    <w:div w:id="1032078252">
      <w:bodyDiv w:val="1"/>
      <w:marLeft w:val="0"/>
      <w:marRight w:val="0"/>
      <w:marTop w:val="0"/>
      <w:marBottom w:val="0"/>
      <w:divBdr>
        <w:top w:val="none" w:sz="0" w:space="0" w:color="auto"/>
        <w:left w:val="none" w:sz="0" w:space="0" w:color="auto"/>
        <w:bottom w:val="none" w:sz="0" w:space="0" w:color="auto"/>
        <w:right w:val="none" w:sz="0" w:space="0" w:color="auto"/>
      </w:divBdr>
    </w:div>
    <w:div w:id="1104155843">
      <w:bodyDiv w:val="1"/>
      <w:marLeft w:val="0"/>
      <w:marRight w:val="0"/>
      <w:marTop w:val="0"/>
      <w:marBottom w:val="0"/>
      <w:divBdr>
        <w:top w:val="none" w:sz="0" w:space="0" w:color="auto"/>
        <w:left w:val="none" w:sz="0" w:space="0" w:color="auto"/>
        <w:bottom w:val="none" w:sz="0" w:space="0" w:color="auto"/>
        <w:right w:val="none" w:sz="0" w:space="0" w:color="auto"/>
      </w:divBdr>
    </w:div>
    <w:div w:id="1127049764">
      <w:bodyDiv w:val="1"/>
      <w:marLeft w:val="0"/>
      <w:marRight w:val="0"/>
      <w:marTop w:val="0"/>
      <w:marBottom w:val="0"/>
      <w:divBdr>
        <w:top w:val="none" w:sz="0" w:space="0" w:color="auto"/>
        <w:left w:val="none" w:sz="0" w:space="0" w:color="auto"/>
        <w:bottom w:val="none" w:sz="0" w:space="0" w:color="auto"/>
        <w:right w:val="none" w:sz="0" w:space="0" w:color="auto"/>
      </w:divBdr>
    </w:div>
    <w:div w:id="1131089844">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49594085">
      <w:bodyDiv w:val="1"/>
      <w:marLeft w:val="0"/>
      <w:marRight w:val="0"/>
      <w:marTop w:val="0"/>
      <w:marBottom w:val="0"/>
      <w:divBdr>
        <w:top w:val="none" w:sz="0" w:space="0" w:color="auto"/>
        <w:left w:val="none" w:sz="0" w:space="0" w:color="auto"/>
        <w:bottom w:val="none" w:sz="0" w:space="0" w:color="auto"/>
        <w:right w:val="none" w:sz="0" w:space="0" w:color="auto"/>
      </w:divBdr>
    </w:div>
    <w:div w:id="1179735246">
      <w:bodyDiv w:val="1"/>
      <w:marLeft w:val="0"/>
      <w:marRight w:val="0"/>
      <w:marTop w:val="0"/>
      <w:marBottom w:val="0"/>
      <w:divBdr>
        <w:top w:val="none" w:sz="0" w:space="0" w:color="auto"/>
        <w:left w:val="none" w:sz="0" w:space="0" w:color="auto"/>
        <w:bottom w:val="none" w:sz="0" w:space="0" w:color="auto"/>
        <w:right w:val="none" w:sz="0" w:space="0" w:color="auto"/>
      </w:divBdr>
    </w:div>
    <w:div w:id="1181697961">
      <w:bodyDiv w:val="1"/>
      <w:marLeft w:val="0"/>
      <w:marRight w:val="0"/>
      <w:marTop w:val="0"/>
      <w:marBottom w:val="0"/>
      <w:divBdr>
        <w:top w:val="none" w:sz="0" w:space="0" w:color="auto"/>
        <w:left w:val="none" w:sz="0" w:space="0" w:color="auto"/>
        <w:bottom w:val="none" w:sz="0" w:space="0" w:color="auto"/>
        <w:right w:val="none" w:sz="0" w:space="0" w:color="auto"/>
      </w:divBdr>
    </w:div>
    <w:div w:id="1230338912">
      <w:bodyDiv w:val="1"/>
      <w:marLeft w:val="0"/>
      <w:marRight w:val="0"/>
      <w:marTop w:val="0"/>
      <w:marBottom w:val="0"/>
      <w:divBdr>
        <w:top w:val="none" w:sz="0" w:space="0" w:color="auto"/>
        <w:left w:val="none" w:sz="0" w:space="0" w:color="auto"/>
        <w:bottom w:val="none" w:sz="0" w:space="0" w:color="auto"/>
        <w:right w:val="none" w:sz="0" w:space="0" w:color="auto"/>
      </w:divBdr>
    </w:div>
    <w:div w:id="1233009135">
      <w:bodyDiv w:val="1"/>
      <w:marLeft w:val="0"/>
      <w:marRight w:val="0"/>
      <w:marTop w:val="0"/>
      <w:marBottom w:val="0"/>
      <w:divBdr>
        <w:top w:val="none" w:sz="0" w:space="0" w:color="auto"/>
        <w:left w:val="none" w:sz="0" w:space="0" w:color="auto"/>
        <w:bottom w:val="none" w:sz="0" w:space="0" w:color="auto"/>
        <w:right w:val="none" w:sz="0" w:space="0" w:color="auto"/>
      </w:divBdr>
    </w:div>
    <w:div w:id="1243837577">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0629890">
      <w:bodyDiv w:val="1"/>
      <w:marLeft w:val="0"/>
      <w:marRight w:val="0"/>
      <w:marTop w:val="0"/>
      <w:marBottom w:val="0"/>
      <w:divBdr>
        <w:top w:val="none" w:sz="0" w:space="0" w:color="auto"/>
        <w:left w:val="none" w:sz="0" w:space="0" w:color="auto"/>
        <w:bottom w:val="none" w:sz="0" w:space="0" w:color="auto"/>
        <w:right w:val="none" w:sz="0" w:space="0" w:color="auto"/>
      </w:divBdr>
      <w:divsChild>
        <w:div w:id="2094010474">
          <w:marLeft w:val="0"/>
          <w:marRight w:val="0"/>
          <w:marTop w:val="0"/>
          <w:marBottom w:val="0"/>
          <w:divBdr>
            <w:top w:val="none" w:sz="0" w:space="0" w:color="auto"/>
            <w:left w:val="none" w:sz="0" w:space="0" w:color="auto"/>
            <w:bottom w:val="none" w:sz="0" w:space="0" w:color="auto"/>
            <w:right w:val="none" w:sz="0" w:space="0" w:color="auto"/>
          </w:divBdr>
          <w:divsChild>
            <w:div w:id="62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2334">
      <w:bodyDiv w:val="1"/>
      <w:marLeft w:val="0"/>
      <w:marRight w:val="0"/>
      <w:marTop w:val="0"/>
      <w:marBottom w:val="0"/>
      <w:divBdr>
        <w:top w:val="none" w:sz="0" w:space="0" w:color="auto"/>
        <w:left w:val="none" w:sz="0" w:space="0" w:color="auto"/>
        <w:bottom w:val="none" w:sz="0" w:space="0" w:color="auto"/>
        <w:right w:val="none" w:sz="0" w:space="0" w:color="auto"/>
      </w:divBdr>
    </w:div>
    <w:div w:id="1336494650">
      <w:bodyDiv w:val="1"/>
      <w:marLeft w:val="0"/>
      <w:marRight w:val="0"/>
      <w:marTop w:val="0"/>
      <w:marBottom w:val="0"/>
      <w:divBdr>
        <w:top w:val="none" w:sz="0" w:space="0" w:color="auto"/>
        <w:left w:val="none" w:sz="0" w:space="0" w:color="auto"/>
        <w:bottom w:val="none" w:sz="0" w:space="0" w:color="auto"/>
        <w:right w:val="none" w:sz="0" w:space="0" w:color="auto"/>
      </w:divBdr>
    </w:div>
    <w:div w:id="1345285293">
      <w:bodyDiv w:val="1"/>
      <w:marLeft w:val="0"/>
      <w:marRight w:val="0"/>
      <w:marTop w:val="0"/>
      <w:marBottom w:val="0"/>
      <w:divBdr>
        <w:top w:val="none" w:sz="0" w:space="0" w:color="auto"/>
        <w:left w:val="none" w:sz="0" w:space="0" w:color="auto"/>
        <w:bottom w:val="none" w:sz="0" w:space="0" w:color="auto"/>
        <w:right w:val="none" w:sz="0" w:space="0" w:color="auto"/>
      </w:divBdr>
    </w:div>
    <w:div w:id="1346203296">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46214540">
      <w:bodyDiv w:val="1"/>
      <w:marLeft w:val="0"/>
      <w:marRight w:val="0"/>
      <w:marTop w:val="0"/>
      <w:marBottom w:val="0"/>
      <w:divBdr>
        <w:top w:val="none" w:sz="0" w:space="0" w:color="auto"/>
        <w:left w:val="none" w:sz="0" w:space="0" w:color="auto"/>
        <w:bottom w:val="none" w:sz="0" w:space="0" w:color="auto"/>
        <w:right w:val="none" w:sz="0" w:space="0" w:color="auto"/>
      </w:divBdr>
    </w:div>
    <w:div w:id="1547911250">
      <w:bodyDiv w:val="1"/>
      <w:marLeft w:val="0"/>
      <w:marRight w:val="0"/>
      <w:marTop w:val="0"/>
      <w:marBottom w:val="0"/>
      <w:divBdr>
        <w:top w:val="none" w:sz="0" w:space="0" w:color="auto"/>
        <w:left w:val="none" w:sz="0" w:space="0" w:color="auto"/>
        <w:bottom w:val="none" w:sz="0" w:space="0" w:color="auto"/>
        <w:right w:val="none" w:sz="0" w:space="0" w:color="auto"/>
      </w:divBdr>
    </w:div>
    <w:div w:id="1574045373">
      <w:bodyDiv w:val="1"/>
      <w:marLeft w:val="0"/>
      <w:marRight w:val="0"/>
      <w:marTop w:val="0"/>
      <w:marBottom w:val="0"/>
      <w:divBdr>
        <w:top w:val="none" w:sz="0" w:space="0" w:color="auto"/>
        <w:left w:val="none" w:sz="0" w:space="0" w:color="auto"/>
        <w:bottom w:val="none" w:sz="0" w:space="0" w:color="auto"/>
        <w:right w:val="none" w:sz="0" w:space="0" w:color="auto"/>
      </w:divBdr>
    </w:div>
    <w:div w:id="1582986055">
      <w:bodyDiv w:val="1"/>
      <w:marLeft w:val="0"/>
      <w:marRight w:val="0"/>
      <w:marTop w:val="0"/>
      <w:marBottom w:val="0"/>
      <w:divBdr>
        <w:top w:val="none" w:sz="0" w:space="0" w:color="auto"/>
        <w:left w:val="none" w:sz="0" w:space="0" w:color="auto"/>
        <w:bottom w:val="none" w:sz="0" w:space="0" w:color="auto"/>
        <w:right w:val="none" w:sz="0" w:space="0" w:color="auto"/>
      </w:divBdr>
      <w:divsChild>
        <w:div w:id="1908832821">
          <w:marLeft w:val="0"/>
          <w:marRight w:val="0"/>
          <w:marTop w:val="0"/>
          <w:marBottom w:val="0"/>
          <w:divBdr>
            <w:top w:val="none" w:sz="0" w:space="0" w:color="auto"/>
            <w:left w:val="none" w:sz="0" w:space="0" w:color="auto"/>
            <w:bottom w:val="none" w:sz="0" w:space="0" w:color="auto"/>
            <w:right w:val="none" w:sz="0" w:space="0" w:color="auto"/>
          </w:divBdr>
          <w:divsChild>
            <w:div w:id="1835219959">
              <w:marLeft w:val="0"/>
              <w:marRight w:val="0"/>
              <w:marTop w:val="0"/>
              <w:marBottom w:val="0"/>
              <w:divBdr>
                <w:top w:val="none" w:sz="0" w:space="0" w:color="auto"/>
                <w:left w:val="none" w:sz="0" w:space="0" w:color="auto"/>
                <w:bottom w:val="none" w:sz="0" w:space="0" w:color="auto"/>
                <w:right w:val="none" w:sz="0" w:space="0" w:color="auto"/>
              </w:divBdr>
              <w:divsChild>
                <w:div w:id="1866559235">
                  <w:marLeft w:val="0"/>
                  <w:marRight w:val="0"/>
                  <w:marTop w:val="0"/>
                  <w:marBottom w:val="0"/>
                  <w:divBdr>
                    <w:top w:val="none" w:sz="0" w:space="0" w:color="auto"/>
                    <w:left w:val="none" w:sz="0" w:space="0" w:color="auto"/>
                    <w:bottom w:val="none" w:sz="0" w:space="0" w:color="auto"/>
                    <w:right w:val="none" w:sz="0" w:space="0" w:color="auto"/>
                  </w:divBdr>
                  <w:divsChild>
                    <w:div w:id="381486807">
                      <w:marLeft w:val="0"/>
                      <w:marRight w:val="0"/>
                      <w:marTop w:val="0"/>
                      <w:marBottom w:val="0"/>
                      <w:divBdr>
                        <w:top w:val="none" w:sz="0" w:space="0" w:color="auto"/>
                        <w:left w:val="none" w:sz="0" w:space="0" w:color="auto"/>
                        <w:bottom w:val="none" w:sz="0" w:space="0" w:color="auto"/>
                        <w:right w:val="none" w:sz="0" w:space="0" w:color="auto"/>
                      </w:divBdr>
                      <w:divsChild>
                        <w:div w:id="2104837936">
                          <w:marLeft w:val="0"/>
                          <w:marRight w:val="0"/>
                          <w:marTop w:val="0"/>
                          <w:marBottom w:val="0"/>
                          <w:divBdr>
                            <w:top w:val="none" w:sz="0" w:space="0" w:color="auto"/>
                            <w:left w:val="none" w:sz="0" w:space="0" w:color="auto"/>
                            <w:bottom w:val="none" w:sz="0" w:space="0" w:color="auto"/>
                            <w:right w:val="none" w:sz="0" w:space="0" w:color="auto"/>
                          </w:divBdr>
                          <w:divsChild>
                            <w:div w:id="11266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0958">
              <w:marLeft w:val="0"/>
              <w:marRight w:val="0"/>
              <w:marTop w:val="0"/>
              <w:marBottom w:val="0"/>
              <w:divBdr>
                <w:top w:val="none" w:sz="0" w:space="0" w:color="auto"/>
                <w:left w:val="none" w:sz="0" w:space="0" w:color="auto"/>
                <w:bottom w:val="none" w:sz="0" w:space="0" w:color="auto"/>
                <w:right w:val="none" w:sz="0" w:space="0" w:color="auto"/>
              </w:divBdr>
              <w:divsChild>
                <w:div w:id="1304429422">
                  <w:marLeft w:val="0"/>
                  <w:marRight w:val="0"/>
                  <w:marTop w:val="0"/>
                  <w:marBottom w:val="0"/>
                  <w:divBdr>
                    <w:top w:val="none" w:sz="0" w:space="0" w:color="auto"/>
                    <w:left w:val="none" w:sz="0" w:space="0" w:color="auto"/>
                    <w:bottom w:val="none" w:sz="0" w:space="0" w:color="auto"/>
                    <w:right w:val="none" w:sz="0" w:space="0" w:color="auto"/>
                  </w:divBdr>
                  <w:divsChild>
                    <w:div w:id="945112554">
                      <w:marLeft w:val="0"/>
                      <w:marRight w:val="0"/>
                      <w:marTop w:val="0"/>
                      <w:marBottom w:val="0"/>
                      <w:divBdr>
                        <w:top w:val="none" w:sz="0" w:space="0" w:color="auto"/>
                        <w:left w:val="none" w:sz="0" w:space="0" w:color="auto"/>
                        <w:bottom w:val="none" w:sz="0" w:space="0" w:color="auto"/>
                        <w:right w:val="none" w:sz="0" w:space="0" w:color="auto"/>
                      </w:divBdr>
                      <w:divsChild>
                        <w:div w:id="469641029">
                          <w:marLeft w:val="0"/>
                          <w:marRight w:val="0"/>
                          <w:marTop w:val="0"/>
                          <w:marBottom w:val="0"/>
                          <w:divBdr>
                            <w:top w:val="none" w:sz="0" w:space="0" w:color="auto"/>
                            <w:left w:val="none" w:sz="0" w:space="0" w:color="auto"/>
                            <w:bottom w:val="none" w:sz="0" w:space="0" w:color="auto"/>
                            <w:right w:val="none" w:sz="0" w:space="0" w:color="auto"/>
                          </w:divBdr>
                        </w:div>
                        <w:div w:id="1151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38787">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864">
      <w:bodyDiv w:val="1"/>
      <w:marLeft w:val="0"/>
      <w:marRight w:val="0"/>
      <w:marTop w:val="0"/>
      <w:marBottom w:val="0"/>
      <w:divBdr>
        <w:top w:val="none" w:sz="0" w:space="0" w:color="auto"/>
        <w:left w:val="none" w:sz="0" w:space="0" w:color="auto"/>
        <w:bottom w:val="none" w:sz="0" w:space="0" w:color="auto"/>
        <w:right w:val="none" w:sz="0" w:space="0" w:color="auto"/>
      </w:divBdr>
    </w:div>
    <w:div w:id="1624113160">
      <w:bodyDiv w:val="1"/>
      <w:marLeft w:val="0"/>
      <w:marRight w:val="0"/>
      <w:marTop w:val="0"/>
      <w:marBottom w:val="0"/>
      <w:divBdr>
        <w:top w:val="none" w:sz="0" w:space="0" w:color="auto"/>
        <w:left w:val="none" w:sz="0" w:space="0" w:color="auto"/>
        <w:bottom w:val="none" w:sz="0" w:space="0" w:color="auto"/>
        <w:right w:val="none" w:sz="0" w:space="0" w:color="auto"/>
      </w:divBdr>
    </w:div>
    <w:div w:id="1641691746">
      <w:bodyDiv w:val="1"/>
      <w:marLeft w:val="0"/>
      <w:marRight w:val="0"/>
      <w:marTop w:val="0"/>
      <w:marBottom w:val="0"/>
      <w:divBdr>
        <w:top w:val="none" w:sz="0" w:space="0" w:color="auto"/>
        <w:left w:val="none" w:sz="0" w:space="0" w:color="auto"/>
        <w:bottom w:val="none" w:sz="0" w:space="0" w:color="auto"/>
        <w:right w:val="none" w:sz="0" w:space="0" w:color="auto"/>
      </w:divBdr>
    </w:div>
    <w:div w:id="1700738442">
      <w:bodyDiv w:val="1"/>
      <w:marLeft w:val="0"/>
      <w:marRight w:val="0"/>
      <w:marTop w:val="0"/>
      <w:marBottom w:val="0"/>
      <w:divBdr>
        <w:top w:val="none" w:sz="0" w:space="0" w:color="auto"/>
        <w:left w:val="none" w:sz="0" w:space="0" w:color="auto"/>
        <w:bottom w:val="none" w:sz="0" w:space="0" w:color="auto"/>
        <w:right w:val="none" w:sz="0" w:space="0" w:color="auto"/>
      </w:divBdr>
    </w:div>
    <w:div w:id="1708606231">
      <w:bodyDiv w:val="1"/>
      <w:marLeft w:val="0"/>
      <w:marRight w:val="0"/>
      <w:marTop w:val="0"/>
      <w:marBottom w:val="0"/>
      <w:divBdr>
        <w:top w:val="none" w:sz="0" w:space="0" w:color="auto"/>
        <w:left w:val="none" w:sz="0" w:space="0" w:color="auto"/>
        <w:bottom w:val="none" w:sz="0" w:space="0" w:color="auto"/>
        <w:right w:val="none" w:sz="0" w:space="0" w:color="auto"/>
      </w:divBdr>
    </w:div>
    <w:div w:id="1724984119">
      <w:bodyDiv w:val="1"/>
      <w:marLeft w:val="0"/>
      <w:marRight w:val="0"/>
      <w:marTop w:val="0"/>
      <w:marBottom w:val="0"/>
      <w:divBdr>
        <w:top w:val="none" w:sz="0" w:space="0" w:color="auto"/>
        <w:left w:val="none" w:sz="0" w:space="0" w:color="auto"/>
        <w:bottom w:val="none" w:sz="0" w:space="0" w:color="auto"/>
        <w:right w:val="none" w:sz="0" w:space="0" w:color="auto"/>
      </w:divBdr>
    </w:div>
    <w:div w:id="1746031074">
      <w:bodyDiv w:val="1"/>
      <w:marLeft w:val="0"/>
      <w:marRight w:val="0"/>
      <w:marTop w:val="0"/>
      <w:marBottom w:val="0"/>
      <w:divBdr>
        <w:top w:val="none" w:sz="0" w:space="0" w:color="auto"/>
        <w:left w:val="none" w:sz="0" w:space="0" w:color="auto"/>
        <w:bottom w:val="none" w:sz="0" w:space="0" w:color="auto"/>
        <w:right w:val="none" w:sz="0" w:space="0" w:color="auto"/>
      </w:divBdr>
    </w:div>
    <w:div w:id="1777748941">
      <w:bodyDiv w:val="1"/>
      <w:marLeft w:val="0"/>
      <w:marRight w:val="0"/>
      <w:marTop w:val="0"/>
      <w:marBottom w:val="0"/>
      <w:divBdr>
        <w:top w:val="none" w:sz="0" w:space="0" w:color="auto"/>
        <w:left w:val="none" w:sz="0" w:space="0" w:color="auto"/>
        <w:bottom w:val="none" w:sz="0" w:space="0" w:color="auto"/>
        <w:right w:val="none" w:sz="0" w:space="0" w:color="auto"/>
      </w:divBdr>
    </w:div>
    <w:div w:id="1783568498">
      <w:bodyDiv w:val="1"/>
      <w:marLeft w:val="0"/>
      <w:marRight w:val="0"/>
      <w:marTop w:val="0"/>
      <w:marBottom w:val="0"/>
      <w:divBdr>
        <w:top w:val="none" w:sz="0" w:space="0" w:color="auto"/>
        <w:left w:val="none" w:sz="0" w:space="0" w:color="auto"/>
        <w:bottom w:val="none" w:sz="0" w:space="0" w:color="auto"/>
        <w:right w:val="none" w:sz="0" w:space="0" w:color="auto"/>
      </w:divBdr>
    </w:div>
    <w:div w:id="1784760793">
      <w:bodyDiv w:val="1"/>
      <w:marLeft w:val="0"/>
      <w:marRight w:val="0"/>
      <w:marTop w:val="0"/>
      <w:marBottom w:val="0"/>
      <w:divBdr>
        <w:top w:val="none" w:sz="0" w:space="0" w:color="auto"/>
        <w:left w:val="none" w:sz="0" w:space="0" w:color="auto"/>
        <w:bottom w:val="none" w:sz="0" w:space="0" w:color="auto"/>
        <w:right w:val="none" w:sz="0" w:space="0" w:color="auto"/>
      </w:divBdr>
    </w:div>
    <w:div w:id="1825584416">
      <w:bodyDiv w:val="1"/>
      <w:marLeft w:val="0"/>
      <w:marRight w:val="0"/>
      <w:marTop w:val="0"/>
      <w:marBottom w:val="0"/>
      <w:divBdr>
        <w:top w:val="none" w:sz="0" w:space="0" w:color="auto"/>
        <w:left w:val="none" w:sz="0" w:space="0" w:color="auto"/>
        <w:bottom w:val="none" w:sz="0" w:space="0" w:color="auto"/>
        <w:right w:val="none" w:sz="0" w:space="0" w:color="auto"/>
      </w:divBdr>
    </w:div>
    <w:div w:id="1852597654">
      <w:bodyDiv w:val="1"/>
      <w:marLeft w:val="0"/>
      <w:marRight w:val="0"/>
      <w:marTop w:val="0"/>
      <w:marBottom w:val="0"/>
      <w:divBdr>
        <w:top w:val="none" w:sz="0" w:space="0" w:color="auto"/>
        <w:left w:val="none" w:sz="0" w:space="0" w:color="auto"/>
        <w:bottom w:val="none" w:sz="0" w:space="0" w:color="auto"/>
        <w:right w:val="none" w:sz="0" w:space="0" w:color="auto"/>
      </w:divBdr>
    </w:div>
    <w:div w:id="1875459442">
      <w:bodyDiv w:val="1"/>
      <w:marLeft w:val="0"/>
      <w:marRight w:val="0"/>
      <w:marTop w:val="0"/>
      <w:marBottom w:val="0"/>
      <w:divBdr>
        <w:top w:val="none" w:sz="0" w:space="0" w:color="auto"/>
        <w:left w:val="none" w:sz="0" w:space="0" w:color="auto"/>
        <w:bottom w:val="none" w:sz="0" w:space="0" w:color="auto"/>
        <w:right w:val="none" w:sz="0" w:space="0" w:color="auto"/>
      </w:divBdr>
    </w:div>
    <w:div w:id="1881941271">
      <w:bodyDiv w:val="1"/>
      <w:marLeft w:val="0"/>
      <w:marRight w:val="0"/>
      <w:marTop w:val="0"/>
      <w:marBottom w:val="0"/>
      <w:divBdr>
        <w:top w:val="none" w:sz="0" w:space="0" w:color="auto"/>
        <w:left w:val="none" w:sz="0" w:space="0" w:color="auto"/>
        <w:bottom w:val="none" w:sz="0" w:space="0" w:color="auto"/>
        <w:right w:val="none" w:sz="0" w:space="0" w:color="auto"/>
      </w:divBdr>
    </w:div>
    <w:div w:id="1919362973">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67102728">
      <w:bodyDiv w:val="1"/>
      <w:marLeft w:val="0"/>
      <w:marRight w:val="0"/>
      <w:marTop w:val="0"/>
      <w:marBottom w:val="0"/>
      <w:divBdr>
        <w:top w:val="none" w:sz="0" w:space="0" w:color="auto"/>
        <w:left w:val="none" w:sz="0" w:space="0" w:color="auto"/>
        <w:bottom w:val="none" w:sz="0" w:space="0" w:color="auto"/>
        <w:right w:val="none" w:sz="0" w:space="0" w:color="auto"/>
      </w:divBdr>
    </w:div>
    <w:div w:id="2077775696">
      <w:bodyDiv w:val="1"/>
      <w:marLeft w:val="0"/>
      <w:marRight w:val="0"/>
      <w:marTop w:val="0"/>
      <w:marBottom w:val="0"/>
      <w:divBdr>
        <w:top w:val="none" w:sz="0" w:space="0" w:color="auto"/>
        <w:left w:val="none" w:sz="0" w:space="0" w:color="auto"/>
        <w:bottom w:val="none" w:sz="0" w:space="0" w:color="auto"/>
        <w:right w:val="none" w:sz="0" w:space="0" w:color="auto"/>
      </w:divBdr>
    </w:div>
    <w:div w:id="2077968544">
      <w:bodyDiv w:val="1"/>
      <w:marLeft w:val="0"/>
      <w:marRight w:val="0"/>
      <w:marTop w:val="0"/>
      <w:marBottom w:val="0"/>
      <w:divBdr>
        <w:top w:val="none" w:sz="0" w:space="0" w:color="auto"/>
        <w:left w:val="none" w:sz="0" w:space="0" w:color="auto"/>
        <w:bottom w:val="none" w:sz="0" w:space="0" w:color="auto"/>
        <w:right w:val="none" w:sz="0" w:space="0" w:color="auto"/>
      </w:divBdr>
    </w:div>
    <w:div w:id="2099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77/0272989X0934175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46rrTq"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decytacc.github.io/nDP/index_prop_grant23_24.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42B50-0AF0-4D7A-BAC3-7AFA0718BE59}">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1742</TotalTime>
  <Pages>25</Pages>
  <Words>29049</Words>
  <Characters>159771</Characters>
  <Application>Microsoft Office Word</Application>
  <DocSecurity>0</DocSecurity>
  <Lines>1331</Lines>
  <Paragraphs>376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45</cp:revision>
  <cp:lastPrinted>2024-05-17T05:08:00Z</cp:lastPrinted>
  <dcterms:created xsi:type="dcterms:W3CDTF">2024-05-16T03:03:00Z</dcterms:created>
  <dcterms:modified xsi:type="dcterms:W3CDTF">2024-05-28T00:06:00Z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2022-12-12T16:11:55Z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aae05b9e-1aea-432c-bae8-e8e881ce9b51</vt:lpwstr>
  </property>
  <property fmtid="{D5CDD505-2E9C-101B-9397-08002B2CF9AE}" pid="8" name="MSIP_Label_c9f92db8-2851-4df9-9d12-fab52f5b1415_ContentBits">
    <vt:lpwstr>0</vt:lpwstr>
  </property>
  <property fmtid="{D5CDD505-2E9C-101B-9397-08002B2CF9AE}" pid="9" name="GrammarlyDocumentId">
    <vt:lpwstr>f16f96dbe19f98f5dc3eb66cca8b16fc6f71ad8a74f1f54057bc35b0ac132fe1</vt:lpwstr>
  </property>
  <property fmtid="{D5CDD505-2E9C-101B-9397-08002B2CF9AE}" pid="10" name="ZOTERO_PREF_1">
    <vt:lpwstr>&lt;data data-version="3" zotero-version="6.0.36"&gt;&lt;session id="RQr8hPvX"/&gt;&lt;style id="http://www.zotero.org/styles/apa" locale="en-US" hasBibliography="1" bibliographyStyleHasBeenSet="1"/&gt;&lt;prefs&gt;&lt;pref name="fieldType" value="Field"/&gt;&lt;pref name="automaticJourn</vt:lpwstr>
  </property>
  <property fmtid="{D5CDD505-2E9C-101B-9397-08002B2CF9AE}" pid="11" name="ZOTERO_PREF_2">
    <vt:lpwstr>alAbbreviations" value="true"/&gt;&lt;/prefs&gt;&lt;/data&gt;</vt:lpwstr>
  </property>
</Properties>
</file>