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proofErr w:type="gramStart"/>
      <w:r w:rsidRPr="002F1D56">
        <w:rPr>
          <w:rFonts w:ascii="Times New Roman" w:eastAsia="Times New Roman" w:hAnsi="Times New Roman" w:cs="Times New Roman"/>
          <w:color w:val="000000"/>
          <w:sz w:val="16"/>
          <w:szCs w:val="16"/>
          <w:vertAlign w:val="superscript"/>
          <w:lang w:val="es-CL" w:eastAsia="es-CL"/>
        </w:rPr>
        <w:t>a.b,c</w:t>
      </w:r>
      <w:proofErr w:type="gramEnd"/>
      <w:r w:rsidRPr="002F1D56">
        <w:rPr>
          <w:rFonts w:ascii="Times New Roman" w:eastAsia="Times New Roman" w:hAnsi="Times New Roman" w:cs="Times New Roman"/>
          <w:color w:val="000000"/>
          <w:sz w:val="24"/>
          <w:szCs w:val="24"/>
          <w:lang w:val="es-CL" w:eastAsia="es-CL"/>
        </w:rPr>
        <w:t>; José Ruiz-Tagle</w:t>
      </w:r>
      <w:r w:rsidRPr="002F1D56">
        <w:rPr>
          <w:rFonts w:ascii="Times New Roman" w:eastAsia="Times New Roman" w:hAnsi="Times New Roman" w:cs="Times New Roman"/>
          <w:color w:val="000000"/>
          <w:sz w:val="16"/>
          <w:szCs w:val="16"/>
          <w:vertAlign w:val="superscript"/>
          <w:lang w:val="es-CL" w:eastAsia="es-CL"/>
        </w:rPr>
        <w:t>b,c</w:t>
      </w:r>
      <w:r w:rsidRPr="002F1D56">
        <w:rPr>
          <w:rFonts w:ascii="Times New Roman" w:eastAsia="Times New Roman" w:hAnsi="Times New Roman" w:cs="Times New Roman"/>
          <w:color w:val="000000"/>
          <w:sz w:val="24"/>
          <w:szCs w:val="24"/>
          <w:lang w:val="es-CL" w:eastAsia="es-CL"/>
        </w:rPr>
        <w:t xml:space="preserve"> Mariel Mateo Pinones </w:t>
      </w:r>
      <w:r w:rsidRPr="002F1D56">
        <w:rPr>
          <w:rFonts w:ascii="Times New Roman" w:eastAsia="Times New Roman" w:hAnsi="Times New Roman" w:cs="Times New Roman"/>
          <w:color w:val="000000"/>
          <w:sz w:val="16"/>
          <w:szCs w:val="16"/>
          <w:vertAlign w:val="superscript"/>
          <w:lang w:val="es-CL" w:eastAsia="es-CL"/>
        </w:rPr>
        <w:t>b,d</w:t>
      </w:r>
      <w:r w:rsidRPr="002F1D56">
        <w:rPr>
          <w:rFonts w:ascii="Times New Roman" w:eastAsia="Times New Roman" w:hAnsi="Times New Roman" w:cs="Times New Roman"/>
          <w:color w:val="000000"/>
          <w:sz w:val="24"/>
          <w:szCs w:val="24"/>
          <w:lang w:val="es-CL" w:eastAsia="es-CL"/>
        </w:rPr>
        <w:t xml:space="preserve">; Álvaro Castillo-Carniglia </w:t>
      </w:r>
      <w:r w:rsidRPr="002F1D56">
        <w:rPr>
          <w:rFonts w:ascii="Times New Roman" w:eastAsia="Times New Roman" w:hAnsi="Times New Roman" w:cs="Times New Roman"/>
          <w:color w:val="000000"/>
          <w:sz w:val="16"/>
          <w:szCs w:val="16"/>
          <w:vertAlign w:val="superscript"/>
          <w:lang w:val="es-CL" w:eastAsia="es-CL"/>
        </w:rPr>
        <w:t>b,c,e</w:t>
      </w:r>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Independencia 939, Independencia,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(nDP),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Associate Professor, Department of Public Health, Facultad de Medicina y Ciencia,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Sociomedicine (SocioMed), Chile.</w:t>
      </w:r>
    </w:p>
    <w:p w14:paraId="43BA4B74" w14:textId="77C04D5F" w:rsidR="00DF040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1410547D" w14:textId="6AFCA994" w:rsidR="002B6CCD" w:rsidRDefault="002B6CCD" w:rsidP="002B6CCD">
      <w:pPr>
        <w:pStyle w:val="Ttulo2"/>
      </w:pPr>
      <w:r w:rsidRPr="002264FE">
        <w:lastRenderedPageBreak/>
        <w:t xml:space="preserve">Supplemental Section 1. </w:t>
      </w:r>
      <w:r>
        <w:t>Flowchart</w:t>
      </w:r>
    </w:p>
    <w:p w14:paraId="701CC07A" w14:textId="66D36EBC" w:rsidR="00E25C88" w:rsidRPr="00E25C88" w:rsidRDefault="00E25C88" w:rsidP="00E25C88">
      <w:pPr>
        <w:spacing w:after="0"/>
        <w:ind w:right="-2" w:firstLine="709"/>
        <w:rPr>
          <w:rFonts w:ascii="Times New Roman" w:hAnsi="Times New Roman" w:cs="Times New Roman"/>
          <w:sz w:val="24"/>
          <w:szCs w:val="28"/>
        </w:rPr>
      </w:pPr>
      <w:r w:rsidRPr="00E25C88">
        <w:rPr>
          <w:rFonts w:ascii="Times New Roman" w:hAnsi="Times New Roman" w:cs="Times New Roman"/>
          <w:sz w:val="24"/>
          <w:szCs w:val="28"/>
        </w:rPr>
        <w:t>Data were deidentified by encrypting the Unique National Role (RUN) using an MD5 hash algorithm. Duplicate or overlapping treatment records were removed, and inconsistencies in key values (e.g., admission and discharge dates, age at admission, date of birth, sex) were corrected. Admission episodes occurring within 45 days of a referral to another treatment were combined into a single treatment episode, forming a continuous care package as per SENDA professionals' guidelines. We selected individuals with more than one treatment episode for analysis.</w:t>
      </w:r>
    </w:p>
    <w:p w14:paraId="5D6291A9" w14:textId="77777777" w:rsidR="00E25C88" w:rsidRDefault="00E25C88" w:rsidP="00E25C88">
      <w:pPr>
        <w:spacing w:after="0" w:line="240" w:lineRule="auto"/>
        <w:ind w:left="720"/>
        <w:jc w:val="left"/>
      </w:pPr>
    </w:p>
    <w:p w14:paraId="56A2639D" w14:textId="27CC5D90" w:rsidR="005875EF" w:rsidRDefault="005875EF" w:rsidP="005875EF">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Pr>
          <w:rFonts w:ascii="Times New Roman" w:hAnsi="Times New Roman" w:cs="Times New Roman"/>
          <w:b/>
          <w:bCs/>
          <w:sz w:val="24"/>
          <w:szCs w:val="28"/>
          <w:shd w:val="clear" w:color="auto" w:fill="FFFFFF"/>
        </w:rPr>
        <w:t>S1</w:t>
      </w:r>
      <w:r w:rsidRPr="000D7704">
        <w:rPr>
          <w:rFonts w:ascii="Times New Roman" w:hAnsi="Times New Roman" w:cs="Times New Roman"/>
          <w:b/>
          <w:bCs/>
          <w:sz w:val="24"/>
          <w:szCs w:val="28"/>
          <w:shd w:val="clear" w:color="auto" w:fill="FFFFFF"/>
        </w:rPr>
        <w:t>.</w:t>
      </w:r>
      <w:r w:rsidR="001D7B90" w:rsidRPr="001D7B90">
        <w:t xml:space="preserve"> </w:t>
      </w:r>
      <w:r w:rsidR="001D7B90">
        <w:rPr>
          <w:rFonts w:ascii="Times New Roman" w:hAnsi="Times New Roman" w:cs="Times New Roman"/>
          <w:b/>
          <w:bCs/>
          <w:sz w:val="24"/>
          <w:szCs w:val="28"/>
          <w:shd w:val="clear" w:color="auto" w:fill="FFFFFF"/>
        </w:rPr>
        <w:t>F</w:t>
      </w:r>
      <w:r w:rsidR="001D7B90" w:rsidRPr="001D7B90">
        <w:rPr>
          <w:rFonts w:ascii="Times New Roman" w:hAnsi="Times New Roman" w:cs="Times New Roman"/>
          <w:b/>
          <w:bCs/>
          <w:sz w:val="24"/>
          <w:szCs w:val="28"/>
          <w:shd w:val="clear" w:color="auto" w:fill="FFFFFF"/>
        </w:rPr>
        <w:t>low chart of</w:t>
      </w:r>
      <w:r w:rsidR="001D7B90">
        <w:rPr>
          <w:rFonts w:ascii="Times New Roman" w:hAnsi="Times New Roman" w:cs="Times New Roman"/>
          <w:b/>
          <w:bCs/>
          <w:sz w:val="24"/>
          <w:szCs w:val="28"/>
          <w:shd w:val="clear" w:color="auto" w:fill="FFFFFF"/>
        </w:rPr>
        <w:t xml:space="preserve"> sample selection of Agreement 1 (C1) dataset</w:t>
      </w:r>
    </w:p>
    <w:p w14:paraId="1842E341" w14:textId="6AAE2884" w:rsidR="005875EF" w:rsidRDefault="00E25C88" w:rsidP="00E25C88">
      <w:pPr>
        <w:spacing w:after="0" w:line="240" w:lineRule="auto"/>
        <w:ind w:left="720"/>
        <w:jc w:val="left"/>
      </w:pPr>
      <w:r w:rsidRPr="00E25C88">
        <w:rPr>
          <w:rFonts w:ascii="Times New Roman" w:hAnsi="Times New Roman" w:cs="Times New Roman"/>
          <w:b/>
          <w:bCs/>
          <w:sz w:val="24"/>
          <w:szCs w:val="28"/>
          <w:shd w:val="clear" w:color="auto" w:fill="FFFFFF"/>
          <w:lang w:val="es-CL"/>
        </w:rPr>
        <w:drawing>
          <wp:inline distT="0" distB="0" distL="0" distR="0" wp14:anchorId="5D3218D0" wp14:editId="365541D8">
            <wp:extent cx="5553665" cy="3960000"/>
            <wp:effectExtent l="0" t="0" r="9525" b="2540"/>
            <wp:docPr id="6672283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940" b="5974"/>
                    <a:stretch/>
                  </pic:blipFill>
                  <pic:spPr bwMode="auto">
                    <a:xfrm>
                      <a:off x="0" y="0"/>
                      <a:ext cx="5553665" cy="3960000"/>
                    </a:xfrm>
                    <a:prstGeom prst="rect">
                      <a:avLst/>
                    </a:prstGeom>
                    <a:noFill/>
                    <a:ln>
                      <a:noFill/>
                    </a:ln>
                    <a:extLst>
                      <a:ext uri="{53640926-AAD7-44D8-BBD7-CCE9431645EC}">
                        <a14:shadowObscured xmlns:a14="http://schemas.microsoft.com/office/drawing/2010/main"/>
                      </a:ext>
                    </a:extLst>
                  </pic:spPr>
                </pic:pic>
              </a:graphicData>
            </a:graphic>
          </wp:inline>
        </w:drawing>
      </w:r>
      <w:r w:rsidR="005875EF">
        <w:br w:type="page"/>
      </w:r>
    </w:p>
    <w:p w14:paraId="239F7A09" w14:textId="4AF187DD" w:rsidR="00745DF7" w:rsidRPr="002264FE" w:rsidRDefault="00745DF7" w:rsidP="002264FE">
      <w:pPr>
        <w:pStyle w:val="Ttulo2"/>
      </w:pPr>
      <w:r w:rsidRPr="002264FE">
        <w:lastRenderedPageBreak/>
        <w:t xml:space="preserve">Supplemental Section </w:t>
      </w:r>
      <w:r w:rsidR="005875EF">
        <w:t>2</w:t>
      </w:r>
      <w:r w:rsidRPr="002264FE">
        <w:t>.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Covariate name</w:t>
            </w:r>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r w:rsidRPr="002F1D56">
              <w:rPr>
                <w:rFonts w:ascii="Times New Roman" w:hAnsi="Times New Roman" w:cs="Times New Roman"/>
                <w:b/>
                <w:bCs/>
                <w:sz w:val="22"/>
                <w:szCs w:val="24"/>
                <w:lang w:val="es-CL"/>
              </w:rPr>
              <w:t>Description</w:t>
            </w:r>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1F58DB32"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w:t>
            </w:r>
            <w:r w:rsidR="00182DDF">
              <w:rPr>
                <w:rFonts w:ascii="Times New Roman" w:hAnsi="Times New Roman" w:cs="Times New Roman"/>
                <w:sz w:val="22"/>
                <w:szCs w:val="24"/>
                <w:lang w:val="en-US"/>
              </w:rPr>
              <w:t xml:space="preserve"> </w:t>
            </w:r>
            <w:r w:rsidR="00182DDF">
              <w:rPr>
                <w:rFonts w:ascii="Times New Roman" w:hAnsi="Times New Roman" w:cs="Times New Roman"/>
                <w:sz w:val="22"/>
                <w:szCs w:val="24"/>
                <w:lang w:val="en-US"/>
              </w:rPr>
              <w:fldChar w:fldCharType="begin"/>
            </w:r>
            <w:r w:rsidR="00182DDF">
              <w:rPr>
                <w:rFonts w:ascii="Times New Roman" w:hAnsi="Times New Roman" w:cs="Times New Roman"/>
                <w:sz w:val="22"/>
                <w:szCs w:val="24"/>
                <w:lang w:val="en-US"/>
              </w:rPr>
              <w:instrText xml:space="preserve"> ADDIN ZOTERO_ITEM CSL_CITATION {"citationID":"k5eRuB6S","properties":{"formattedCitation":"(Ruiz-Tagle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82DDF">
              <w:rPr>
                <w:rFonts w:ascii="Times New Roman" w:hAnsi="Times New Roman" w:cs="Times New Roman"/>
                <w:sz w:val="22"/>
                <w:szCs w:val="24"/>
                <w:lang w:val="en-US"/>
              </w:rPr>
              <w:fldChar w:fldCharType="separate"/>
            </w:r>
            <w:r w:rsidR="00182DDF" w:rsidRPr="00182DDF">
              <w:rPr>
                <w:rFonts w:ascii="Times New Roman" w:hAnsi="Times New Roman" w:cs="Times New Roman"/>
                <w:sz w:val="22"/>
              </w:rPr>
              <w:t>(Ruiz-Tagle Maturana et al., 2023)</w:t>
            </w:r>
            <w:r w:rsidR="00182DDF">
              <w:rPr>
                <w:rFonts w:ascii="Times New Roman" w:hAnsi="Times New Roman" w:cs="Times New Roman"/>
                <w:sz w:val="22"/>
                <w:szCs w:val="24"/>
                <w:lang w:val="en-US"/>
              </w:rPr>
              <w:fldChar w:fldCharType="end"/>
            </w:r>
            <w:commentRangeStart w:id="2"/>
            <w:commentRangeEnd w:id="2"/>
            <w:r w:rsidRPr="002F1D56">
              <w:rPr>
                <w:rStyle w:val="Refdecomentario"/>
                <w:rFonts w:ascii="Times New Roman" w:eastAsia="Times New Roman" w:hAnsi="Times New Roman" w:cs="Times New Roman"/>
                <w:sz w:val="20"/>
                <w:szCs w:val="20"/>
                <w:lang w:val="es-CL" w:eastAsia="es-ES_tradnl"/>
              </w:rPr>
              <w:commentReference w:id="2"/>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s-CL"/>
              </w:rPr>
              <w:t>Psychiatric comorbidity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1413903" w:rsidR="00410678" w:rsidRDefault="00410678" w:rsidP="002264FE">
      <w:pPr>
        <w:pStyle w:val="Ttulo2"/>
        <w:rPr>
          <w:lang w:val="en-US"/>
        </w:rPr>
      </w:pPr>
      <w:r w:rsidRPr="002F1D56">
        <w:rPr>
          <w:lang w:val="en-US"/>
        </w:rPr>
        <w:t xml:space="preserve">Supplemental Section </w:t>
      </w:r>
      <w:r w:rsidR="005875EF">
        <w:rPr>
          <w:lang w:val="en-US"/>
        </w:rPr>
        <w:t>3</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31C148E0"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{"citationID":"TPuW9nZx","properties":{"formattedCitation":"(Lokku et al., 2020)","plainCitation":"(Lokku et al., 2020)","noteIndex":0},"citationItems":[{"id":622,"uris":["http://zotero.org/users/12673371/items/5VTQWERS"],"itemData":{"id":622,"type":"article-journal","abstract":"Observational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(Lokku et al., 2020)</w:t>
      </w:r>
      <w:r w:rsidR="00182DDF">
        <w:rPr>
          <w:rFonts w:ascii="Times New Roman" w:hAnsi="Times New Roman" w:cs="Times New Roman"/>
          <w:sz w:val="24"/>
          <w:szCs w:val="28"/>
          <w:lang w:val="en-US"/>
        </w:rPr>
        <w:fldChar w:fldCharType="end"/>
      </w:r>
      <w:commentRangeStart w:id="3"/>
      <w:commentRangeEnd w:id="3"/>
      <w:r>
        <w:rPr>
          <w:rStyle w:val="Refdecomentario"/>
          <w:rFonts w:ascii="Times New Roman" w:eastAsia="Times New Roman" w:hAnsi="Times New Roman" w:cs="Times New Roman"/>
          <w:lang w:val="es-CL" w:eastAsia="es-ES_tradnl"/>
        </w:rPr>
        <w:commentReference w:id="3"/>
      </w:r>
      <w:r w:rsidRPr="000D7704">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14:paraId="723E200D" w14:textId="37E4942C"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sidR="005875EF">
        <w:rPr>
          <w:rFonts w:ascii="Times New Roman" w:hAnsi="Times New Roman" w:cs="Times New Roman"/>
          <w:b/>
          <w:bCs/>
          <w:sz w:val="24"/>
          <w:szCs w:val="28"/>
          <w:shd w:val="clear" w:color="auto" w:fill="FFFFFF"/>
        </w:rPr>
        <w:t>S</w:t>
      </w:r>
      <w:r w:rsidRPr="000D7704">
        <w:rPr>
          <w:rFonts w:ascii="Times New Roman" w:hAnsi="Times New Roman" w:cs="Times New Roman"/>
          <w:b/>
          <w:bCs/>
          <w:sz w:val="24"/>
          <w:szCs w:val="28"/>
          <w:shd w:val="clear" w:color="auto" w:fill="FFFFFF"/>
        </w:rPr>
        <w:t xml:space="preserve">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57153A8B"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w:t>
      </w:r>
      <w:r w:rsidR="005875EF">
        <w:rPr>
          <w:rFonts w:ascii="Times New Roman" w:hAnsi="Times New Roman" w:cs="Times New Roman"/>
          <w:sz w:val="24"/>
          <w:szCs w:val="28"/>
          <w:lang w:val="en-US"/>
        </w:rPr>
        <w:t>S</w:t>
      </w:r>
      <w:r w:rsidRPr="000D7704">
        <w:rPr>
          <w:rFonts w:ascii="Times New Roman" w:hAnsi="Times New Roman" w:cs="Times New Roman"/>
          <w:sz w:val="24"/>
          <w:szCs w:val="28"/>
          <w:lang w:val="en-US"/>
        </w:rPr>
        <w:t xml:space="preserve">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3EB26602" w:rsidR="000D7704" w:rsidRPr="002F1D56" w:rsidRDefault="000D7704" w:rsidP="002264FE">
      <w:pPr>
        <w:pStyle w:val="Ttulo2"/>
        <w:rPr>
          <w:lang w:val="en-US"/>
        </w:rPr>
      </w:pPr>
      <w:r w:rsidRPr="002F1D56">
        <w:rPr>
          <w:lang w:val="en-US"/>
        </w:rPr>
        <w:t xml:space="preserve">Supplemental Section </w:t>
      </w:r>
      <w:r w:rsidR="005875EF">
        <w:rPr>
          <w:lang w:val="en-US"/>
        </w:rPr>
        <w:t>4</w:t>
      </w:r>
      <w:r w:rsidRPr="002F1D56">
        <w:rPr>
          <w:lang w:val="en-US"/>
        </w:rPr>
        <w:t>. Counting process and alternative weighting schemes</w:t>
      </w:r>
    </w:p>
    <w:p w14:paraId="3281C123" w14:textId="4D504B24"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{"citationID":"KL4sHxGZ","properties":{"formattedCitation":"(E. M. Pullenayegum et al., 2023)","plainCitation":"(E. M. Pullenayegum et al., 2023)","noteIndex":0},"citationItems":[{"id":632,"uris":["http://zotero.org/users/12673371/items/6YPI3NMP"],"itemData":{"id":632,"type":"article-journal","abstract":"Data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et al., 2023)</w:t>
      </w:r>
      <w:r w:rsidR="00182DDF">
        <w:rPr>
          <w:rFonts w:ascii="Times New Roman" w:hAnsi="Times New Roman" w:cs="Times New Roman"/>
          <w:sz w:val="24"/>
          <w:szCs w:val="28"/>
          <w:lang w:val="en-US"/>
        </w:rPr>
        <w:fldChar w:fldCharType="end"/>
      </w:r>
      <w:commentRangeStart w:id="4"/>
      <w:commentRangeEnd w:id="4"/>
      <w:r>
        <w:rPr>
          <w:rStyle w:val="Refdecomentario"/>
          <w:rFonts w:ascii="Times New Roman" w:eastAsia="Times New Roman" w:hAnsi="Times New Roman" w:cs="Times New Roman"/>
          <w:lang w:val="es-CL" w:eastAsia="es-ES_tradnl"/>
        </w:rPr>
        <w:commentReference w:id="4"/>
      </w:r>
      <w:r w:rsidRPr="008B6CB8">
        <w:rPr>
          <w:rFonts w:ascii="Times New Roman" w:hAnsi="Times New Roman" w:cs="Times New Roman"/>
          <w:sz w:val="24"/>
          <w:szCs w:val="28"/>
          <w:lang w:val="en-US"/>
        </w:rPr>
        <w:t xml:space="preserve">.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{"citationID":"74dXN2ly","properties":{"formattedCitation":"(E. Pullenayegum, 2022)","plainCitation":"(E. Pullenayegum, 2022)","noteIndex":0},"citationItems":[{"id":788,"uris":["http://zotero.org/users/12673371/items/S2CZDC4G"],"itemData":{"id":788,"type":"software","title":"IrregLong: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2022)</w:t>
      </w:r>
      <w:r w:rsidR="00182DDF">
        <w:rPr>
          <w:rFonts w:ascii="Times New Roman" w:hAnsi="Times New Roman" w:cs="Times New Roman"/>
          <w:sz w:val="24"/>
          <w:szCs w:val="28"/>
          <w:lang w:val="en-US"/>
        </w:rPr>
        <w:fldChar w:fldCharType="end"/>
      </w:r>
      <w:commentRangeStart w:id="5"/>
      <w:commentRangeEnd w:id="5"/>
      <w:r>
        <w:rPr>
          <w:rStyle w:val="Refdecomentario"/>
          <w:rFonts w:ascii="Times New Roman" w:eastAsia="Times New Roman" w:hAnsi="Times New Roman" w:cs="Times New Roman"/>
          <w:lang w:val="es-CL" w:eastAsia="es-ES_tradnl"/>
        </w:rPr>
        <w:commentReference w:id="5"/>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Term</w:t>
            </w:r>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Previous biopsychosocial compromise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Previous treatment duration (&lt;90 days)</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Birth year</w:t>
            </w:r>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Primary substance (initial diagnosis), cocaine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Primary substance (initial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Psychiatric comorbidity (confirmed comorbidity)</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Occupational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Occupational status (unemployed)</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17F15E81"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p>
    <w:p w14:paraId="5DED684D" w14:textId="77777777" w:rsidR="0065310D" w:rsidRPr="000D7704" w:rsidRDefault="0065310D" w:rsidP="0065310D">
      <w:pPr>
        <w:ind w:right="-2"/>
        <w:rPr>
          <w:rFonts w:ascii="Times New Roman" w:hAnsi="Times New Roman" w:cs="Times New Roman"/>
          <w:sz w:val="24"/>
          <w:szCs w:val="28"/>
        </w:rPr>
      </w:pPr>
    </w:p>
    <w:p w14:paraId="4EDA3C22" w14:textId="38D5601D"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'survSplit'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w:t>
      </w:r>
      <w:r w:rsidR="00182DDF">
        <w:rPr>
          <w:rFonts w:ascii="Times New Roman" w:hAnsi="Times New Roman" w:cs="Times New Roman"/>
          <w:sz w:val="24"/>
          <w:szCs w:val="28"/>
          <w:lang w:val="en-US"/>
        </w:rPr>
        <w:t xml:space="preserve">and colleagues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{"citationID":"wdPvNwjn","properties":{"formattedCitation":"(Putter et al., 2005)","plainCitation":"(Putter et al., 2005)","noteIndex":0},"citationItems":[{"id":1000,"uris":["http://zotero.org/users/12673371/items/WWUYTB6E"],"itemData":{"id":1000,"type":"article-journal","abstract":"Randomized clinical trials with long-term survival data comparing two treatments often show Kaplan-Meier plots with crossing survival curves. Such behaviour implies a violation of the proportional hazards assumption for treatment. The Cox proportional hazards regression model with treatment as a fixed effect can therefore not be used to assess the influence of treatment of survival. In this paper we analyse long-term follow-up data from the Dutch Gastric Cancer Trial, a randomized study comparing limited (D1) lymph node dissection with extended (D2) lymph node dissection. We illustrate a number of ways of dealing with survival data that do not obey the proportional hazards assumption, each of which can be easily implemented in standard statistical packages.","container-title":"Statistics in Medicine","DOI":"10.1002/sim.2143","ISSN":"0277-6715","issue":"18","journalAbbreviation":"Stat Med","language":"eng","note":"PMID: 16134134","page":"2807-2821","source":"PubMed","title":"Long-term survival with non-proportional hazards: results from the Dutch Gastric Cancer Trial","title-short":"Long-term survival with non-proportional hazards","volume":"24","author":[{"family":"Putter","given":"H."},{"family":"Sasako","given":"M."},{"family":"Hartgrink","given":"H. H."},{"family":"Velde","given":"C. J. H.","non-dropping-particle":"van de"},{"family":"Houwelingen","given":"J. C.","non-dropping-particle":"van"}],"issued":{"date-parts":[["2005",9,30]]}}}],"schema":"https://github.com/citation-style-language/schema/raw/master/csl-citation.json"}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(Putter et al., 2005)</w:t>
      </w:r>
      <w:r w:rsidR="00182DDF">
        <w:rPr>
          <w:rFonts w:ascii="Times New Roman" w:hAnsi="Times New Roman" w:cs="Times New Roman"/>
          <w:sz w:val="24"/>
          <w:szCs w:val="28"/>
          <w:lang w:val="en-US"/>
        </w:rPr>
        <w:fldChar w:fldCharType="end"/>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6" w:name="_Hlk166684082"/>
      <w:r w:rsidRPr="002F1D56">
        <w:rPr>
          <w:rFonts w:ascii="Times New Roman" w:hAnsi="Times New Roman" w:cs="Times New Roman"/>
          <w:sz w:val="24"/>
          <w:szCs w:val="28"/>
          <w:lang w:val="en-US"/>
        </w:rPr>
        <w:t>Previous treatment duration in logarithmic scaled days</w:t>
      </w:r>
      <w:bookmarkEnd w:id="6"/>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1C5F8351"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 xml:space="preserve">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w:t>
      </w:r>
      <w:commentRangeStart w:id="7"/>
      <w:commentRangeStart w:id="8"/>
      <w:r w:rsidRPr="002F1D56">
        <w:rPr>
          <w:rFonts w:ascii="Times New Roman" w:hAnsi="Times New Roman" w:cs="Times New Roman"/>
          <w:sz w:val="24"/>
          <w:szCs w:val="28"/>
          <w:lang w:val="en-US"/>
        </w:rPr>
        <w:t>hazards</w:t>
      </w:r>
      <w:commentRangeEnd w:id="7"/>
      <w:r w:rsidRPr="002F1D56">
        <w:rPr>
          <w:rStyle w:val="Refdecomentario"/>
          <w:rFonts w:ascii="Times New Roman" w:eastAsia="Times New Roman" w:hAnsi="Times New Roman" w:cs="Times New Roman"/>
          <w:sz w:val="20"/>
          <w:szCs w:val="20"/>
          <w:lang w:val="es-CL" w:eastAsia="es-ES_tradnl"/>
        </w:rPr>
        <w:commentReference w:id="7"/>
      </w:r>
      <w:commentRangeEnd w:id="8"/>
      <w:r w:rsidR="00650E6B" w:rsidRPr="002F1D56">
        <w:rPr>
          <w:rStyle w:val="Refdecomentario"/>
          <w:rFonts w:ascii="Times New Roman" w:eastAsia="Times New Roman" w:hAnsi="Times New Roman" w:cs="Times New Roman"/>
          <w:sz w:val="20"/>
          <w:szCs w:val="20"/>
          <w:lang w:val="es-CL" w:eastAsia="es-ES_tradnl"/>
        </w:rPr>
        <w:commentReference w:id="8"/>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{"citationID":"YrJZgFSV","properties":{"formattedCitation":"(Keele, 2010; Zhang et al., 2018)","plainCitation":"(Keele, 2010; Zhang et al., 2018)","noteIndex":0},"citationItems":[{"id":977,"uris":["http://zotero.org/users/12673371/items/RTPF6UQJ"],"itemData":{"id":977,"type":"article-journal","abstract":"The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Difficult","volume":"18","author":[{"family":"Keele","given":"Luke"}],"issued":{"date-parts":[["2010",4]]}}},{"id":1002,"uris":["http://zotero.org/users/12673371/items/WG2PEEQA"],"itemData":{"id":1002,"type":"article-journal","container-title":"Annals of Translational Medicine","DOI":"10.21037/atm.2018.02.12","ISSN":"23055839, 23055847","issue":"7","journalAbbreviation":"Ann. Transl. Med.","page":"121-121","source":"DOI.org (Crossref)","title":"Time-varying covariates and coefficients in Cox regression models","volume":"6","author":[{"family":"Zhang","given":"Zhongheng"},{"family":"Reinikainen","given":"Jaakko"},{"family":"Adeleke","given":"Kazeem Adedayo"},{"family":"Pieterse","given":"Marcel E."},{"family":"Groothuis-Oudshoorn","given":"Catharina G. M."}],"issued":{"date-parts":[["2018",4]]}}}],"schema":"https://github.com/citation-style-language/schema/raw/master/csl-citation.json"}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(Keele, 2010; Zhang et al., 2018)</w:t>
      </w:r>
      <w:r w:rsidR="00182DDF">
        <w:rPr>
          <w:rFonts w:ascii="Times New Roman" w:hAnsi="Times New Roman" w:cs="Times New Roman"/>
          <w:sz w:val="24"/>
          <w:szCs w:val="28"/>
          <w:lang w:val="en-US"/>
        </w:rPr>
        <w:fldChar w:fldCharType="end"/>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Term</w:t>
            </w:r>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HR (95% CI) lag=0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HR (95% CI) lag=1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Previous treatment duration (&lt;90 days)</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Previous biopsychosocial compromise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Birth year</w:t>
            </w:r>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Primary substance (initial diagnosis), cocaine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Primary substance (initial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Psychiatric comorbidity (confirmed comorbidity)</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Occupational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Occupational status (unemployed)</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23"/>
      </w:tblGrid>
      <w:tr w:rsidR="00435289" w:rsidRPr="002F1D56"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Visit intensity model</w:t>
            </w:r>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First quartile</w:t>
            </w:r>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Third quartile</w:t>
            </w:r>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35289" w:rsidRPr="002F1D56"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covariates</w:t>
            </w:r>
            <w:r w:rsidRPr="002F1D56">
              <w:rPr>
                <w:rFonts w:ascii="Times New Roman" w:eastAsia="Times New Roman" w:hAnsi="Times New Roman" w:cs="Times New Roman"/>
                <w:color w:val="000000"/>
                <w:sz w:val="22"/>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35289" w:rsidRPr="002F1D56" w14:paraId="207842C1" w14:textId="77777777" w:rsidTr="005A5AE1">
        <w:trPr>
          <w:trHeight w:val="300"/>
        </w:trPr>
        <w:tc>
          <w:tcPr>
            <w:tcW w:w="5954" w:type="dxa"/>
            <w:shd w:val="clear" w:color="auto" w:fill="auto"/>
            <w:noWrap/>
            <w:vAlign w:val="bottom"/>
            <w:hideMark/>
          </w:tcPr>
          <w:p w14:paraId="38B99800" w14:textId="73D341F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430917E9"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634" w:type="dxa"/>
            <w:shd w:val="clear" w:color="auto" w:fill="auto"/>
            <w:noWrap/>
            <w:vAlign w:val="bottom"/>
            <w:hideMark/>
          </w:tcPr>
          <w:p w14:paraId="4EE70C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6" w:type="dxa"/>
            <w:shd w:val="clear" w:color="auto" w:fill="auto"/>
            <w:noWrap/>
            <w:vAlign w:val="bottom"/>
            <w:hideMark/>
          </w:tcPr>
          <w:p w14:paraId="10CFCAD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717" w:type="dxa"/>
            <w:shd w:val="clear" w:color="auto" w:fill="auto"/>
            <w:noWrap/>
            <w:vAlign w:val="bottom"/>
            <w:hideMark/>
          </w:tcPr>
          <w:p w14:paraId="0EA4ED3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77" w:type="dxa"/>
            <w:shd w:val="clear" w:color="auto" w:fill="auto"/>
            <w:noWrap/>
            <w:vAlign w:val="bottom"/>
            <w:hideMark/>
          </w:tcPr>
          <w:p w14:paraId="682D851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17" w:type="dxa"/>
            <w:shd w:val="clear" w:color="auto" w:fill="auto"/>
            <w:noWrap/>
            <w:vAlign w:val="bottom"/>
            <w:hideMark/>
          </w:tcPr>
          <w:p w14:paraId="3558887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35289" w:rsidRPr="002F1D56" w14:paraId="5BD9CAE1" w14:textId="77777777" w:rsidTr="005A5AE1">
        <w:trPr>
          <w:trHeight w:val="300"/>
        </w:trPr>
        <w:tc>
          <w:tcPr>
            <w:tcW w:w="5954" w:type="dxa"/>
            <w:shd w:val="clear" w:color="auto" w:fill="auto"/>
            <w:noWrap/>
            <w:vAlign w:val="bottom"/>
            <w:hideMark/>
          </w:tcPr>
          <w:p w14:paraId="40A5B3D0" w14:textId="16AF3FF0"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2FF01A4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634" w:type="dxa"/>
            <w:shd w:val="clear" w:color="auto" w:fill="auto"/>
            <w:noWrap/>
            <w:vAlign w:val="bottom"/>
            <w:hideMark/>
          </w:tcPr>
          <w:p w14:paraId="292C652B"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6" w:type="dxa"/>
            <w:shd w:val="clear" w:color="auto" w:fill="auto"/>
            <w:noWrap/>
            <w:vAlign w:val="bottom"/>
            <w:hideMark/>
          </w:tcPr>
          <w:p w14:paraId="2731DA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717" w:type="dxa"/>
            <w:shd w:val="clear" w:color="auto" w:fill="auto"/>
            <w:noWrap/>
            <w:vAlign w:val="bottom"/>
            <w:hideMark/>
          </w:tcPr>
          <w:p w14:paraId="3E98E72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77" w:type="dxa"/>
            <w:shd w:val="clear" w:color="auto" w:fill="auto"/>
            <w:noWrap/>
            <w:vAlign w:val="bottom"/>
            <w:hideMark/>
          </w:tcPr>
          <w:p w14:paraId="0AE7830E"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17" w:type="dxa"/>
            <w:shd w:val="clear" w:color="auto" w:fill="auto"/>
            <w:noWrap/>
            <w:vAlign w:val="bottom"/>
            <w:hideMark/>
          </w:tcPr>
          <w:p w14:paraId="6E9B6E0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35289" w:rsidRPr="002F1D56" w14:paraId="1D22CCA5" w14:textId="77777777" w:rsidTr="005A5AE1">
        <w:trPr>
          <w:trHeight w:val="300"/>
        </w:trPr>
        <w:tc>
          <w:tcPr>
            <w:tcW w:w="5954" w:type="dxa"/>
            <w:shd w:val="clear" w:color="auto" w:fill="auto"/>
            <w:noWrap/>
            <w:vAlign w:val="bottom"/>
            <w:hideMark/>
          </w:tcPr>
          <w:p w14:paraId="4D48F1C7" w14:textId="484D38E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0270498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634" w:type="dxa"/>
            <w:shd w:val="clear" w:color="auto" w:fill="auto"/>
            <w:noWrap/>
            <w:vAlign w:val="bottom"/>
            <w:hideMark/>
          </w:tcPr>
          <w:p w14:paraId="28C222B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6" w:type="dxa"/>
            <w:shd w:val="clear" w:color="auto" w:fill="auto"/>
            <w:noWrap/>
            <w:vAlign w:val="bottom"/>
            <w:hideMark/>
          </w:tcPr>
          <w:p w14:paraId="3ABA18A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717" w:type="dxa"/>
            <w:shd w:val="clear" w:color="auto" w:fill="auto"/>
            <w:noWrap/>
            <w:vAlign w:val="bottom"/>
            <w:hideMark/>
          </w:tcPr>
          <w:p w14:paraId="104F9C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77" w:type="dxa"/>
            <w:shd w:val="clear" w:color="auto" w:fill="auto"/>
            <w:noWrap/>
            <w:vAlign w:val="bottom"/>
            <w:hideMark/>
          </w:tcPr>
          <w:p w14:paraId="593A579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17" w:type="dxa"/>
            <w:shd w:val="clear" w:color="auto" w:fill="auto"/>
            <w:noWrap/>
            <w:vAlign w:val="bottom"/>
            <w:hideMark/>
          </w:tcPr>
          <w:p w14:paraId="2E3E0A6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35289" w:rsidRPr="002F1D56" w14:paraId="6A5D88CC" w14:textId="77777777" w:rsidTr="005A5AE1">
        <w:trPr>
          <w:trHeight w:val="300"/>
        </w:trPr>
        <w:tc>
          <w:tcPr>
            <w:tcW w:w="5954" w:type="dxa"/>
            <w:shd w:val="clear" w:color="auto" w:fill="auto"/>
            <w:noWrap/>
            <w:vAlign w:val="bottom"/>
            <w:hideMark/>
          </w:tcPr>
          <w:p w14:paraId="5B118FA3" w14:textId="14068D11"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4BC034C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634" w:type="dxa"/>
            <w:shd w:val="clear" w:color="auto" w:fill="auto"/>
            <w:noWrap/>
            <w:vAlign w:val="bottom"/>
            <w:hideMark/>
          </w:tcPr>
          <w:p w14:paraId="27B6C5D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6" w:type="dxa"/>
            <w:shd w:val="clear" w:color="auto" w:fill="auto"/>
            <w:noWrap/>
            <w:vAlign w:val="bottom"/>
            <w:hideMark/>
          </w:tcPr>
          <w:p w14:paraId="29CF83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717" w:type="dxa"/>
            <w:shd w:val="clear" w:color="auto" w:fill="auto"/>
            <w:noWrap/>
            <w:vAlign w:val="bottom"/>
            <w:hideMark/>
          </w:tcPr>
          <w:p w14:paraId="18F55FA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77" w:type="dxa"/>
            <w:shd w:val="clear" w:color="auto" w:fill="auto"/>
            <w:noWrap/>
            <w:vAlign w:val="bottom"/>
            <w:hideMark/>
          </w:tcPr>
          <w:p w14:paraId="186472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17" w:type="dxa"/>
            <w:shd w:val="clear" w:color="auto" w:fill="auto"/>
            <w:noWrap/>
            <w:vAlign w:val="bottom"/>
            <w:hideMark/>
          </w:tcPr>
          <w:p w14:paraId="6081B08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35289" w:rsidRPr="002F1D56" w14:paraId="1EEE055B" w14:textId="77777777" w:rsidTr="005A5AE1">
        <w:trPr>
          <w:trHeight w:val="300"/>
        </w:trPr>
        <w:tc>
          <w:tcPr>
            <w:tcW w:w="5954" w:type="dxa"/>
            <w:shd w:val="clear" w:color="auto" w:fill="auto"/>
            <w:noWrap/>
            <w:vAlign w:val="bottom"/>
            <w:hideMark/>
          </w:tcPr>
          <w:p w14:paraId="2155F9F0" w14:textId="2EA32FEE"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7A62416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634" w:type="dxa"/>
            <w:shd w:val="clear" w:color="auto" w:fill="auto"/>
            <w:noWrap/>
            <w:vAlign w:val="bottom"/>
            <w:hideMark/>
          </w:tcPr>
          <w:p w14:paraId="2673143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6" w:type="dxa"/>
            <w:shd w:val="clear" w:color="auto" w:fill="auto"/>
            <w:noWrap/>
            <w:vAlign w:val="bottom"/>
            <w:hideMark/>
          </w:tcPr>
          <w:p w14:paraId="27DC0E27"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717" w:type="dxa"/>
            <w:shd w:val="clear" w:color="auto" w:fill="auto"/>
            <w:noWrap/>
            <w:vAlign w:val="bottom"/>
            <w:hideMark/>
          </w:tcPr>
          <w:p w14:paraId="4017A52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77" w:type="dxa"/>
            <w:shd w:val="clear" w:color="auto" w:fill="auto"/>
            <w:noWrap/>
            <w:vAlign w:val="bottom"/>
            <w:hideMark/>
          </w:tcPr>
          <w:p w14:paraId="6628228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17" w:type="dxa"/>
            <w:shd w:val="clear" w:color="auto" w:fill="auto"/>
            <w:noWrap/>
            <w:vAlign w:val="bottom"/>
            <w:hideMark/>
          </w:tcPr>
          <w:p w14:paraId="2CC1B94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D717EE3" w:rsidR="00410678" w:rsidRPr="002F1D56" w:rsidRDefault="00410678" w:rsidP="002264FE">
      <w:pPr>
        <w:pStyle w:val="Ttulo2"/>
      </w:pPr>
      <w:r w:rsidRPr="002F1D56">
        <w:lastRenderedPageBreak/>
        <w:t xml:space="preserve">Supplemental Section </w:t>
      </w:r>
      <w:r w:rsidR="005875EF">
        <w:t>5</w:t>
      </w:r>
      <w:r w:rsidRPr="002F1D56">
        <w:t>. Model selection, alternatives accounting for overdispersion</w:t>
      </w:r>
    </w:p>
    <w:p w14:paraId="01CD6526" w14:textId="34CC9F80"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incrementing by 100 were tested. Both Poisson and negative binomial models were compared using Quasi-likelihood Information criterion (QIC), a measure similar to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r w:rsidR="00182DDF">
        <w:rPr>
          <w:rFonts w:ascii="Times New Roman" w:hAnsi="Times New Roman" w:cs="Times New Roman"/>
          <w:sz w:val="24"/>
          <w:szCs w:val="28"/>
        </w:rPr>
        <w:t xml:space="preserve"> </w:t>
      </w:r>
      <w:r w:rsidR="00182DDF">
        <w:rPr>
          <w:rFonts w:ascii="Times New Roman" w:hAnsi="Times New Roman" w:cs="Times New Roman"/>
          <w:sz w:val="24"/>
          <w:szCs w:val="28"/>
        </w:rPr>
        <w:fldChar w:fldCharType="begin"/>
      </w:r>
      <w:r w:rsidR="00182DDF">
        <w:rPr>
          <w:rFonts w:ascii="Times New Roman" w:hAnsi="Times New Roman" w:cs="Times New Roman"/>
          <w:sz w:val="24"/>
          <w:szCs w:val="28"/>
        </w:rPr>
        <w:instrText xml:space="preserve"> ADDIN ZOTERO_ITEM CSL_CITATION {"citationID":"fKig2T67","properties":{"formattedCitation":"(Pan, 2001)","plainCitation":"(Pan, 2001)","noteIndex":0},"citationItems":[{"id":1004,"uris":["http://zotero.org/users/12673371/items/D3NVAT3I"],"itemData":{"id":1004,"type":"article-journal","abstract":"Summary.\n              Correlated response data are common in biomedical studies. Regression analysis based on the generalized estimating equations (GEE) is an increasingly important method for such data. However, there seem to be few model‐selection criteria available in GEE. The well‐known Akaike Information Criterion (AIC) cannot be directly applied since AIC is based on maximum likelihood estimation while GEE is nonlikelihood based. We propose a modification to AIC, where the likelihood is replaced by the quasi‐likelihood and a proper adjustment is made for the penalty term. Its performance is investigated through simulation studies. For illustration, the method is applied to a real data set.","container-title":"Biometrics","DOI":"10.1111/j.0006-341X.2001.00120.x","ISSN":"0006-341X, 1541-0420","issue":"1","journalAbbreviation":"Biometrics","language":"en","license":"http://onlinelibrary.wiley.com/termsAndConditions#vor","page":"120-125","source":"DOI.org (Crossref)","title":"Akaike's Information Criterion in Generalized Estimating Equations","volume":"57","author":[{"family":"Pan","given":"Wei"}],"issued":{"date-parts":[["2001",3]]}}}],"schema":"https://github.com/citation-style-language/schema/raw/master/csl-citation.json"} </w:instrText>
      </w:r>
      <w:r w:rsidR="00182DDF">
        <w:rPr>
          <w:rFonts w:ascii="Times New Roman" w:hAnsi="Times New Roman" w:cs="Times New Roman"/>
          <w:sz w:val="24"/>
          <w:szCs w:val="28"/>
        </w:rPr>
        <w:fldChar w:fldCharType="separate"/>
      </w:r>
      <w:r w:rsidR="00182DDF" w:rsidRPr="00182DDF">
        <w:rPr>
          <w:rFonts w:ascii="Times New Roman" w:hAnsi="Times New Roman" w:cs="Times New Roman"/>
          <w:sz w:val="24"/>
        </w:rPr>
        <w:t>(Pan, 2001)</w:t>
      </w:r>
      <w:r w:rsidR="00182DDF">
        <w:rPr>
          <w:rFonts w:ascii="Times New Roman" w:hAnsi="Times New Roman" w:cs="Times New Roman"/>
          <w:sz w:val="24"/>
          <w:szCs w:val="28"/>
        </w:rPr>
        <w:fldChar w:fldCharType="end"/>
      </w:r>
      <w:commentRangeStart w:id="9"/>
      <w:r w:rsidRPr="002F1D56">
        <w:rPr>
          <w:rFonts w:ascii="Times New Roman" w:hAnsi="Times New Roman" w:cs="Times New Roman"/>
          <w:sz w:val="24"/>
          <w:szCs w:val="28"/>
        </w:rPr>
        <w:t>.</w:t>
      </w:r>
      <w:commentRangeEnd w:id="9"/>
      <w:r w:rsidRPr="002F1D56">
        <w:rPr>
          <w:rStyle w:val="Refdecomentario"/>
          <w:rFonts w:ascii="Times New Roman" w:eastAsia="Times New Roman" w:hAnsi="Times New Roman" w:cs="Times New Roman"/>
          <w:sz w:val="20"/>
          <w:szCs w:val="20"/>
          <w:lang w:val="es-CL" w:eastAsia="es-ES_tradnl"/>
        </w:rPr>
        <w:commentReference w:id="9"/>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CC1970"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174F423A" w:rsidR="001974E4" w:rsidRPr="00CC1970" w:rsidRDefault="001974E4" w:rsidP="00F33019">
            <w:pPr>
              <w:ind w:right="-2"/>
              <w:jc w:val="center"/>
              <w:rPr>
                <w:rFonts w:ascii="Times New Roman" w:hAnsi="Times New Roman" w:cs="Times New Roman"/>
                <w:b/>
                <w:bCs/>
                <w:sz w:val="22"/>
                <w:lang w:val="es-CL"/>
              </w:rPr>
            </w:pPr>
            <w:r w:rsidRPr="00CC1970">
              <w:rPr>
                <w:rFonts w:ascii="Times New Roman" w:hAnsi="Times New Roman" w:cs="Times New Roman"/>
                <w:b/>
                <w:bCs/>
                <w:sz w:val="22"/>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CC1970" w:rsidRDefault="00F33019" w:rsidP="00F33019">
            <w:pPr>
              <w:ind w:right="-2"/>
              <w:jc w:val="center"/>
              <w:rPr>
                <w:rFonts w:ascii="Times New Roman" w:hAnsi="Times New Roman" w:cs="Times New Roman"/>
                <w:b/>
                <w:bCs/>
                <w:sz w:val="22"/>
              </w:rPr>
            </w:pPr>
            <w:r w:rsidRPr="00CC1970">
              <w:rPr>
                <w:rFonts w:ascii="Times New Roman" w:hAnsi="Times New Roman" w:cs="Times New Roman"/>
                <w:b/>
                <w:bCs/>
                <w:sz w:val="22"/>
              </w:rPr>
              <w:t>M</w:t>
            </w:r>
            <w:r w:rsidR="001974E4" w:rsidRPr="00CC1970">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F33019" w:rsidRPr="00CC1970" w14:paraId="2F862BF5" w14:textId="77777777" w:rsidTr="00801D0D">
        <w:trPr>
          <w:trHeight w:val="57"/>
        </w:trPr>
        <w:tc>
          <w:tcPr>
            <w:tcW w:w="4678" w:type="dxa"/>
            <w:tcBorders>
              <w:top w:val="single" w:sz="4" w:space="0" w:color="auto"/>
            </w:tcBorders>
            <w:noWrap/>
            <w:vAlign w:val="center"/>
          </w:tcPr>
          <w:p w14:paraId="55E1F7DF" w14:textId="54DF1F6D"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CC1970"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CC1970"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CC1970"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CC1970" w:rsidRDefault="001974E4" w:rsidP="00F33019">
            <w:pPr>
              <w:ind w:right="-2"/>
              <w:jc w:val="right"/>
              <w:rPr>
                <w:rFonts w:ascii="Times New Roman" w:hAnsi="Times New Roman" w:cs="Times New Roman"/>
                <w:b/>
                <w:bCs/>
                <w:sz w:val="22"/>
              </w:rPr>
            </w:pPr>
          </w:p>
        </w:tc>
      </w:tr>
      <w:tr w:rsidR="00F33019" w:rsidRPr="00CC1970" w14:paraId="5D29B572" w14:textId="77777777" w:rsidTr="00801D0D">
        <w:trPr>
          <w:trHeight w:val="57"/>
        </w:trPr>
        <w:tc>
          <w:tcPr>
            <w:tcW w:w="4678" w:type="dxa"/>
            <w:noWrap/>
            <w:vAlign w:val="center"/>
          </w:tcPr>
          <w:p w14:paraId="7CC9CE8B" w14:textId="0EC58D6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68325A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ED0D9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989169B" w14:textId="77777777" w:rsidTr="00801D0D">
        <w:trPr>
          <w:trHeight w:val="57"/>
        </w:trPr>
        <w:tc>
          <w:tcPr>
            <w:tcW w:w="4678" w:type="dxa"/>
            <w:noWrap/>
            <w:vAlign w:val="center"/>
          </w:tcPr>
          <w:p w14:paraId="2422C589" w14:textId="4BCED5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0DA8E" w14:textId="19CBD5B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 NB</w:t>
            </w:r>
          </w:p>
        </w:tc>
        <w:tc>
          <w:tcPr>
            <w:tcW w:w="1020" w:type="dxa"/>
            <w:tcBorders>
              <w:top w:val="nil"/>
              <w:left w:val="nil"/>
              <w:bottom w:val="nil"/>
              <w:right w:val="nil"/>
            </w:tcBorders>
            <w:shd w:val="clear" w:color="auto" w:fill="auto"/>
            <w:noWrap/>
            <w:vAlign w:val="center"/>
            <w:hideMark/>
          </w:tcPr>
          <w:p w14:paraId="6CCD65DB" w14:textId="60CCA83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1EC96E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09F478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198E45ED" w14:textId="77777777" w:rsidTr="00801D0D">
        <w:trPr>
          <w:trHeight w:val="57"/>
        </w:trPr>
        <w:tc>
          <w:tcPr>
            <w:tcW w:w="4678" w:type="dxa"/>
            <w:noWrap/>
            <w:vAlign w:val="center"/>
          </w:tcPr>
          <w:p w14:paraId="4B353A75" w14:textId="58ECFF7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7016D3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6BA063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22F20620" w14:textId="77777777" w:rsidTr="00801D0D">
        <w:trPr>
          <w:trHeight w:val="57"/>
        </w:trPr>
        <w:tc>
          <w:tcPr>
            <w:tcW w:w="4678" w:type="dxa"/>
            <w:noWrap/>
            <w:vAlign w:val="center"/>
          </w:tcPr>
          <w:p w14:paraId="021D60EE" w14:textId="1710C0C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267D676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3F396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4A7719A5" w14:textId="77777777" w:rsidTr="00801D0D">
        <w:trPr>
          <w:trHeight w:val="57"/>
        </w:trPr>
        <w:tc>
          <w:tcPr>
            <w:tcW w:w="4678" w:type="dxa"/>
            <w:noWrap/>
            <w:vAlign w:val="center"/>
          </w:tcPr>
          <w:p w14:paraId="39E1AF0D" w14:textId="78C0A8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010012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ACDF68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363927F3" w14:textId="77777777" w:rsidTr="00801D0D">
        <w:trPr>
          <w:trHeight w:val="57"/>
        </w:trPr>
        <w:tc>
          <w:tcPr>
            <w:tcW w:w="4678" w:type="dxa"/>
            <w:noWrap/>
            <w:vAlign w:val="center"/>
          </w:tcPr>
          <w:p w14:paraId="561F9F57" w14:textId="121F3D0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1DF04DF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6EB91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270B0A48" w14:textId="77777777" w:rsidTr="00801D0D">
        <w:trPr>
          <w:trHeight w:val="57"/>
        </w:trPr>
        <w:tc>
          <w:tcPr>
            <w:tcW w:w="4678" w:type="dxa"/>
            <w:noWrap/>
            <w:vAlign w:val="center"/>
          </w:tcPr>
          <w:p w14:paraId="49BE7051" w14:textId="53746C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033DA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04F8E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80351C3" w14:textId="77777777" w:rsidTr="00801D0D">
        <w:trPr>
          <w:trHeight w:val="57"/>
        </w:trPr>
        <w:tc>
          <w:tcPr>
            <w:tcW w:w="4678" w:type="dxa"/>
            <w:noWrap/>
            <w:vAlign w:val="center"/>
          </w:tcPr>
          <w:p w14:paraId="6D9644A5" w14:textId="34840CA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A9B2D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E3DE8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56BEB67F" w14:textId="77777777" w:rsidTr="00801D0D">
        <w:trPr>
          <w:trHeight w:val="57"/>
        </w:trPr>
        <w:tc>
          <w:tcPr>
            <w:tcW w:w="4678" w:type="dxa"/>
            <w:noWrap/>
            <w:vAlign w:val="center"/>
          </w:tcPr>
          <w:p w14:paraId="62648B5E" w14:textId="48E637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2CCE89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0A82CB5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1780DEFF" w14:textId="77777777" w:rsidTr="00801D0D">
        <w:trPr>
          <w:trHeight w:val="57"/>
        </w:trPr>
        <w:tc>
          <w:tcPr>
            <w:tcW w:w="4678" w:type="dxa"/>
            <w:noWrap/>
            <w:vAlign w:val="center"/>
          </w:tcPr>
          <w:p w14:paraId="6D6BF855" w14:textId="42F9E0E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3BEA96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31A8102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2BA2DA20" w14:textId="77777777" w:rsidTr="00801D0D">
        <w:trPr>
          <w:trHeight w:val="57"/>
        </w:trPr>
        <w:tc>
          <w:tcPr>
            <w:tcW w:w="4678" w:type="dxa"/>
            <w:noWrap/>
            <w:vAlign w:val="center"/>
          </w:tcPr>
          <w:p w14:paraId="45F797E8" w14:textId="073663B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178149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55E41F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7F200789" w14:textId="77777777" w:rsidTr="00801D0D">
        <w:trPr>
          <w:trHeight w:val="57"/>
        </w:trPr>
        <w:tc>
          <w:tcPr>
            <w:tcW w:w="4678" w:type="dxa"/>
            <w:noWrap/>
            <w:vAlign w:val="center"/>
          </w:tcPr>
          <w:p w14:paraId="2196BB25" w14:textId="4C9C8D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22DAFC4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460D165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4104A1FE" w14:textId="77777777" w:rsidTr="00801D0D">
        <w:trPr>
          <w:trHeight w:val="57"/>
        </w:trPr>
        <w:tc>
          <w:tcPr>
            <w:tcW w:w="4678" w:type="dxa"/>
            <w:noWrap/>
            <w:vAlign w:val="center"/>
          </w:tcPr>
          <w:p w14:paraId="0ACE087C" w14:textId="2CEFD9F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7ACBAF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32A838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070C9FD6" w14:textId="77777777" w:rsidTr="00801D0D">
        <w:trPr>
          <w:trHeight w:val="57"/>
        </w:trPr>
        <w:tc>
          <w:tcPr>
            <w:tcW w:w="4678" w:type="dxa"/>
            <w:noWrap/>
            <w:vAlign w:val="center"/>
          </w:tcPr>
          <w:p w14:paraId="69C75FEB" w14:textId="08893D2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BE9D3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46B64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3EFFC0C2" w14:textId="77777777" w:rsidTr="00801D0D">
        <w:trPr>
          <w:trHeight w:val="57"/>
        </w:trPr>
        <w:tc>
          <w:tcPr>
            <w:tcW w:w="4678" w:type="dxa"/>
            <w:noWrap/>
            <w:vAlign w:val="center"/>
          </w:tcPr>
          <w:p w14:paraId="1689A18E" w14:textId="6A96DA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40CFB9C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7C17FA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27EB1849" w14:textId="77777777" w:rsidTr="00801D0D">
        <w:trPr>
          <w:trHeight w:val="57"/>
        </w:trPr>
        <w:tc>
          <w:tcPr>
            <w:tcW w:w="4678" w:type="dxa"/>
            <w:noWrap/>
            <w:vAlign w:val="center"/>
          </w:tcPr>
          <w:p w14:paraId="7492AF9C" w14:textId="38518AA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179069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A396B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4CE68A3D" w14:textId="77777777" w:rsidTr="00801D0D">
        <w:trPr>
          <w:trHeight w:val="57"/>
        </w:trPr>
        <w:tc>
          <w:tcPr>
            <w:tcW w:w="4678" w:type="dxa"/>
            <w:noWrap/>
            <w:vAlign w:val="center"/>
          </w:tcPr>
          <w:p w14:paraId="010F61B2" w14:textId="2B41F3C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1D2E1A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0CB9BF2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07647743" w14:textId="77777777" w:rsidTr="00801D0D">
        <w:trPr>
          <w:trHeight w:val="57"/>
        </w:trPr>
        <w:tc>
          <w:tcPr>
            <w:tcW w:w="4678" w:type="dxa"/>
            <w:noWrap/>
            <w:vAlign w:val="center"/>
          </w:tcPr>
          <w:p w14:paraId="43522EE9" w14:textId="1C31E67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401A33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4847D93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66CDB4ED" w14:textId="77777777" w:rsidTr="00801D0D">
        <w:trPr>
          <w:trHeight w:val="57"/>
        </w:trPr>
        <w:tc>
          <w:tcPr>
            <w:tcW w:w="4678" w:type="dxa"/>
            <w:noWrap/>
            <w:vAlign w:val="center"/>
          </w:tcPr>
          <w:p w14:paraId="2A368C77" w14:textId="44C838D4"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lastRenderedPageBreak/>
              <w:t xml:space="preserve">General-population, </w:t>
            </w:r>
            <w:r w:rsidR="00F46817" w:rsidRPr="00CC1970">
              <w:rPr>
                <w:rFonts w:ascii="Times New Roman" w:hAnsi="Times New Roman" w:cs="Times New Roman"/>
                <w:sz w:val="22"/>
              </w:rPr>
              <w:t>intensive</w:t>
            </w:r>
            <w:r w:rsidRPr="00CC1970">
              <w:rPr>
                <w:rFonts w:ascii="Times New Roman" w:hAnsi="Times New Roman" w:cs="Times New Roman"/>
                <w:sz w:val="22"/>
              </w:rPr>
              <w:t xml:space="preserve"> ambulatory</w:t>
            </w:r>
          </w:p>
        </w:tc>
        <w:tc>
          <w:tcPr>
            <w:tcW w:w="4535" w:type="dxa"/>
            <w:noWrap/>
            <w:vAlign w:val="center"/>
          </w:tcPr>
          <w:p w14:paraId="09B78C32" w14:textId="77777777" w:rsidR="001974E4" w:rsidRPr="00CC1970"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CC1970" w:rsidRDefault="001974E4" w:rsidP="00F33019">
            <w:pPr>
              <w:ind w:right="-2"/>
              <w:jc w:val="right"/>
              <w:rPr>
                <w:rFonts w:ascii="Times New Roman" w:hAnsi="Times New Roman" w:cs="Times New Roman"/>
                <w:sz w:val="22"/>
              </w:rPr>
            </w:pPr>
          </w:p>
        </w:tc>
      </w:tr>
      <w:tr w:rsidR="00F33019" w:rsidRPr="00CC1970" w14:paraId="6C051668" w14:textId="77777777" w:rsidTr="00801D0D">
        <w:trPr>
          <w:trHeight w:val="57"/>
        </w:trPr>
        <w:tc>
          <w:tcPr>
            <w:tcW w:w="4678" w:type="dxa"/>
            <w:noWrap/>
            <w:vAlign w:val="center"/>
          </w:tcPr>
          <w:p w14:paraId="343FF0E0" w14:textId="15F6269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587A2A3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1B15B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6DBC82B" w14:textId="77777777" w:rsidTr="00801D0D">
        <w:trPr>
          <w:trHeight w:val="57"/>
        </w:trPr>
        <w:tc>
          <w:tcPr>
            <w:tcW w:w="4678" w:type="dxa"/>
            <w:noWrap/>
            <w:vAlign w:val="center"/>
          </w:tcPr>
          <w:p w14:paraId="1A399449" w14:textId="1F3456A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1915AA3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F3031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97A75F9" w14:textId="77777777" w:rsidTr="00801D0D">
        <w:trPr>
          <w:trHeight w:val="57"/>
        </w:trPr>
        <w:tc>
          <w:tcPr>
            <w:tcW w:w="4678" w:type="dxa"/>
            <w:noWrap/>
            <w:vAlign w:val="center"/>
          </w:tcPr>
          <w:p w14:paraId="589AE945" w14:textId="35ED746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111F91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031721D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07F3788B" w14:textId="77777777" w:rsidTr="00801D0D">
        <w:trPr>
          <w:trHeight w:val="57"/>
        </w:trPr>
        <w:tc>
          <w:tcPr>
            <w:tcW w:w="4678" w:type="dxa"/>
            <w:noWrap/>
            <w:vAlign w:val="center"/>
          </w:tcPr>
          <w:p w14:paraId="5A0C99C4" w14:textId="71965E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7893A11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52970DA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2C3661FB" w14:textId="77777777" w:rsidTr="00801D0D">
        <w:trPr>
          <w:trHeight w:val="57"/>
        </w:trPr>
        <w:tc>
          <w:tcPr>
            <w:tcW w:w="4678" w:type="dxa"/>
            <w:noWrap/>
            <w:vAlign w:val="center"/>
          </w:tcPr>
          <w:p w14:paraId="22641ACE" w14:textId="30BB81A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5DC5C5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07358B8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0DBD3273" w14:textId="77777777" w:rsidTr="00801D0D">
        <w:trPr>
          <w:trHeight w:val="57"/>
        </w:trPr>
        <w:tc>
          <w:tcPr>
            <w:tcW w:w="4678" w:type="dxa"/>
            <w:noWrap/>
            <w:vAlign w:val="center"/>
          </w:tcPr>
          <w:p w14:paraId="3D59ACE8" w14:textId="24696C9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0D32AC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C0EC5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4CE73FFC" w14:textId="77777777" w:rsidTr="00801D0D">
        <w:trPr>
          <w:trHeight w:val="57"/>
        </w:trPr>
        <w:tc>
          <w:tcPr>
            <w:tcW w:w="4678" w:type="dxa"/>
            <w:noWrap/>
            <w:vAlign w:val="center"/>
          </w:tcPr>
          <w:p w14:paraId="2E452E3C" w14:textId="7B7781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314C3AA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5472A3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064C2D96" w14:textId="77777777" w:rsidTr="00801D0D">
        <w:trPr>
          <w:trHeight w:val="57"/>
        </w:trPr>
        <w:tc>
          <w:tcPr>
            <w:tcW w:w="4678" w:type="dxa"/>
            <w:noWrap/>
            <w:vAlign w:val="center"/>
          </w:tcPr>
          <w:p w14:paraId="5E8E7AD7" w14:textId="32B2980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04CCE68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43B4B33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2A4F313" w14:textId="77777777" w:rsidTr="00801D0D">
        <w:trPr>
          <w:trHeight w:val="57"/>
        </w:trPr>
        <w:tc>
          <w:tcPr>
            <w:tcW w:w="4678" w:type="dxa"/>
            <w:noWrap/>
            <w:vAlign w:val="center"/>
          </w:tcPr>
          <w:p w14:paraId="337D767C" w14:textId="087F24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71E5B1E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13E711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5B984131" w14:textId="77777777" w:rsidTr="00801D0D">
        <w:trPr>
          <w:trHeight w:val="57"/>
        </w:trPr>
        <w:tc>
          <w:tcPr>
            <w:tcW w:w="4678" w:type="dxa"/>
            <w:noWrap/>
            <w:vAlign w:val="center"/>
          </w:tcPr>
          <w:p w14:paraId="2D0DE4B0" w14:textId="109D9D3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436583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286C3E2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1AA0F3F1" w14:textId="77777777" w:rsidTr="00801D0D">
        <w:trPr>
          <w:trHeight w:val="57"/>
        </w:trPr>
        <w:tc>
          <w:tcPr>
            <w:tcW w:w="4678" w:type="dxa"/>
            <w:noWrap/>
            <w:vAlign w:val="center"/>
          </w:tcPr>
          <w:p w14:paraId="7B09E065" w14:textId="09A405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5A384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1D27CAE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0369B1E1" w14:textId="77777777" w:rsidTr="00801D0D">
        <w:trPr>
          <w:trHeight w:val="57"/>
        </w:trPr>
        <w:tc>
          <w:tcPr>
            <w:tcW w:w="4678" w:type="dxa"/>
            <w:noWrap/>
            <w:vAlign w:val="center"/>
          </w:tcPr>
          <w:p w14:paraId="2BBB121C" w14:textId="746BD3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8D26B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3B7B474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594E692B" w14:textId="77777777" w:rsidTr="00801D0D">
        <w:trPr>
          <w:trHeight w:val="57"/>
        </w:trPr>
        <w:tc>
          <w:tcPr>
            <w:tcW w:w="4678" w:type="dxa"/>
            <w:noWrap/>
            <w:vAlign w:val="center"/>
          </w:tcPr>
          <w:p w14:paraId="08D9C4BB" w14:textId="6797297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2A761E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07E534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33F29135" w14:textId="77777777" w:rsidTr="00801D0D">
        <w:trPr>
          <w:trHeight w:val="57"/>
        </w:trPr>
        <w:tc>
          <w:tcPr>
            <w:tcW w:w="4678" w:type="dxa"/>
            <w:noWrap/>
            <w:vAlign w:val="center"/>
          </w:tcPr>
          <w:p w14:paraId="3025794E" w14:textId="2D1F708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453395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707DE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517AAF80" w14:textId="77777777" w:rsidTr="00801D0D">
        <w:trPr>
          <w:trHeight w:val="57"/>
        </w:trPr>
        <w:tc>
          <w:tcPr>
            <w:tcW w:w="4678" w:type="dxa"/>
            <w:noWrap/>
            <w:vAlign w:val="center"/>
          </w:tcPr>
          <w:p w14:paraId="37C203C4" w14:textId="654BE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30A2D3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719DE58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40600552" w14:textId="77777777" w:rsidTr="00801D0D">
        <w:trPr>
          <w:trHeight w:val="57"/>
        </w:trPr>
        <w:tc>
          <w:tcPr>
            <w:tcW w:w="4678" w:type="dxa"/>
            <w:noWrap/>
            <w:vAlign w:val="center"/>
          </w:tcPr>
          <w:p w14:paraId="6AABA454" w14:textId="2B897F2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255DD4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1BB316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21746A00" w14:textId="77777777" w:rsidTr="00801D0D">
        <w:trPr>
          <w:trHeight w:val="57"/>
        </w:trPr>
        <w:tc>
          <w:tcPr>
            <w:tcW w:w="4678" w:type="dxa"/>
            <w:noWrap/>
            <w:vAlign w:val="center"/>
          </w:tcPr>
          <w:p w14:paraId="3EB8F647" w14:textId="54DEE828" w:rsidR="00F33019" w:rsidRPr="00CC1970" w:rsidRDefault="00F33019" w:rsidP="00F33019">
            <w:pPr>
              <w:ind w:right="-2"/>
              <w:jc w:val="left"/>
              <w:rPr>
                <w:rFonts w:ascii="Times New Roman" w:hAnsi="Times New Roman" w:cs="Times New Roman"/>
                <w:sz w:val="22"/>
              </w:rPr>
            </w:pPr>
            <w:bookmarkStart w:id="10" w:name="_Hlk170387411"/>
          </w:p>
        </w:tc>
        <w:tc>
          <w:tcPr>
            <w:tcW w:w="4535" w:type="dxa"/>
            <w:noWrap/>
            <w:vAlign w:val="center"/>
            <w:hideMark/>
          </w:tcPr>
          <w:p w14:paraId="58CCD350" w14:textId="494DCE8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429AF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4E334F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bookmarkEnd w:id="10"/>
      <w:tr w:rsidR="00F33019" w:rsidRPr="00CC1970" w14:paraId="74108E99" w14:textId="77777777" w:rsidTr="00801D0D">
        <w:trPr>
          <w:trHeight w:val="57"/>
        </w:trPr>
        <w:tc>
          <w:tcPr>
            <w:tcW w:w="4678" w:type="dxa"/>
            <w:noWrap/>
            <w:vAlign w:val="center"/>
          </w:tcPr>
          <w:p w14:paraId="0A133F5F" w14:textId="067D383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93BF1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5BB61A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tr w:rsidR="00F33019" w:rsidRPr="00CC1970" w14:paraId="194EE121" w14:textId="77777777" w:rsidTr="00801D0D">
        <w:trPr>
          <w:trHeight w:val="57"/>
        </w:trPr>
        <w:tc>
          <w:tcPr>
            <w:tcW w:w="4678" w:type="dxa"/>
            <w:noWrap/>
            <w:vAlign w:val="center"/>
          </w:tcPr>
          <w:p w14:paraId="617CF282" w14:textId="1D34BED1"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4535" w:type="dxa"/>
            <w:noWrap/>
            <w:vAlign w:val="center"/>
          </w:tcPr>
          <w:p w14:paraId="11705DA4"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CC1970" w:rsidRDefault="001974E4" w:rsidP="00F33019">
            <w:pPr>
              <w:ind w:right="-2"/>
              <w:jc w:val="right"/>
              <w:rPr>
                <w:rFonts w:ascii="Times New Roman" w:hAnsi="Times New Roman" w:cs="Times New Roman"/>
                <w:sz w:val="22"/>
              </w:rPr>
            </w:pPr>
          </w:p>
        </w:tc>
      </w:tr>
      <w:tr w:rsidR="00F33019" w:rsidRPr="00CC1970" w14:paraId="6195C161" w14:textId="77777777" w:rsidTr="00801D0D">
        <w:trPr>
          <w:trHeight w:val="57"/>
        </w:trPr>
        <w:tc>
          <w:tcPr>
            <w:tcW w:w="4678" w:type="dxa"/>
            <w:noWrap/>
            <w:vAlign w:val="center"/>
          </w:tcPr>
          <w:p w14:paraId="3A3B758C" w14:textId="0B8908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E99B9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6A7D3C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54D3970" w14:textId="77777777" w:rsidTr="00801D0D">
        <w:trPr>
          <w:trHeight w:val="57"/>
        </w:trPr>
        <w:tc>
          <w:tcPr>
            <w:tcW w:w="4678" w:type="dxa"/>
            <w:noWrap/>
            <w:vAlign w:val="center"/>
          </w:tcPr>
          <w:p w14:paraId="49289C2D" w14:textId="23258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3D4CD8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4808666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1D99C07F" w14:textId="77777777" w:rsidTr="00801D0D">
        <w:trPr>
          <w:trHeight w:val="57"/>
        </w:trPr>
        <w:tc>
          <w:tcPr>
            <w:tcW w:w="4678" w:type="dxa"/>
            <w:noWrap/>
            <w:vAlign w:val="center"/>
          </w:tcPr>
          <w:p w14:paraId="7EA1441E" w14:textId="71587B7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7DC8249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2309A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7459DC99" w14:textId="77777777" w:rsidTr="00801D0D">
        <w:trPr>
          <w:trHeight w:val="57"/>
        </w:trPr>
        <w:tc>
          <w:tcPr>
            <w:tcW w:w="4678" w:type="dxa"/>
            <w:noWrap/>
            <w:vAlign w:val="center"/>
          </w:tcPr>
          <w:p w14:paraId="2E7A93AB" w14:textId="6A8545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0EACDB3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1861A0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22D35324" w14:textId="77777777" w:rsidTr="00801D0D">
        <w:trPr>
          <w:trHeight w:val="57"/>
        </w:trPr>
        <w:tc>
          <w:tcPr>
            <w:tcW w:w="4678" w:type="dxa"/>
            <w:noWrap/>
            <w:vAlign w:val="center"/>
          </w:tcPr>
          <w:p w14:paraId="3670D870" w14:textId="15D0746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301A4AC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7BB3265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0A68565E" w14:textId="77777777" w:rsidTr="00801D0D">
        <w:trPr>
          <w:trHeight w:val="57"/>
        </w:trPr>
        <w:tc>
          <w:tcPr>
            <w:tcW w:w="4678" w:type="dxa"/>
            <w:noWrap/>
            <w:vAlign w:val="center"/>
          </w:tcPr>
          <w:p w14:paraId="20295D14" w14:textId="790E04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4E1FD95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36E1AAF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3659E69A" w14:textId="77777777" w:rsidTr="00801D0D">
        <w:trPr>
          <w:trHeight w:val="57"/>
        </w:trPr>
        <w:tc>
          <w:tcPr>
            <w:tcW w:w="4678" w:type="dxa"/>
            <w:noWrap/>
            <w:vAlign w:val="center"/>
          </w:tcPr>
          <w:p w14:paraId="5FC61410" w14:textId="29C723D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575C63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E5D8F9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5C637208" w14:textId="77777777" w:rsidTr="00801D0D">
        <w:trPr>
          <w:trHeight w:val="57"/>
        </w:trPr>
        <w:tc>
          <w:tcPr>
            <w:tcW w:w="4678" w:type="dxa"/>
            <w:noWrap/>
            <w:vAlign w:val="center"/>
          </w:tcPr>
          <w:p w14:paraId="31F06083" w14:textId="57B68E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2BDA4C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7067E25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CC33C07" w14:textId="77777777" w:rsidTr="00801D0D">
        <w:trPr>
          <w:trHeight w:val="57"/>
        </w:trPr>
        <w:tc>
          <w:tcPr>
            <w:tcW w:w="4678" w:type="dxa"/>
            <w:noWrap/>
            <w:vAlign w:val="center"/>
          </w:tcPr>
          <w:p w14:paraId="6E1A86ED" w14:textId="1196E1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454D30D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3D58A5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062A6F71" w14:textId="77777777" w:rsidTr="00801D0D">
        <w:trPr>
          <w:trHeight w:val="57"/>
        </w:trPr>
        <w:tc>
          <w:tcPr>
            <w:tcW w:w="4678" w:type="dxa"/>
            <w:noWrap/>
            <w:vAlign w:val="center"/>
          </w:tcPr>
          <w:p w14:paraId="38E2A100" w14:textId="645CD58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2F9498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72AA31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5C7A95B8" w14:textId="77777777" w:rsidTr="00801D0D">
        <w:trPr>
          <w:trHeight w:val="57"/>
        </w:trPr>
        <w:tc>
          <w:tcPr>
            <w:tcW w:w="4678" w:type="dxa"/>
            <w:noWrap/>
            <w:vAlign w:val="center"/>
          </w:tcPr>
          <w:p w14:paraId="2501F022" w14:textId="5877BB6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5BD6F0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5FDA805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42310605" w14:textId="77777777" w:rsidTr="00801D0D">
        <w:trPr>
          <w:trHeight w:val="57"/>
        </w:trPr>
        <w:tc>
          <w:tcPr>
            <w:tcW w:w="4678" w:type="dxa"/>
            <w:noWrap/>
            <w:vAlign w:val="center"/>
          </w:tcPr>
          <w:p w14:paraId="65CEA74E" w14:textId="045C92A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1516D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29371BC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76451D8D" w14:textId="77777777" w:rsidTr="00801D0D">
        <w:trPr>
          <w:trHeight w:val="57"/>
        </w:trPr>
        <w:tc>
          <w:tcPr>
            <w:tcW w:w="4678" w:type="dxa"/>
            <w:noWrap/>
            <w:vAlign w:val="center"/>
          </w:tcPr>
          <w:p w14:paraId="6DC0C328" w14:textId="6E736B7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408755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22E6407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BE907EA" w14:textId="77777777" w:rsidTr="00801D0D">
        <w:trPr>
          <w:trHeight w:val="57"/>
        </w:trPr>
        <w:tc>
          <w:tcPr>
            <w:tcW w:w="4678" w:type="dxa"/>
            <w:noWrap/>
            <w:vAlign w:val="center"/>
          </w:tcPr>
          <w:p w14:paraId="548BAD1F" w14:textId="5CEE50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12E568E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5F6E62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0A72219" w14:textId="77777777" w:rsidTr="00801D0D">
        <w:trPr>
          <w:trHeight w:val="57"/>
        </w:trPr>
        <w:tc>
          <w:tcPr>
            <w:tcW w:w="4678" w:type="dxa"/>
            <w:noWrap/>
            <w:vAlign w:val="center"/>
          </w:tcPr>
          <w:p w14:paraId="1B80CF0D" w14:textId="474E54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383789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45AB88A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2DE77D7C" w14:textId="77777777" w:rsidTr="00801D0D">
        <w:trPr>
          <w:trHeight w:val="57"/>
        </w:trPr>
        <w:tc>
          <w:tcPr>
            <w:tcW w:w="4678" w:type="dxa"/>
            <w:noWrap/>
            <w:vAlign w:val="center"/>
          </w:tcPr>
          <w:p w14:paraId="06D3FD57" w14:textId="2316A18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210CE66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06EF85A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545B9A90" w14:textId="77777777" w:rsidTr="00801D0D">
        <w:trPr>
          <w:trHeight w:val="57"/>
        </w:trPr>
        <w:tc>
          <w:tcPr>
            <w:tcW w:w="4678" w:type="dxa"/>
            <w:noWrap/>
            <w:vAlign w:val="center"/>
          </w:tcPr>
          <w:p w14:paraId="24C5D6C4" w14:textId="3640302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015417F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22945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2475DEDB" w14:textId="77777777" w:rsidTr="00801D0D">
        <w:trPr>
          <w:trHeight w:val="57"/>
        </w:trPr>
        <w:tc>
          <w:tcPr>
            <w:tcW w:w="4678" w:type="dxa"/>
            <w:noWrap/>
            <w:vAlign w:val="center"/>
          </w:tcPr>
          <w:p w14:paraId="59455699" w14:textId="57834BA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40266D9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D4613E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4B2CBAEF" w14:textId="77777777" w:rsidTr="00801D0D">
        <w:trPr>
          <w:trHeight w:val="57"/>
        </w:trPr>
        <w:tc>
          <w:tcPr>
            <w:tcW w:w="4678" w:type="dxa"/>
            <w:noWrap/>
            <w:vAlign w:val="center"/>
          </w:tcPr>
          <w:p w14:paraId="4F7E808A" w14:textId="6825E6F0"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4535" w:type="dxa"/>
            <w:noWrap/>
            <w:vAlign w:val="center"/>
          </w:tcPr>
          <w:p w14:paraId="43160892"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CC1970" w:rsidRDefault="001974E4" w:rsidP="00F33019">
            <w:pPr>
              <w:ind w:right="-2"/>
              <w:jc w:val="right"/>
              <w:rPr>
                <w:rFonts w:ascii="Times New Roman" w:hAnsi="Times New Roman" w:cs="Times New Roman"/>
                <w:sz w:val="22"/>
              </w:rPr>
            </w:pPr>
          </w:p>
        </w:tc>
      </w:tr>
      <w:tr w:rsidR="00F33019" w:rsidRPr="00CC1970" w14:paraId="07CCA189" w14:textId="77777777" w:rsidTr="00801D0D">
        <w:trPr>
          <w:trHeight w:val="57"/>
        </w:trPr>
        <w:tc>
          <w:tcPr>
            <w:tcW w:w="4678" w:type="dxa"/>
            <w:noWrap/>
            <w:vAlign w:val="center"/>
          </w:tcPr>
          <w:p w14:paraId="58F346E8" w14:textId="111968F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3BDBA6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7484054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926D67D" w14:textId="77777777" w:rsidTr="00801D0D">
        <w:trPr>
          <w:trHeight w:val="57"/>
        </w:trPr>
        <w:tc>
          <w:tcPr>
            <w:tcW w:w="4678" w:type="dxa"/>
            <w:noWrap/>
            <w:vAlign w:val="center"/>
          </w:tcPr>
          <w:p w14:paraId="505DC5BB" w14:textId="16DC40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188715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A70818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7C75E91" w14:textId="77777777" w:rsidTr="00801D0D">
        <w:trPr>
          <w:trHeight w:val="57"/>
        </w:trPr>
        <w:tc>
          <w:tcPr>
            <w:tcW w:w="4678" w:type="dxa"/>
            <w:noWrap/>
            <w:vAlign w:val="center"/>
          </w:tcPr>
          <w:p w14:paraId="21FF5234" w14:textId="1A91B2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68C779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477A3E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3C564991" w14:textId="77777777" w:rsidTr="00801D0D">
        <w:trPr>
          <w:trHeight w:val="57"/>
        </w:trPr>
        <w:tc>
          <w:tcPr>
            <w:tcW w:w="4678" w:type="dxa"/>
            <w:noWrap/>
            <w:vAlign w:val="center"/>
          </w:tcPr>
          <w:p w14:paraId="7683A755" w14:textId="628ADCA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2EF88C0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102025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5DA29C28" w14:textId="77777777" w:rsidTr="00801D0D">
        <w:trPr>
          <w:trHeight w:val="57"/>
        </w:trPr>
        <w:tc>
          <w:tcPr>
            <w:tcW w:w="4678" w:type="dxa"/>
            <w:noWrap/>
            <w:vAlign w:val="center"/>
          </w:tcPr>
          <w:p w14:paraId="55510655" w14:textId="044004B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82DA74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1A76E1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3FB6C9AC" w14:textId="77777777" w:rsidTr="00801D0D">
        <w:trPr>
          <w:trHeight w:val="57"/>
        </w:trPr>
        <w:tc>
          <w:tcPr>
            <w:tcW w:w="4678" w:type="dxa"/>
            <w:noWrap/>
            <w:vAlign w:val="center"/>
          </w:tcPr>
          <w:p w14:paraId="424D9E98" w14:textId="270147E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1BDB06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25260C6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679D96C1" w14:textId="77777777" w:rsidTr="00801D0D">
        <w:trPr>
          <w:trHeight w:val="57"/>
        </w:trPr>
        <w:tc>
          <w:tcPr>
            <w:tcW w:w="4678" w:type="dxa"/>
            <w:noWrap/>
            <w:vAlign w:val="center"/>
          </w:tcPr>
          <w:p w14:paraId="6263A7CB" w14:textId="773052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2F87A4E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01CE6FA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53F9B319" w14:textId="77777777" w:rsidTr="00801D0D">
        <w:trPr>
          <w:trHeight w:val="57"/>
        </w:trPr>
        <w:tc>
          <w:tcPr>
            <w:tcW w:w="4678" w:type="dxa"/>
            <w:noWrap/>
            <w:vAlign w:val="center"/>
          </w:tcPr>
          <w:p w14:paraId="23AD6274" w14:textId="13EAC23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5486AE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4DDA8A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4DCF46A1" w14:textId="77777777" w:rsidTr="00801D0D">
        <w:trPr>
          <w:trHeight w:val="57"/>
        </w:trPr>
        <w:tc>
          <w:tcPr>
            <w:tcW w:w="4678" w:type="dxa"/>
            <w:noWrap/>
            <w:vAlign w:val="center"/>
          </w:tcPr>
          <w:p w14:paraId="2D58A637" w14:textId="302989B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6A670C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0E4D7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49F5631C" w14:textId="77777777" w:rsidTr="00801D0D">
        <w:trPr>
          <w:trHeight w:val="57"/>
        </w:trPr>
        <w:tc>
          <w:tcPr>
            <w:tcW w:w="4678" w:type="dxa"/>
            <w:noWrap/>
            <w:vAlign w:val="center"/>
          </w:tcPr>
          <w:p w14:paraId="23D57345" w14:textId="449584E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119BA2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AC31B2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2650C3D0" w14:textId="77777777" w:rsidTr="00801D0D">
        <w:trPr>
          <w:trHeight w:val="57"/>
        </w:trPr>
        <w:tc>
          <w:tcPr>
            <w:tcW w:w="4678" w:type="dxa"/>
            <w:noWrap/>
            <w:vAlign w:val="center"/>
          </w:tcPr>
          <w:p w14:paraId="65E80EFF" w14:textId="371968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453AC31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7A5B94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5769A45C" w14:textId="77777777" w:rsidTr="00801D0D">
        <w:trPr>
          <w:trHeight w:val="57"/>
        </w:trPr>
        <w:tc>
          <w:tcPr>
            <w:tcW w:w="4678" w:type="dxa"/>
            <w:noWrap/>
            <w:vAlign w:val="center"/>
          </w:tcPr>
          <w:p w14:paraId="0374DC68" w14:textId="64CD4E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308B019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5FC9AF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2791E350" w14:textId="77777777" w:rsidTr="00801D0D">
        <w:trPr>
          <w:trHeight w:val="57"/>
        </w:trPr>
        <w:tc>
          <w:tcPr>
            <w:tcW w:w="4678" w:type="dxa"/>
            <w:noWrap/>
            <w:vAlign w:val="center"/>
          </w:tcPr>
          <w:p w14:paraId="0AD33E4F" w14:textId="3354FD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75B81A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32EF76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CADB503" w14:textId="77777777" w:rsidTr="00801D0D">
        <w:trPr>
          <w:trHeight w:val="57"/>
        </w:trPr>
        <w:tc>
          <w:tcPr>
            <w:tcW w:w="4678" w:type="dxa"/>
            <w:noWrap/>
            <w:vAlign w:val="center"/>
          </w:tcPr>
          <w:p w14:paraId="22CA4C2E" w14:textId="5E85F28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E87047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CC27F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7668D19D" w14:textId="77777777" w:rsidTr="00801D0D">
        <w:trPr>
          <w:trHeight w:val="57"/>
        </w:trPr>
        <w:tc>
          <w:tcPr>
            <w:tcW w:w="4678" w:type="dxa"/>
            <w:noWrap/>
            <w:vAlign w:val="center"/>
          </w:tcPr>
          <w:p w14:paraId="2F6BD409" w14:textId="2409B75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615C0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2311A16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088123C3" w14:textId="77777777" w:rsidTr="00801D0D">
        <w:trPr>
          <w:trHeight w:val="57"/>
        </w:trPr>
        <w:tc>
          <w:tcPr>
            <w:tcW w:w="4678" w:type="dxa"/>
            <w:noWrap/>
            <w:vAlign w:val="center"/>
          </w:tcPr>
          <w:p w14:paraId="2E3E69E6" w14:textId="23CAF4E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599F56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50CDF6C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220B5A64" w14:textId="77777777" w:rsidTr="00801D0D">
        <w:trPr>
          <w:trHeight w:val="57"/>
        </w:trPr>
        <w:tc>
          <w:tcPr>
            <w:tcW w:w="4678" w:type="dxa"/>
            <w:noWrap/>
            <w:vAlign w:val="center"/>
          </w:tcPr>
          <w:p w14:paraId="5D459FCB" w14:textId="3C20FA4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5CE0F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3DFCB07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131C9305" w14:textId="77777777" w:rsidTr="00801D0D">
        <w:trPr>
          <w:trHeight w:val="57"/>
        </w:trPr>
        <w:tc>
          <w:tcPr>
            <w:tcW w:w="4678" w:type="dxa"/>
            <w:noWrap/>
            <w:vAlign w:val="center"/>
          </w:tcPr>
          <w:p w14:paraId="289783E6" w14:textId="582F86B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06F7A0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64E3D2D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422F5BE3" w14:textId="77777777" w:rsidTr="00801D0D">
        <w:trPr>
          <w:trHeight w:val="57"/>
        </w:trPr>
        <w:tc>
          <w:tcPr>
            <w:tcW w:w="4678" w:type="dxa"/>
            <w:noWrap/>
            <w:vAlign w:val="center"/>
          </w:tcPr>
          <w:p w14:paraId="18C5D03F" w14:textId="4C929186"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4535" w:type="dxa"/>
            <w:noWrap/>
            <w:vAlign w:val="center"/>
          </w:tcPr>
          <w:p w14:paraId="77D2B675"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CC1970" w:rsidRDefault="001974E4" w:rsidP="00F33019">
            <w:pPr>
              <w:ind w:right="-2"/>
              <w:jc w:val="right"/>
              <w:rPr>
                <w:rFonts w:ascii="Times New Roman" w:hAnsi="Times New Roman" w:cs="Times New Roman"/>
                <w:sz w:val="22"/>
              </w:rPr>
            </w:pPr>
          </w:p>
        </w:tc>
      </w:tr>
      <w:tr w:rsidR="00F33019" w:rsidRPr="00CC1970" w14:paraId="11A01426" w14:textId="77777777" w:rsidTr="00801D0D">
        <w:trPr>
          <w:trHeight w:val="57"/>
        </w:trPr>
        <w:tc>
          <w:tcPr>
            <w:tcW w:w="4678" w:type="dxa"/>
            <w:noWrap/>
            <w:vAlign w:val="center"/>
          </w:tcPr>
          <w:p w14:paraId="4A40E588" w14:textId="2DE58D5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28415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038E4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781C0A1" w14:textId="77777777" w:rsidTr="00801D0D">
        <w:trPr>
          <w:trHeight w:val="57"/>
        </w:trPr>
        <w:tc>
          <w:tcPr>
            <w:tcW w:w="4678" w:type="dxa"/>
            <w:noWrap/>
            <w:vAlign w:val="center"/>
          </w:tcPr>
          <w:p w14:paraId="4531B485" w14:textId="5A6CC76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174C86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839AB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4408488" w14:textId="77777777" w:rsidTr="00801D0D">
        <w:trPr>
          <w:trHeight w:val="57"/>
        </w:trPr>
        <w:tc>
          <w:tcPr>
            <w:tcW w:w="4678" w:type="dxa"/>
            <w:noWrap/>
            <w:vAlign w:val="center"/>
          </w:tcPr>
          <w:p w14:paraId="37C7A772" w14:textId="1A2BAB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3AC28C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48743C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02454151" w14:textId="77777777" w:rsidTr="00801D0D">
        <w:trPr>
          <w:trHeight w:val="57"/>
        </w:trPr>
        <w:tc>
          <w:tcPr>
            <w:tcW w:w="4678" w:type="dxa"/>
            <w:noWrap/>
            <w:vAlign w:val="center"/>
          </w:tcPr>
          <w:p w14:paraId="1A2941AE" w14:textId="1870F6E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162671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BE52EE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683836C0" w14:textId="77777777" w:rsidTr="00801D0D">
        <w:trPr>
          <w:trHeight w:val="57"/>
        </w:trPr>
        <w:tc>
          <w:tcPr>
            <w:tcW w:w="4678" w:type="dxa"/>
            <w:noWrap/>
            <w:vAlign w:val="center"/>
          </w:tcPr>
          <w:p w14:paraId="35E77B65" w14:textId="40BBC88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5EE5C3A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F90FC9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680B4DE1" w14:textId="77777777" w:rsidTr="00801D0D">
        <w:trPr>
          <w:trHeight w:val="57"/>
        </w:trPr>
        <w:tc>
          <w:tcPr>
            <w:tcW w:w="4678" w:type="dxa"/>
            <w:noWrap/>
            <w:vAlign w:val="center"/>
          </w:tcPr>
          <w:p w14:paraId="4F995F88" w14:textId="7F0935D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49C8536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534722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2CD07B88" w14:textId="77777777" w:rsidTr="00801D0D">
        <w:trPr>
          <w:trHeight w:val="57"/>
        </w:trPr>
        <w:tc>
          <w:tcPr>
            <w:tcW w:w="4678" w:type="dxa"/>
            <w:noWrap/>
            <w:vAlign w:val="center"/>
          </w:tcPr>
          <w:p w14:paraId="14B78E2D" w14:textId="1F626B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68519A3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1D965F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11A95B6" w14:textId="77777777" w:rsidTr="00801D0D">
        <w:trPr>
          <w:trHeight w:val="57"/>
        </w:trPr>
        <w:tc>
          <w:tcPr>
            <w:tcW w:w="4678" w:type="dxa"/>
            <w:noWrap/>
            <w:vAlign w:val="center"/>
          </w:tcPr>
          <w:p w14:paraId="551FD81D" w14:textId="1DB14FD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69735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1F64DF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42C26075" w14:textId="77777777" w:rsidTr="00801D0D">
        <w:trPr>
          <w:trHeight w:val="57"/>
        </w:trPr>
        <w:tc>
          <w:tcPr>
            <w:tcW w:w="4678" w:type="dxa"/>
            <w:noWrap/>
            <w:vAlign w:val="center"/>
          </w:tcPr>
          <w:p w14:paraId="53EE46CD" w14:textId="365123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623454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0CA5769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0158AE3D" w14:textId="77777777" w:rsidTr="00801D0D">
        <w:trPr>
          <w:trHeight w:val="57"/>
        </w:trPr>
        <w:tc>
          <w:tcPr>
            <w:tcW w:w="4678" w:type="dxa"/>
            <w:noWrap/>
            <w:vAlign w:val="center"/>
          </w:tcPr>
          <w:p w14:paraId="35FB42CB" w14:textId="61C346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123C28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28EC03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3102F2E5" w14:textId="77777777" w:rsidTr="00801D0D">
        <w:trPr>
          <w:trHeight w:val="57"/>
        </w:trPr>
        <w:tc>
          <w:tcPr>
            <w:tcW w:w="4678" w:type="dxa"/>
            <w:noWrap/>
            <w:vAlign w:val="center"/>
          </w:tcPr>
          <w:p w14:paraId="42210EF3" w14:textId="1B7E9D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50438F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AE43CF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38313EF0" w14:textId="77777777" w:rsidTr="00801D0D">
        <w:trPr>
          <w:trHeight w:val="57"/>
        </w:trPr>
        <w:tc>
          <w:tcPr>
            <w:tcW w:w="4678" w:type="dxa"/>
            <w:noWrap/>
            <w:vAlign w:val="center"/>
          </w:tcPr>
          <w:p w14:paraId="592D1302" w14:textId="6362939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29086F4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3A1FB4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6E6FA1F0" w14:textId="77777777" w:rsidTr="00801D0D">
        <w:trPr>
          <w:trHeight w:val="57"/>
        </w:trPr>
        <w:tc>
          <w:tcPr>
            <w:tcW w:w="4678" w:type="dxa"/>
            <w:noWrap/>
            <w:vAlign w:val="center"/>
          </w:tcPr>
          <w:p w14:paraId="544851DB" w14:textId="57C5A3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2AC7C8B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4D6D1FF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8A73C42" w14:textId="77777777" w:rsidTr="00801D0D">
        <w:trPr>
          <w:trHeight w:val="57"/>
        </w:trPr>
        <w:tc>
          <w:tcPr>
            <w:tcW w:w="4678" w:type="dxa"/>
            <w:noWrap/>
            <w:vAlign w:val="center"/>
          </w:tcPr>
          <w:p w14:paraId="4BA46D45" w14:textId="542B0C4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306BDE7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54164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26C1C27" w14:textId="77777777" w:rsidTr="00801D0D">
        <w:trPr>
          <w:trHeight w:val="57"/>
        </w:trPr>
        <w:tc>
          <w:tcPr>
            <w:tcW w:w="4678" w:type="dxa"/>
            <w:noWrap/>
            <w:vAlign w:val="center"/>
          </w:tcPr>
          <w:p w14:paraId="443425A5" w14:textId="5402F41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5C35B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328B3B3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6BCA307A" w14:textId="77777777" w:rsidTr="00801D0D">
        <w:trPr>
          <w:trHeight w:val="57"/>
        </w:trPr>
        <w:tc>
          <w:tcPr>
            <w:tcW w:w="4678" w:type="dxa"/>
            <w:noWrap/>
            <w:vAlign w:val="center"/>
          </w:tcPr>
          <w:p w14:paraId="2880D637" w14:textId="105AC96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AC88CA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4AC7BDD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71B75B0C" w14:textId="77777777" w:rsidTr="00801D0D">
        <w:trPr>
          <w:trHeight w:val="57"/>
        </w:trPr>
        <w:tc>
          <w:tcPr>
            <w:tcW w:w="4678" w:type="dxa"/>
            <w:noWrap/>
            <w:vAlign w:val="center"/>
          </w:tcPr>
          <w:p w14:paraId="46B29694" w14:textId="05EC82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noWrap/>
            <w:vAlign w:val="center"/>
            <w:hideMark/>
          </w:tcPr>
          <w:p w14:paraId="3CC86E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noWrap/>
            <w:vAlign w:val="center"/>
            <w:hideMark/>
          </w:tcPr>
          <w:p w14:paraId="7036646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r w:rsidR="00F33019" w:rsidRPr="00CC1970" w14:paraId="4CAA224D" w14:textId="77777777" w:rsidTr="00801D0D">
        <w:trPr>
          <w:trHeight w:val="57"/>
        </w:trPr>
        <w:tc>
          <w:tcPr>
            <w:tcW w:w="4678" w:type="dxa"/>
            <w:tcBorders>
              <w:bottom w:val="single" w:sz="4" w:space="0" w:color="auto"/>
            </w:tcBorders>
            <w:noWrap/>
          </w:tcPr>
          <w:p w14:paraId="222CD711" w14:textId="5D63CAC4" w:rsidR="00F33019" w:rsidRPr="00CC1970"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F1B24"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Pr="002F1D56">
        <w:rPr>
          <w:rFonts w:ascii="Times New Roman" w:hAnsi="Times New Roman" w:cs="Times New Roman"/>
          <w:sz w:val="24"/>
          <w:szCs w:val="28"/>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13CA6664" w14:textId="2D4A1225" w:rsidR="002264FE" w:rsidRDefault="00BA06BB" w:rsidP="002264FE">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 the models and scenarios of lagged variables for intensive ambulatory settings </w:t>
      </w:r>
      <w:r w:rsidR="00A96BE4" w:rsidRPr="00381B89">
        <w:rPr>
          <w:rFonts w:ascii="Times New Roman" w:hAnsi="Times New Roman" w:cs="Times New Roman"/>
          <w:sz w:val="24"/>
          <w:szCs w:val="24"/>
        </w:rPr>
        <w:t xml:space="preserve">specific for women and residential settings for the </w:t>
      </w:r>
      <w:r w:rsidRPr="00381B89">
        <w:rPr>
          <w:rFonts w:ascii="Times New Roman" w:hAnsi="Times New Roman" w:cs="Times New Roman"/>
          <w:sz w:val="24"/>
          <w:szCs w:val="24"/>
        </w:rPr>
        <w:t>general population</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p>
    <w:p w14:paraId="0DA6DC67" w14:textId="77777777" w:rsidR="002264FE" w:rsidRDefault="002264FE">
      <w:pPr>
        <w:spacing w:line="259" w:lineRule="auto"/>
        <w:jc w:val="left"/>
        <w:rPr>
          <w:rFonts w:ascii="Times New Roman" w:hAnsi="Times New Roman" w:cs="Times New Roman"/>
          <w:sz w:val="24"/>
          <w:szCs w:val="24"/>
        </w:rPr>
      </w:pPr>
      <w:r>
        <w:rPr>
          <w:rFonts w:ascii="Times New Roman" w:hAnsi="Times New Roman" w:cs="Times New Roman"/>
          <w:sz w:val="24"/>
          <w:szCs w:val="24"/>
        </w:rPr>
        <w:lastRenderedPageBreak/>
        <w:br w:type="page"/>
      </w:r>
    </w:p>
    <w:p w14:paraId="4529866A" w14:textId="2D00D5CF" w:rsidR="002264FE" w:rsidRPr="002F1D56" w:rsidRDefault="002264FE" w:rsidP="002264FE">
      <w:pPr>
        <w:pStyle w:val="Ttulo2"/>
      </w:pPr>
      <w:r w:rsidRPr="002F1D56">
        <w:lastRenderedPageBreak/>
        <w:t xml:space="preserve">Supplemental Section </w:t>
      </w:r>
      <w:r w:rsidR="005875EF">
        <w:t>6</w:t>
      </w:r>
      <w:r>
        <w:t>. The role of reporting PSU with and without alcohol as a secondary substance in treatment non-completion</w:t>
      </w:r>
    </w:p>
    <w:p w14:paraId="73E57795" w14:textId="3263A8EC" w:rsidR="002264FE" w:rsidRDefault="009B341B" w:rsidP="00C07227">
      <w:pPr>
        <w:spacing w:after="0" w:line="257" w:lineRule="auto"/>
        <w:ind w:firstLine="709"/>
        <w:rPr>
          <w:rFonts w:ascii="Times New Roman" w:hAnsi="Times New Roman" w:cs="Times New Roman"/>
          <w:sz w:val="24"/>
          <w:szCs w:val="24"/>
        </w:rPr>
      </w:pPr>
      <w:r w:rsidRPr="009B341B">
        <w:rPr>
          <w:rFonts w:ascii="Times New Roman" w:hAnsi="Times New Roman" w:cs="Times New Roman"/>
          <w:sz w:val="24"/>
          <w:szCs w:val="24"/>
        </w:rPr>
        <w:t>A GEE model with a Poisson distribution was conducted to elucidate the association between reporting PSU with alcohol as a secondary substance, PSU without alcohol as a secondary substance, and reporting single substance use as the reference category, and the risk of treatment non-completion.</w:t>
      </w:r>
    </w:p>
    <w:p w14:paraId="583CA006" w14:textId="77777777" w:rsidR="00F06BA4" w:rsidRDefault="00F06BA4" w:rsidP="009B341B">
      <w:pPr>
        <w:spacing w:after="0" w:line="257" w:lineRule="auto"/>
        <w:rPr>
          <w:rFonts w:ascii="Times New Roman" w:hAnsi="Times New Roman" w:cs="Times New Roman"/>
          <w:sz w:val="24"/>
          <w:szCs w:val="24"/>
        </w:rPr>
      </w:pPr>
    </w:p>
    <w:p w14:paraId="041BB2BB" w14:textId="18F458D5" w:rsidR="00F06BA4" w:rsidRPr="008B5A07" w:rsidRDefault="00F06BA4" w:rsidP="00F06BA4">
      <w:pPr>
        <w:spacing w:after="0" w:line="240" w:lineRule="auto"/>
        <w:ind w:left="720"/>
        <w:jc w:val="left"/>
        <w:rPr>
          <w:rFonts w:ascii="Times New Roman" w:hAnsi="Times New Roman" w:cs="Times New Roman"/>
          <w:b/>
          <w:bCs/>
          <w:sz w:val="24"/>
          <w:szCs w:val="28"/>
          <w:shd w:val="clear" w:color="auto" w:fill="FFFFFF"/>
        </w:rPr>
      </w:pPr>
      <w:r w:rsidRPr="008B5A07">
        <w:rPr>
          <w:rFonts w:ascii="Times New Roman" w:hAnsi="Times New Roman" w:cs="Times New Roman"/>
          <w:b/>
          <w:bCs/>
          <w:sz w:val="24"/>
          <w:szCs w:val="28"/>
          <w:shd w:val="clear" w:color="auto" w:fill="FFFFFF"/>
        </w:rPr>
        <w:t xml:space="preserve">Table </w:t>
      </w:r>
      <w:r w:rsidR="008B5A07" w:rsidRPr="008B5A07">
        <w:rPr>
          <w:rFonts w:ascii="Times New Roman" w:hAnsi="Times New Roman" w:cs="Times New Roman"/>
          <w:b/>
          <w:bCs/>
          <w:sz w:val="24"/>
          <w:szCs w:val="28"/>
          <w:shd w:val="clear" w:color="auto" w:fill="FFFFFF"/>
        </w:rPr>
        <w:t>S6</w:t>
      </w:r>
      <w:r w:rsidRPr="008B5A07">
        <w:rPr>
          <w:rFonts w:ascii="Times New Roman" w:hAnsi="Times New Roman" w:cs="Times New Roman"/>
          <w:b/>
          <w:bCs/>
          <w:sz w:val="24"/>
          <w:szCs w:val="28"/>
          <w:shd w:val="clear" w:color="auto" w:fill="FFFFFF"/>
        </w:rPr>
        <w:t xml:space="preserve">. Association between </w:t>
      </w:r>
      <w:r w:rsidR="00226EBE" w:rsidRPr="008B5A07">
        <w:rPr>
          <w:rFonts w:ascii="Times New Roman" w:hAnsi="Times New Roman" w:cs="Times New Roman"/>
          <w:b/>
          <w:bCs/>
          <w:sz w:val="24"/>
          <w:szCs w:val="28"/>
          <w:shd w:val="clear" w:color="auto" w:fill="FFFFFF"/>
        </w:rPr>
        <w:t>p</w:t>
      </w:r>
      <w:r w:rsidRPr="008B5A07">
        <w:rPr>
          <w:rFonts w:ascii="Times New Roman" w:hAnsi="Times New Roman" w:cs="Times New Roman"/>
          <w:b/>
          <w:bCs/>
          <w:sz w:val="24"/>
          <w:szCs w:val="28"/>
          <w:shd w:val="clear" w:color="auto" w:fill="FFFFFF"/>
        </w:rPr>
        <w:t>olysubstance use at admission</w:t>
      </w:r>
      <w:r w:rsidR="00226EBE" w:rsidRPr="008B5A07">
        <w:rPr>
          <w:rFonts w:ascii="Times New Roman" w:hAnsi="Times New Roman" w:cs="Times New Roman"/>
          <w:b/>
          <w:bCs/>
          <w:sz w:val="24"/>
          <w:szCs w:val="28"/>
          <w:shd w:val="clear" w:color="auto" w:fill="FFFFFF"/>
        </w:rPr>
        <w:t>, with or without alcohol as a secondary substance,</w:t>
      </w:r>
      <w:r w:rsidRPr="008B5A07">
        <w:rPr>
          <w:rFonts w:ascii="Times New Roman" w:hAnsi="Times New Roman" w:cs="Times New Roman"/>
          <w:b/>
          <w:bCs/>
          <w:sz w:val="24"/>
          <w:szCs w:val="28"/>
          <w:shd w:val="clear" w:color="auto" w:fill="FFFFFF"/>
        </w:rPr>
        <w:t xml:space="preserve"> and </w:t>
      </w:r>
      <w:r w:rsidR="00226EBE" w:rsidRPr="008B5A07">
        <w:rPr>
          <w:rFonts w:ascii="Times New Roman" w:hAnsi="Times New Roman" w:cs="Times New Roman"/>
          <w:b/>
          <w:bCs/>
          <w:sz w:val="24"/>
          <w:szCs w:val="28"/>
          <w:shd w:val="clear" w:color="auto" w:fill="FFFFFF"/>
        </w:rPr>
        <w:t>t</w:t>
      </w:r>
      <w:r w:rsidRPr="008B5A07">
        <w:rPr>
          <w:rFonts w:ascii="Times New Roman" w:hAnsi="Times New Roman" w:cs="Times New Roman"/>
          <w:b/>
          <w:bCs/>
          <w:sz w:val="24"/>
          <w:szCs w:val="28"/>
          <w:shd w:val="clear" w:color="auto" w:fill="FFFFFF"/>
        </w:rPr>
        <w:t xml:space="preserve">reatment noncompletion </w:t>
      </w:r>
      <w:bookmarkStart w:id="11" w:name="_Hlk166795595"/>
      <w:r w:rsidRPr="008B5A07">
        <w:rPr>
          <w:rFonts w:ascii="Times New Roman" w:hAnsi="Times New Roman" w:cs="Times New Roman"/>
          <w:b/>
          <w:bCs/>
          <w:sz w:val="24"/>
          <w:szCs w:val="28"/>
          <w:shd w:val="clear" w:color="auto" w:fill="FFFFFF"/>
        </w:rPr>
        <w:t>status (dropout or spelled by misconduct)</w:t>
      </w:r>
      <w:bookmarkEnd w:id="11"/>
      <w:r w:rsidRPr="008B5A07">
        <w:rPr>
          <w:rFonts w:ascii="Times New Roman" w:hAnsi="Times New Roman" w:cs="Times New Roman"/>
          <w:b/>
          <w:bCs/>
          <w:sz w:val="24"/>
          <w:szCs w:val="28"/>
          <w:shd w:val="clear" w:color="auto" w:fill="FFFFFF"/>
        </w:rPr>
        <w:t xml:space="preserve"> from Poisson Regression Multivariable Model with independence structure</w:t>
      </w:r>
    </w:p>
    <w:tbl>
      <w:tblPr>
        <w:tblW w:w="9072" w:type="dxa"/>
        <w:jc w:val="center"/>
        <w:tblCellMar>
          <w:left w:w="70" w:type="dxa"/>
          <w:right w:w="70" w:type="dxa"/>
        </w:tblCellMar>
        <w:tblLook w:val="04A0" w:firstRow="1" w:lastRow="0" w:firstColumn="1" w:lastColumn="0" w:noHBand="0" w:noVBand="1"/>
      </w:tblPr>
      <w:tblGrid>
        <w:gridCol w:w="4253"/>
        <w:gridCol w:w="2835"/>
        <w:gridCol w:w="1984"/>
      </w:tblGrid>
      <w:tr w:rsidR="00226EBE" w:rsidRPr="008B5A07" w14:paraId="7B0850BF" w14:textId="77777777" w:rsidTr="008B5A07">
        <w:trPr>
          <w:trHeight w:val="300"/>
          <w:jc w:val="center"/>
        </w:trPr>
        <w:tc>
          <w:tcPr>
            <w:tcW w:w="4253" w:type="dxa"/>
            <w:tcBorders>
              <w:top w:val="single" w:sz="4" w:space="0" w:color="auto"/>
              <w:left w:val="nil"/>
              <w:bottom w:val="single" w:sz="4" w:space="0" w:color="auto"/>
              <w:right w:val="nil"/>
            </w:tcBorders>
            <w:noWrap/>
            <w:vAlign w:val="center"/>
            <w:hideMark/>
          </w:tcPr>
          <w:p w14:paraId="35A45A92" w14:textId="77777777" w:rsidR="00226EBE" w:rsidRPr="008B5A07" w:rsidRDefault="00226EBE" w:rsidP="00226EBE">
            <w:pPr>
              <w:spacing w:after="0" w:line="240" w:lineRule="auto"/>
              <w:jc w:val="center"/>
              <w:rPr>
                <w:rFonts w:ascii="Times New Roman" w:eastAsia="Times New Roman" w:hAnsi="Times New Roman" w:cs="Times New Roman"/>
                <w:b/>
                <w:bCs/>
                <w:color w:val="000000"/>
                <w:sz w:val="24"/>
                <w:szCs w:val="24"/>
                <w:lang w:val="es-CL" w:eastAsia="es-CL"/>
              </w:rPr>
            </w:pPr>
            <w:r w:rsidRPr="008B5A07">
              <w:rPr>
                <w:rFonts w:ascii="Times New Roman" w:eastAsia="Times New Roman" w:hAnsi="Times New Roman" w:cs="Times New Roman"/>
                <w:b/>
                <w:bCs/>
                <w:color w:val="000000"/>
                <w:sz w:val="24"/>
                <w:szCs w:val="24"/>
                <w:lang w:val="es-CL" w:eastAsia="es-CL"/>
              </w:rPr>
              <w:t>Treatment setting</w:t>
            </w:r>
          </w:p>
        </w:tc>
        <w:tc>
          <w:tcPr>
            <w:tcW w:w="2835" w:type="dxa"/>
            <w:tcBorders>
              <w:top w:val="single" w:sz="4" w:space="0" w:color="auto"/>
              <w:left w:val="nil"/>
              <w:bottom w:val="single" w:sz="4" w:space="0" w:color="auto"/>
              <w:right w:val="nil"/>
            </w:tcBorders>
            <w:vAlign w:val="center"/>
          </w:tcPr>
          <w:p w14:paraId="1730173B" w14:textId="5C518A46" w:rsidR="00226EBE" w:rsidRPr="008B5A07" w:rsidRDefault="00226EBE" w:rsidP="00226EBE">
            <w:pPr>
              <w:spacing w:after="0" w:line="240" w:lineRule="auto"/>
              <w:jc w:val="center"/>
              <w:rPr>
                <w:rFonts w:ascii="Times New Roman" w:eastAsia="Times New Roman" w:hAnsi="Times New Roman" w:cs="Times New Roman"/>
                <w:b/>
                <w:bCs/>
                <w:color w:val="000000"/>
                <w:sz w:val="24"/>
                <w:szCs w:val="24"/>
                <w:lang w:val="en-US" w:eastAsia="es-CL"/>
              </w:rPr>
            </w:pPr>
            <w:r w:rsidRPr="008B5A07">
              <w:rPr>
                <w:rFonts w:ascii="Times New Roman" w:eastAsia="Times New Roman" w:hAnsi="Times New Roman" w:cs="Times New Roman"/>
                <w:b/>
                <w:bCs/>
                <w:color w:val="000000"/>
                <w:sz w:val="24"/>
                <w:szCs w:val="24"/>
                <w:lang w:val="en-US" w:eastAsia="es-CL"/>
              </w:rPr>
              <w:t>PSU status (ref.= No PSU)</w:t>
            </w:r>
          </w:p>
        </w:tc>
        <w:tc>
          <w:tcPr>
            <w:tcW w:w="1984" w:type="dxa"/>
            <w:tcBorders>
              <w:top w:val="single" w:sz="4" w:space="0" w:color="auto"/>
              <w:left w:val="nil"/>
              <w:bottom w:val="single" w:sz="4" w:space="0" w:color="auto"/>
              <w:right w:val="nil"/>
            </w:tcBorders>
            <w:noWrap/>
            <w:vAlign w:val="center"/>
            <w:hideMark/>
          </w:tcPr>
          <w:p w14:paraId="7D335413" w14:textId="73BF9124" w:rsidR="00226EBE" w:rsidRPr="008B5A07" w:rsidRDefault="00226EBE" w:rsidP="00F06BA4">
            <w:pPr>
              <w:spacing w:after="0" w:line="240" w:lineRule="auto"/>
              <w:jc w:val="center"/>
              <w:rPr>
                <w:rFonts w:ascii="Times New Roman" w:eastAsia="Times New Roman" w:hAnsi="Times New Roman" w:cs="Times New Roman"/>
                <w:b/>
                <w:bCs/>
                <w:color w:val="000000"/>
                <w:sz w:val="24"/>
                <w:szCs w:val="24"/>
                <w:lang w:val="es-CL" w:eastAsia="es-CL"/>
              </w:rPr>
            </w:pPr>
            <w:r w:rsidRPr="008B5A07">
              <w:rPr>
                <w:rFonts w:ascii="Times New Roman" w:eastAsia="Times New Roman" w:hAnsi="Times New Roman" w:cs="Times New Roman"/>
                <w:b/>
                <w:bCs/>
                <w:color w:val="000000"/>
                <w:sz w:val="24"/>
                <w:szCs w:val="24"/>
                <w:lang w:val="es-CL" w:eastAsia="es-CL"/>
              </w:rPr>
              <w:t>RR (95%CI)</w:t>
            </w:r>
          </w:p>
        </w:tc>
      </w:tr>
      <w:tr w:rsidR="00226EBE" w:rsidRPr="008B5A07" w14:paraId="26BD0748" w14:textId="77777777" w:rsidTr="008B5A07">
        <w:trPr>
          <w:trHeight w:val="300"/>
          <w:jc w:val="center"/>
        </w:trPr>
        <w:tc>
          <w:tcPr>
            <w:tcW w:w="4253" w:type="dxa"/>
            <w:tcBorders>
              <w:top w:val="single" w:sz="4" w:space="0" w:color="auto"/>
              <w:left w:val="nil"/>
              <w:bottom w:val="nil"/>
              <w:right w:val="nil"/>
            </w:tcBorders>
            <w:noWrap/>
            <w:vAlign w:val="center"/>
            <w:hideMark/>
          </w:tcPr>
          <w:p w14:paraId="090EAC25"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Basic ambulatory</w:t>
            </w:r>
          </w:p>
        </w:tc>
        <w:tc>
          <w:tcPr>
            <w:tcW w:w="2835" w:type="dxa"/>
            <w:tcBorders>
              <w:top w:val="single" w:sz="4" w:space="0" w:color="auto"/>
              <w:left w:val="nil"/>
              <w:bottom w:val="nil"/>
              <w:right w:val="nil"/>
            </w:tcBorders>
            <w:vAlign w:val="center"/>
          </w:tcPr>
          <w:p w14:paraId="01F43C10" w14:textId="2A35D119"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tcBorders>
              <w:top w:val="single" w:sz="4" w:space="0" w:color="auto"/>
              <w:left w:val="nil"/>
              <w:bottom w:val="nil"/>
              <w:right w:val="nil"/>
            </w:tcBorders>
            <w:noWrap/>
            <w:vAlign w:val="center"/>
          </w:tcPr>
          <w:p w14:paraId="12EECB8E" w14:textId="2F837329" w:rsidR="00226EBE" w:rsidRPr="008B5A07" w:rsidRDefault="00226EBE" w:rsidP="005F2897">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1.01 (0.98, 1.04)</w:t>
            </w:r>
          </w:p>
        </w:tc>
      </w:tr>
      <w:tr w:rsidR="00226EBE" w:rsidRPr="008B5A07" w14:paraId="1D8D243E" w14:textId="77777777" w:rsidTr="008B5A07">
        <w:trPr>
          <w:trHeight w:val="300"/>
          <w:jc w:val="center"/>
        </w:trPr>
        <w:tc>
          <w:tcPr>
            <w:tcW w:w="4253" w:type="dxa"/>
            <w:noWrap/>
            <w:vAlign w:val="center"/>
            <w:hideMark/>
          </w:tcPr>
          <w:p w14:paraId="3CCD1957"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4BB20A0A" w14:textId="6399FE2A"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35203B0" w14:textId="1998FC76" w:rsidR="00226EBE" w:rsidRPr="008B5A07" w:rsidRDefault="00226EBE" w:rsidP="005F2897">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1.08 (1.05, 1.12)</w:t>
            </w:r>
          </w:p>
        </w:tc>
      </w:tr>
      <w:tr w:rsidR="00226EBE" w:rsidRPr="008B5A07" w14:paraId="424BB9AA" w14:textId="77777777" w:rsidTr="008B5A07">
        <w:trPr>
          <w:trHeight w:val="300"/>
          <w:jc w:val="center"/>
        </w:trPr>
        <w:tc>
          <w:tcPr>
            <w:tcW w:w="4253" w:type="dxa"/>
            <w:noWrap/>
            <w:vAlign w:val="center"/>
            <w:hideMark/>
          </w:tcPr>
          <w:p w14:paraId="4AB4331E"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General-population, intensive ambulatory</w:t>
            </w:r>
          </w:p>
        </w:tc>
        <w:tc>
          <w:tcPr>
            <w:tcW w:w="2835" w:type="dxa"/>
            <w:vAlign w:val="center"/>
          </w:tcPr>
          <w:p w14:paraId="64F996AC" w14:textId="5959CC9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7E19E282" w14:textId="2DDE677E"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1.02 (0.99, 1.05)</w:t>
            </w:r>
          </w:p>
        </w:tc>
      </w:tr>
      <w:tr w:rsidR="00226EBE" w:rsidRPr="008B5A07" w14:paraId="243141E1" w14:textId="77777777" w:rsidTr="008B5A07">
        <w:trPr>
          <w:trHeight w:val="300"/>
          <w:jc w:val="center"/>
        </w:trPr>
        <w:tc>
          <w:tcPr>
            <w:tcW w:w="4253" w:type="dxa"/>
            <w:noWrap/>
            <w:vAlign w:val="center"/>
            <w:hideMark/>
          </w:tcPr>
          <w:p w14:paraId="6E1E8D8A"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2D421D89" w14:textId="6509C6B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528EA2F" w14:textId="7D2F0A1E"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1.10 (1.07, 1.14)</w:t>
            </w:r>
          </w:p>
        </w:tc>
      </w:tr>
      <w:tr w:rsidR="00226EBE" w:rsidRPr="008B5A07" w14:paraId="0FB49AC1" w14:textId="77777777" w:rsidTr="008B5A07">
        <w:trPr>
          <w:trHeight w:val="300"/>
          <w:jc w:val="center"/>
        </w:trPr>
        <w:tc>
          <w:tcPr>
            <w:tcW w:w="4253" w:type="dxa"/>
            <w:noWrap/>
            <w:vAlign w:val="center"/>
            <w:hideMark/>
          </w:tcPr>
          <w:p w14:paraId="10B90E23"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General-population, residential</w:t>
            </w:r>
          </w:p>
        </w:tc>
        <w:tc>
          <w:tcPr>
            <w:tcW w:w="2835" w:type="dxa"/>
            <w:vAlign w:val="center"/>
          </w:tcPr>
          <w:p w14:paraId="65301D86" w14:textId="1DC2B2DC"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26600D70" w14:textId="557AC5BA"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0.99 (0.94, 1.04)</w:t>
            </w:r>
          </w:p>
        </w:tc>
      </w:tr>
      <w:tr w:rsidR="00226EBE" w:rsidRPr="008B5A07" w14:paraId="08C91918" w14:textId="77777777" w:rsidTr="008B5A07">
        <w:trPr>
          <w:trHeight w:val="300"/>
          <w:jc w:val="center"/>
        </w:trPr>
        <w:tc>
          <w:tcPr>
            <w:tcW w:w="4253" w:type="dxa"/>
            <w:noWrap/>
            <w:vAlign w:val="center"/>
            <w:hideMark/>
          </w:tcPr>
          <w:p w14:paraId="1EA19989"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7824723F" w14:textId="51545579"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388BD1D2" w14:textId="7365BA90"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0.89 (0.83, 0.94)</w:t>
            </w:r>
          </w:p>
        </w:tc>
      </w:tr>
      <w:tr w:rsidR="00226EBE" w:rsidRPr="008B5A07" w14:paraId="7C33BDCC" w14:textId="77777777" w:rsidTr="008B5A07">
        <w:trPr>
          <w:trHeight w:val="300"/>
          <w:jc w:val="center"/>
        </w:trPr>
        <w:tc>
          <w:tcPr>
            <w:tcW w:w="4253" w:type="dxa"/>
            <w:noWrap/>
            <w:vAlign w:val="center"/>
            <w:hideMark/>
          </w:tcPr>
          <w:p w14:paraId="25D455E2"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Women-only, intensive ambulatory</w:t>
            </w:r>
          </w:p>
        </w:tc>
        <w:tc>
          <w:tcPr>
            <w:tcW w:w="2835" w:type="dxa"/>
            <w:vAlign w:val="center"/>
          </w:tcPr>
          <w:p w14:paraId="12A24026" w14:textId="4384FF70"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5DEF805D" w14:textId="53B92CF8"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0.96 (0.89, 1.02)</w:t>
            </w:r>
          </w:p>
        </w:tc>
      </w:tr>
      <w:tr w:rsidR="00226EBE" w:rsidRPr="008B5A07" w14:paraId="4DBC6DBB" w14:textId="77777777" w:rsidTr="008B5A07">
        <w:trPr>
          <w:trHeight w:val="300"/>
          <w:jc w:val="center"/>
        </w:trPr>
        <w:tc>
          <w:tcPr>
            <w:tcW w:w="4253" w:type="dxa"/>
            <w:noWrap/>
            <w:vAlign w:val="center"/>
            <w:hideMark/>
          </w:tcPr>
          <w:p w14:paraId="6805316C"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5A3700FC" w14:textId="6048359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A45DA6C" w14:textId="5DC74FCF"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1.07 (0.99, 1.15)</w:t>
            </w:r>
          </w:p>
        </w:tc>
      </w:tr>
      <w:tr w:rsidR="00226EBE" w:rsidRPr="008B5A07" w14:paraId="2F3D7EA6" w14:textId="77777777" w:rsidTr="008B5A07">
        <w:trPr>
          <w:trHeight w:val="300"/>
          <w:jc w:val="center"/>
        </w:trPr>
        <w:tc>
          <w:tcPr>
            <w:tcW w:w="4253" w:type="dxa"/>
            <w:noWrap/>
            <w:vAlign w:val="center"/>
            <w:hideMark/>
          </w:tcPr>
          <w:p w14:paraId="50CA849C"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Women-only, residential</w:t>
            </w:r>
          </w:p>
        </w:tc>
        <w:tc>
          <w:tcPr>
            <w:tcW w:w="2835" w:type="dxa"/>
            <w:vAlign w:val="center"/>
          </w:tcPr>
          <w:p w14:paraId="7348CA9D" w14:textId="163EA188"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044E412C" w14:textId="69A16EE0"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1.14 (1.06, 1.23)</w:t>
            </w:r>
          </w:p>
        </w:tc>
      </w:tr>
      <w:tr w:rsidR="00226EBE" w:rsidRPr="008B5A07" w14:paraId="5BFBE7D7" w14:textId="77777777" w:rsidTr="008B5A07">
        <w:trPr>
          <w:trHeight w:val="300"/>
          <w:jc w:val="center"/>
        </w:trPr>
        <w:tc>
          <w:tcPr>
            <w:tcW w:w="4253" w:type="dxa"/>
            <w:tcBorders>
              <w:top w:val="nil"/>
              <w:left w:val="nil"/>
              <w:bottom w:val="single" w:sz="4" w:space="0" w:color="auto"/>
              <w:right w:val="nil"/>
            </w:tcBorders>
            <w:noWrap/>
            <w:vAlign w:val="center"/>
          </w:tcPr>
          <w:p w14:paraId="6530779A"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p>
        </w:tc>
        <w:tc>
          <w:tcPr>
            <w:tcW w:w="2835" w:type="dxa"/>
            <w:tcBorders>
              <w:top w:val="nil"/>
              <w:left w:val="nil"/>
              <w:bottom w:val="single" w:sz="4" w:space="0" w:color="auto"/>
              <w:right w:val="nil"/>
            </w:tcBorders>
            <w:vAlign w:val="center"/>
          </w:tcPr>
          <w:p w14:paraId="5743C239" w14:textId="7BC7A9DB"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tcBorders>
              <w:top w:val="nil"/>
              <w:left w:val="nil"/>
              <w:bottom w:val="single" w:sz="4" w:space="0" w:color="auto"/>
              <w:right w:val="nil"/>
            </w:tcBorders>
            <w:noWrap/>
            <w:vAlign w:val="center"/>
            <w:hideMark/>
          </w:tcPr>
          <w:p w14:paraId="0F692BDC" w14:textId="74D769C5"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1.14 (1.05, 1.24)</w:t>
            </w:r>
          </w:p>
        </w:tc>
      </w:tr>
    </w:tbl>
    <w:p w14:paraId="69F9F7EC" w14:textId="5E3E896C" w:rsidR="00F06BA4" w:rsidRPr="008B5A07" w:rsidRDefault="00F06BA4" w:rsidP="00F06BA4">
      <w:pPr>
        <w:spacing w:after="0" w:line="240" w:lineRule="auto"/>
        <w:ind w:left="720"/>
        <w:jc w:val="left"/>
        <w:rPr>
          <w:rFonts w:ascii="Times New Roman" w:hAnsi="Times New Roman" w:cs="Times New Roman"/>
          <w:sz w:val="24"/>
          <w:szCs w:val="28"/>
          <w:shd w:val="clear" w:color="auto" w:fill="FFFFFF"/>
        </w:rPr>
      </w:pPr>
      <w:r w:rsidRPr="008B5A07">
        <w:rPr>
          <w:rFonts w:ascii="Times New Roman" w:hAnsi="Times New Roman" w:cs="Times New Roman"/>
          <w:sz w:val="24"/>
          <w:szCs w:val="28"/>
          <w:shd w:val="clear" w:color="auto" w:fill="FFFFFF"/>
        </w:rPr>
        <w:t>Note. RR= Relative risk; 95%CI= 95% confidence intervals in parenthesis</w:t>
      </w:r>
      <w:bookmarkStart w:id="12" w:name="_Hlk166796550"/>
      <w:r w:rsidRPr="008B5A07">
        <w:rPr>
          <w:rFonts w:ascii="Times New Roman" w:hAnsi="Times New Roman" w:cs="Times New Roman"/>
          <w:sz w:val="24"/>
          <w:szCs w:val="28"/>
          <w:shd w:val="clear" w:color="auto" w:fill="FFFFFF"/>
        </w:rPr>
        <w:t>.</w:t>
      </w:r>
      <w:bookmarkEnd w:id="12"/>
    </w:p>
    <w:p w14:paraId="35A90A40" w14:textId="098EC7FD" w:rsidR="00F06BA4" w:rsidRPr="008B5A07" w:rsidRDefault="00F06BA4" w:rsidP="00F06BA4">
      <w:pPr>
        <w:spacing w:after="0" w:line="240" w:lineRule="auto"/>
        <w:ind w:left="720"/>
        <w:jc w:val="left"/>
        <w:rPr>
          <w:rFonts w:ascii="Times New Roman" w:hAnsi="Times New Roman" w:cs="Times New Roman"/>
          <w:sz w:val="24"/>
          <w:szCs w:val="28"/>
          <w:lang w:val="en-US"/>
        </w:rPr>
      </w:pPr>
      <w:r w:rsidRPr="008B5A07">
        <w:rPr>
          <w:rFonts w:ascii="Times New Roman" w:hAnsi="Times New Roman" w:cs="Times New Roman"/>
          <w:sz w:val="24"/>
          <w:szCs w:val="28"/>
          <w:shd w:val="clear" w:color="auto" w:fill="FFFFFF"/>
        </w:rPr>
        <w:t>Model was adjusted for the following covariates:</w:t>
      </w:r>
      <w:r w:rsidRPr="008B5A07">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 and other substances), Psychiatric comorbidity (in study and with comorbidity), Daily frequence of primary substance use at admission, Occupational status (inactive and unemployed), Primary substance at admission to treatment (Cocaine hydrochloride, cocaine base paste, marijuana, and other substances).</w:t>
      </w:r>
    </w:p>
    <w:p w14:paraId="06A9EB68" w14:textId="7E27232D" w:rsidR="00C07227" w:rsidRPr="00C07227" w:rsidRDefault="00023AE9" w:rsidP="00C07227">
      <w:pPr>
        <w:spacing w:after="0" w:line="257"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As seen in</w:t>
      </w:r>
      <w:r w:rsidR="00C07227" w:rsidRPr="00C07227">
        <w:rPr>
          <w:rFonts w:ascii="Times New Roman" w:hAnsi="Times New Roman" w:cs="Times New Roman"/>
          <w:sz w:val="24"/>
          <w:szCs w:val="24"/>
          <w:lang w:val="en-US"/>
        </w:rPr>
        <w:t xml:space="preserve"> Table S6</w:t>
      </w:r>
      <w:r>
        <w:rPr>
          <w:rFonts w:ascii="Times New Roman" w:hAnsi="Times New Roman" w:cs="Times New Roman"/>
          <w:sz w:val="24"/>
          <w:szCs w:val="24"/>
          <w:lang w:val="en-US"/>
        </w:rPr>
        <w:t>, p</w:t>
      </w:r>
      <w:r w:rsidR="00C07227" w:rsidRPr="00C07227">
        <w:rPr>
          <w:rFonts w:ascii="Times New Roman" w:hAnsi="Times New Roman" w:cs="Times New Roman"/>
          <w:sz w:val="24"/>
          <w:szCs w:val="24"/>
          <w:lang w:val="en-US"/>
        </w:rPr>
        <w:t xml:space="preserve">atients in </w:t>
      </w:r>
      <w:r w:rsidR="00C07227" w:rsidRPr="00C07227">
        <w:rPr>
          <w:rFonts w:ascii="Times New Roman" w:hAnsi="Times New Roman" w:cs="Times New Roman"/>
          <w:sz w:val="24"/>
          <w:szCs w:val="24"/>
        </w:rPr>
        <w:t>residential settings exclusive to women showed associations for both patients reporting PSU with (RR= 1.14 95% CI 1.06</w:t>
      </w:r>
      <w:r w:rsidR="00536D59">
        <w:rPr>
          <w:rFonts w:ascii="Times New Roman" w:hAnsi="Times New Roman" w:cs="Times New Roman"/>
          <w:sz w:val="24"/>
          <w:szCs w:val="24"/>
        </w:rPr>
        <w:t xml:space="preserve">, </w:t>
      </w:r>
      <w:r w:rsidR="00C07227" w:rsidRPr="00C07227">
        <w:rPr>
          <w:rFonts w:ascii="Times New Roman" w:hAnsi="Times New Roman" w:cs="Times New Roman"/>
          <w:sz w:val="24"/>
          <w:szCs w:val="24"/>
        </w:rPr>
        <w:t xml:space="preserve">1.23) and without (RR= 1.14 95% CI 1.05-1.24) alcohol. </w:t>
      </w:r>
      <w:r w:rsidR="00C07227" w:rsidRPr="00C07227">
        <w:rPr>
          <w:rFonts w:ascii="Times New Roman" w:hAnsi="Times New Roman" w:cs="Times New Roman"/>
          <w:sz w:val="24"/>
          <w:szCs w:val="24"/>
          <w:lang w:val="en-US"/>
        </w:rPr>
        <w:t>However, patients in intensive ambulatory settings for the general population only showed associations among people with alcohol use as a secondary substance (RR= 1.10 95% CI 1.07</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1.14)</w:t>
      </w:r>
      <w:r w:rsidR="00DD31E4">
        <w:rPr>
          <w:rFonts w:ascii="Times New Roman" w:hAnsi="Times New Roman" w:cs="Times New Roman"/>
          <w:sz w:val="24"/>
          <w:szCs w:val="24"/>
          <w:lang w:val="en-US"/>
        </w:rPr>
        <w:t>. Still,</w:t>
      </w:r>
      <w:r w:rsidR="00C07227" w:rsidRPr="00C07227">
        <w:rPr>
          <w:rFonts w:ascii="Times New Roman" w:hAnsi="Times New Roman" w:cs="Times New Roman"/>
          <w:sz w:val="24"/>
          <w:szCs w:val="24"/>
          <w:lang w:val="en-US"/>
        </w:rPr>
        <w:t xml:space="preserve"> people </w:t>
      </w:r>
      <w:r w:rsidR="00F84779">
        <w:rPr>
          <w:rFonts w:ascii="Times New Roman" w:hAnsi="Times New Roman" w:cs="Times New Roman"/>
          <w:sz w:val="24"/>
          <w:szCs w:val="24"/>
          <w:lang w:val="en-US"/>
        </w:rPr>
        <w:t>who</w:t>
      </w:r>
      <w:r w:rsidR="00C07227" w:rsidRPr="00C07227">
        <w:rPr>
          <w:rFonts w:ascii="Times New Roman" w:hAnsi="Times New Roman" w:cs="Times New Roman"/>
          <w:sz w:val="24"/>
          <w:szCs w:val="24"/>
          <w:lang w:val="en-US"/>
        </w:rPr>
        <w:t xml:space="preserve"> reported PSU without alcohol showed positive associations but with confidence intervals that crossed the null (1.02 95% CI 0.99</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1.05). These associations also occurred for patients in basic ambulatory settings reporting PSU with alcohol (RR= 1.08 95% CI 1.05</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1.12) but did not occur in those without alcohol (1.01 95% CI 0.98-1.04). Interestingly, reporting PSU with alcohol as a secondary had a protective role among people in residential treatments for the general population (RR= 0.89 95% CI 0.83</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0.94).</w:t>
      </w:r>
    </w:p>
    <w:p w14:paraId="677BE0FD" w14:textId="77777777" w:rsidR="00F06BA4" w:rsidRDefault="00F06BA4" w:rsidP="009B341B">
      <w:pPr>
        <w:spacing w:after="0" w:line="257" w:lineRule="auto"/>
        <w:rPr>
          <w:rFonts w:ascii="Times New Roman" w:hAnsi="Times New Roman" w:cs="Times New Roman"/>
          <w:sz w:val="24"/>
          <w:szCs w:val="24"/>
          <w:lang w:val="en-US"/>
        </w:rPr>
      </w:pPr>
    </w:p>
    <w:p w14:paraId="5F010E61" w14:textId="7B104495" w:rsidR="00182DDF"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t>BIBLIOGRAPHY</w:t>
      </w:r>
    </w:p>
    <w:p w14:paraId="2D1DBB9B" w14:textId="77777777" w:rsidR="00182DDF" w:rsidRPr="00182DDF" w:rsidRDefault="00182DDF" w:rsidP="00182DDF">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82DDF">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sidRPr="00182DDF">
        <w:rPr>
          <w:rFonts w:ascii="Times New Roman" w:hAnsi="Times New Roman" w:cs="Times New Roman"/>
          <w:i/>
          <w:iCs/>
          <w:sz w:val="24"/>
        </w:rPr>
        <w:t>Kidney International</w:t>
      </w:r>
      <w:r w:rsidRPr="00182DDF">
        <w:rPr>
          <w:rFonts w:ascii="Times New Roman" w:hAnsi="Times New Roman" w:cs="Times New Roman"/>
          <w:sz w:val="24"/>
        </w:rPr>
        <w:t xml:space="preserve">, </w:t>
      </w:r>
      <w:r w:rsidRPr="00182DDF">
        <w:rPr>
          <w:rFonts w:ascii="Times New Roman" w:hAnsi="Times New Roman" w:cs="Times New Roman"/>
          <w:i/>
          <w:iCs/>
          <w:sz w:val="24"/>
        </w:rPr>
        <w:t>103</w:t>
      </w:r>
      <w:r w:rsidRPr="00182DDF">
        <w:rPr>
          <w:rFonts w:ascii="Times New Roman" w:hAnsi="Times New Roman" w:cs="Times New Roman"/>
          <w:sz w:val="24"/>
        </w:rPr>
        <w:t>(1), 53–69. https://doi.org/10.1016/j.kint.2022.09.020</w:t>
      </w:r>
    </w:p>
    <w:p w14:paraId="68B301A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Cole, S. R., &amp; Hernán, M. A. (2008). Constructing Inverse Probability Weights for Marginal Structural Models. </w:t>
      </w:r>
      <w:r w:rsidRPr="00182DDF">
        <w:rPr>
          <w:rFonts w:ascii="Times New Roman" w:hAnsi="Times New Roman" w:cs="Times New Roman"/>
          <w:i/>
          <w:iCs/>
          <w:sz w:val="24"/>
        </w:rPr>
        <w:t>American Journal of Epidemiology</w:t>
      </w:r>
      <w:r w:rsidRPr="00182DDF">
        <w:rPr>
          <w:rFonts w:ascii="Times New Roman" w:hAnsi="Times New Roman" w:cs="Times New Roman"/>
          <w:sz w:val="24"/>
        </w:rPr>
        <w:t xml:space="preserve">, </w:t>
      </w:r>
      <w:r w:rsidRPr="00182DDF">
        <w:rPr>
          <w:rFonts w:ascii="Times New Roman" w:hAnsi="Times New Roman" w:cs="Times New Roman"/>
          <w:i/>
          <w:iCs/>
          <w:sz w:val="24"/>
        </w:rPr>
        <w:t>168</w:t>
      </w:r>
      <w:r w:rsidRPr="00182DDF">
        <w:rPr>
          <w:rFonts w:ascii="Times New Roman" w:hAnsi="Times New Roman" w:cs="Times New Roman"/>
          <w:sz w:val="24"/>
        </w:rPr>
        <w:t>(6), 656–664. https://doi.org/10.1093/aje/kwn164</w:t>
      </w:r>
    </w:p>
    <w:p w14:paraId="36531D10"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Keele, L. (2010). Proportionally Difficult: Testing for Nonproportional Hazards in Cox Models. </w:t>
      </w:r>
      <w:r w:rsidRPr="00182DDF">
        <w:rPr>
          <w:rFonts w:ascii="Times New Roman" w:hAnsi="Times New Roman" w:cs="Times New Roman"/>
          <w:i/>
          <w:iCs/>
          <w:sz w:val="24"/>
        </w:rPr>
        <w:t>Political Analysis</w:t>
      </w:r>
      <w:r w:rsidRPr="00182DDF">
        <w:rPr>
          <w:rFonts w:ascii="Times New Roman" w:hAnsi="Times New Roman" w:cs="Times New Roman"/>
          <w:sz w:val="24"/>
        </w:rPr>
        <w:t xml:space="preserve">, </w:t>
      </w:r>
      <w:r w:rsidRPr="00182DDF">
        <w:rPr>
          <w:rFonts w:ascii="Times New Roman" w:hAnsi="Times New Roman" w:cs="Times New Roman"/>
          <w:i/>
          <w:iCs/>
          <w:sz w:val="24"/>
        </w:rPr>
        <w:t>18</w:t>
      </w:r>
      <w:r w:rsidRPr="00182DDF">
        <w:rPr>
          <w:rFonts w:ascii="Times New Roman" w:hAnsi="Times New Roman" w:cs="Times New Roman"/>
          <w:sz w:val="24"/>
        </w:rPr>
        <w:t>(2), 189–205. https://doi.org/10.1093/pan/mpp044</w:t>
      </w:r>
    </w:p>
    <w:p w14:paraId="2D8ECDE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Lokku, A., Lim, L. S., Birken, C. S., Pullenayegum, E. M., &amp; on behalf of the TARGet Kids! Collaboration. (2020). Summarizing the extent of visit irregularity in longitudinal data. </w:t>
      </w:r>
      <w:r w:rsidRPr="00182DDF">
        <w:rPr>
          <w:rFonts w:ascii="Times New Roman" w:hAnsi="Times New Roman" w:cs="Times New Roman"/>
          <w:i/>
          <w:iCs/>
          <w:sz w:val="24"/>
        </w:rPr>
        <w:t>BMC Medical Research Methodology</w:t>
      </w:r>
      <w:r w:rsidRPr="00182DDF">
        <w:rPr>
          <w:rFonts w:ascii="Times New Roman" w:hAnsi="Times New Roman" w:cs="Times New Roman"/>
          <w:sz w:val="24"/>
        </w:rPr>
        <w:t xml:space="preserve">, </w:t>
      </w:r>
      <w:r w:rsidRPr="00182DDF">
        <w:rPr>
          <w:rFonts w:ascii="Times New Roman" w:hAnsi="Times New Roman" w:cs="Times New Roman"/>
          <w:i/>
          <w:iCs/>
          <w:sz w:val="24"/>
        </w:rPr>
        <w:t>20</w:t>
      </w:r>
      <w:r w:rsidRPr="00182DDF">
        <w:rPr>
          <w:rFonts w:ascii="Times New Roman" w:hAnsi="Times New Roman" w:cs="Times New Roman"/>
          <w:sz w:val="24"/>
        </w:rPr>
        <w:t>(1), 135. https://doi.org/10.1186/s12874-020-01023-w</w:t>
      </w:r>
    </w:p>
    <w:p w14:paraId="5A7DB749"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Pan, W. (2001). Akaike’s Information Criterion in Generalized Estimating Equations. </w:t>
      </w:r>
      <w:r w:rsidRPr="00182DDF">
        <w:rPr>
          <w:rFonts w:ascii="Times New Roman" w:hAnsi="Times New Roman" w:cs="Times New Roman"/>
          <w:i/>
          <w:iCs/>
          <w:sz w:val="24"/>
        </w:rPr>
        <w:t>Biometrics</w:t>
      </w:r>
      <w:r w:rsidRPr="00182DDF">
        <w:rPr>
          <w:rFonts w:ascii="Times New Roman" w:hAnsi="Times New Roman" w:cs="Times New Roman"/>
          <w:sz w:val="24"/>
        </w:rPr>
        <w:t xml:space="preserve">, </w:t>
      </w:r>
      <w:r w:rsidRPr="00182DDF">
        <w:rPr>
          <w:rFonts w:ascii="Times New Roman" w:hAnsi="Times New Roman" w:cs="Times New Roman"/>
          <w:i/>
          <w:iCs/>
          <w:sz w:val="24"/>
        </w:rPr>
        <w:t>57</w:t>
      </w:r>
      <w:r w:rsidRPr="00182DDF">
        <w:rPr>
          <w:rFonts w:ascii="Times New Roman" w:hAnsi="Times New Roman" w:cs="Times New Roman"/>
          <w:sz w:val="24"/>
        </w:rPr>
        <w:t>(1), 120–125. https://doi.org/10.1111/j.0006-341X.2001.00120.x</w:t>
      </w:r>
    </w:p>
    <w:p w14:paraId="23ED5758"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Pullenayegum, E. (2022). </w:t>
      </w:r>
      <w:r w:rsidRPr="00182DDF">
        <w:rPr>
          <w:rFonts w:ascii="Times New Roman" w:hAnsi="Times New Roman" w:cs="Times New Roman"/>
          <w:i/>
          <w:iCs/>
          <w:sz w:val="24"/>
        </w:rPr>
        <w:t>IrregLong: Analysis of Longitudinal Data with Irregular Observation Times</w:t>
      </w:r>
      <w:r w:rsidRPr="00182DDF">
        <w:rPr>
          <w:rFonts w:ascii="Times New Roman" w:hAnsi="Times New Roman" w:cs="Times New Roman"/>
          <w:sz w:val="24"/>
        </w:rPr>
        <w:t xml:space="preserve"> [Computer software]. https://cran.r-project.org/web/packages/IrregLong/index.html</w:t>
      </w:r>
    </w:p>
    <w:p w14:paraId="633C8D0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182DDF">
        <w:rPr>
          <w:rFonts w:ascii="Times New Roman" w:hAnsi="Times New Roman" w:cs="Times New Roman"/>
          <w:i/>
          <w:iCs/>
          <w:sz w:val="24"/>
        </w:rPr>
        <w:t>Statistics in Medicine</w:t>
      </w:r>
      <w:r w:rsidRPr="00182DDF">
        <w:rPr>
          <w:rFonts w:ascii="Times New Roman" w:hAnsi="Times New Roman" w:cs="Times New Roman"/>
          <w:sz w:val="24"/>
        </w:rPr>
        <w:t xml:space="preserve">, </w:t>
      </w:r>
      <w:r w:rsidRPr="00182DDF">
        <w:rPr>
          <w:rFonts w:ascii="Times New Roman" w:hAnsi="Times New Roman" w:cs="Times New Roman"/>
          <w:i/>
          <w:iCs/>
          <w:sz w:val="24"/>
        </w:rPr>
        <w:t>42</w:t>
      </w:r>
      <w:r w:rsidRPr="00182DDF">
        <w:rPr>
          <w:rFonts w:ascii="Times New Roman" w:hAnsi="Times New Roman" w:cs="Times New Roman"/>
          <w:sz w:val="24"/>
        </w:rPr>
        <w:t>(14), 2361–2393. https://doi.org/10.1002/sim.9727</w:t>
      </w:r>
    </w:p>
    <w:p w14:paraId="24FC33DF" w14:textId="77777777" w:rsidR="00182DDF" w:rsidRPr="00182DDF" w:rsidRDefault="00182DDF" w:rsidP="00182DDF">
      <w:pPr>
        <w:pStyle w:val="Bibliografa"/>
        <w:rPr>
          <w:rFonts w:ascii="Times New Roman" w:hAnsi="Times New Roman" w:cs="Times New Roman"/>
          <w:sz w:val="24"/>
          <w:lang w:val="es-CL"/>
        </w:rPr>
      </w:pPr>
      <w:r w:rsidRPr="00182DDF">
        <w:rPr>
          <w:rFonts w:ascii="Times New Roman" w:hAnsi="Times New Roman" w:cs="Times New Roman"/>
          <w:sz w:val="24"/>
        </w:rPr>
        <w:t xml:space="preserve">Putter, H., Sasako, M., Hartgrink, H. H., van de Velde, C. J. H., &amp; van Houwelingen, J. C. (2005). Long-term survival with non-proportional hazards: Results from the Dutch Gastric Cancer Trial. </w:t>
      </w:r>
      <w:r w:rsidRPr="00182DDF">
        <w:rPr>
          <w:rFonts w:ascii="Times New Roman" w:hAnsi="Times New Roman" w:cs="Times New Roman"/>
          <w:i/>
          <w:iCs/>
          <w:sz w:val="24"/>
          <w:lang w:val="es-CL"/>
        </w:rPr>
        <w:t>Statistics in Medicine</w:t>
      </w:r>
      <w:r w:rsidRPr="00182DDF">
        <w:rPr>
          <w:rFonts w:ascii="Times New Roman" w:hAnsi="Times New Roman" w:cs="Times New Roman"/>
          <w:sz w:val="24"/>
          <w:lang w:val="es-CL"/>
        </w:rPr>
        <w:t xml:space="preserve">, </w:t>
      </w:r>
      <w:r w:rsidRPr="00182DDF">
        <w:rPr>
          <w:rFonts w:ascii="Times New Roman" w:hAnsi="Times New Roman" w:cs="Times New Roman"/>
          <w:i/>
          <w:iCs/>
          <w:sz w:val="24"/>
          <w:lang w:val="es-CL"/>
        </w:rPr>
        <w:t>24</w:t>
      </w:r>
      <w:r w:rsidRPr="00182DDF">
        <w:rPr>
          <w:rFonts w:ascii="Times New Roman" w:hAnsi="Times New Roman" w:cs="Times New Roman"/>
          <w:sz w:val="24"/>
          <w:lang w:val="es-CL"/>
        </w:rPr>
        <w:t>(18), 2807–2821. https://doi.org/10.1002/sim.2143</w:t>
      </w:r>
    </w:p>
    <w:p w14:paraId="7A5EA70F"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lang w:val="es-CL"/>
        </w:rPr>
        <w:t xml:space="preserve">Ruiz-Tagle Maturana, J., González-Santa Cruz, A., Rocha-Jiménez, T., &amp; Castillo-Carniglia, Á. (2023). </w:t>
      </w:r>
      <w:r w:rsidRPr="00182DDF">
        <w:rPr>
          <w:rFonts w:ascii="Times New Roman" w:hAnsi="Times New Roman" w:cs="Times New Roman"/>
          <w:sz w:val="24"/>
        </w:rPr>
        <w:t xml:space="preserve">Does substance use disorder treatment completion reduce the risk of treatment readmission in Chile? </w:t>
      </w:r>
      <w:r w:rsidRPr="00182DDF">
        <w:rPr>
          <w:rFonts w:ascii="Times New Roman" w:hAnsi="Times New Roman" w:cs="Times New Roman"/>
          <w:i/>
          <w:iCs/>
          <w:sz w:val="24"/>
        </w:rPr>
        <w:t>Drug and Alcohol Dependence</w:t>
      </w:r>
      <w:r w:rsidRPr="00182DDF">
        <w:rPr>
          <w:rFonts w:ascii="Times New Roman" w:hAnsi="Times New Roman" w:cs="Times New Roman"/>
          <w:sz w:val="24"/>
        </w:rPr>
        <w:t xml:space="preserve">, </w:t>
      </w:r>
      <w:r w:rsidRPr="00182DDF">
        <w:rPr>
          <w:rFonts w:ascii="Times New Roman" w:hAnsi="Times New Roman" w:cs="Times New Roman"/>
          <w:i/>
          <w:iCs/>
          <w:sz w:val="24"/>
        </w:rPr>
        <w:t>248</w:t>
      </w:r>
      <w:r w:rsidRPr="00182DDF">
        <w:rPr>
          <w:rFonts w:ascii="Times New Roman" w:hAnsi="Times New Roman" w:cs="Times New Roman"/>
          <w:sz w:val="24"/>
        </w:rPr>
        <w:t>, 109907. https://doi.org/10.1016/j.drugalcdep.2023.109907</w:t>
      </w:r>
    </w:p>
    <w:p w14:paraId="1C3BDB5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Zhang, Z., Reinikainen, J., Adeleke, K. A., Pieterse, M. E., &amp; Groothuis-Oudshoorn, C. G. M. (2018). Time-varying covariates and coefficients in Cox regression models. </w:t>
      </w:r>
      <w:r w:rsidRPr="00182DDF">
        <w:rPr>
          <w:rFonts w:ascii="Times New Roman" w:hAnsi="Times New Roman" w:cs="Times New Roman"/>
          <w:i/>
          <w:iCs/>
          <w:sz w:val="24"/>
        </w:rPr>
        <w:t>Annals of Translational Medicine</w:t>
      </w:r>
      <w:r w:rsidRPr="00182DDF">
        <w:rPr>
          <w:rFonts w:ascii="Times New Roman" w:hAnsi="Times New Roman" w:cs="Times New Roman"/>
          <w:sz w:val="24"/>
        </w:rPr>
        <w:t xml:space="preserve">, </w:t>
      </w:r>
      <w:r w:rsidRPr="00182DDF">
        <w:rPr>
          <w:rFonts w:ascii="Times New Roman" w:hAnsi="Times New Roman" w:cs="Times New Roman"/>
          <w:i/>
          <w:iCs/>
          <w:sz w:val="24"/>
        </w:rPr>
        <w:t>6</w:t>
      </w:r>
      <w:r w:rsidRPr="00182DDF">
        <w:rPr>
          <w:rFonts w:ascii="Times New Roman" w:hAnsi="Times New Roman" w:cs="Times New Roman"/>
          <w:sz w:val="24"/>
        </w:rPr>
        <w:t>(7), 121–121. https://doi.org/10.21037/atm.2018.02.12</w:t>
      </w:r>
    </w:p>
    <w:p w14:paraId="1326F937" w14:textId="3BC6C964" w:rsidR="00182DDF" w:rsidRPr="00F06BA4"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82DDF" w:rsidRPr="00F06BA4"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Pr="0046604E" w:rsidRDefault="00C637B2">
      <w:pPr>
        <w:pStyle w:val="Textocomentario"/>
        <w:rPr>
          <w:lang w:val="en-US"/>
        </w:rPr>
      </w:pPr>
      <w:r>
        <w:rPr>
          <w:rStyle w:val="Refdecomentario"/>
        </w:rPr>
        <w:annotationRef/>
      </w:r>
      <w:r w:rsidRPr="0046604E">
        <w:rPr>
          <w:lang w:val="en-US"/>
        </w:rPr>
        <w:t>referenciar</w:t>
      </w:r>
    </w:p>
  </w:comment>
  <w:comment w:id="3" w:author="Andrés González Santa Cruz" w:date="2024-06-26T11:48:00Z" w:initials="AG">
    <w:p w14:paraId="3FF58044" w14:textId="2DB2602C" w:rsidR="000D7704" w:rsidRPr="0046604E" w:rsidRDefault="000D7704">
      <w:pPr>
        <w:pStyle w:val="Textocomentario"/>
        <w:rPr>
          <w:lang w:val="en-US"/>
        </w:rPr>
      </w:pPr>
      <w:r>
        <w:rPr>
          <w:rStyle w:val="Refdecomentario"/>
        </w:rPr>
        <w:annotationRef/>
      </w:r>
      <w:r w:rsidRPr="000D7704">
        <w:rPr>
          <w:lang w:val="en-US"/>
        </w:rPr>
        <w:t xml:space="preserve">Lokku, A., Lim, L. S., Birken, C. S., Pullenayegum, E. M., &amp; on behalf of the TARGet Kids! Collaboration. (2020). Summarizing the extent of visit irregularity in longitudinal data. </w:t>
      </w:r>
      <w:r w:rsidRPr="0046604E">
        <w:rPr>
          <w:lang w:val="en-US"/>
        </w:rPr>
        <w:t>BMC Medical Research Methodology, 20(1), 135. https://doi.org/10.1186/s12874-020-01023-w</w:t>
      </w:r>
    </w:p>
  </w:comment>
  <w:comment w:id="4" w:author="Andrés González Santa Cruz" w:date="2024-06-25T21:44:00Z" w:initials="AG">
    <w:p w14:paraId="62883D73" w14:textId="77777777" w:rsid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M., Birken, C., Maguire, J., &amp; TARGet Kids! Collaboration. (2023). Causal inference with longitudinal data subject to irregular assessment times. Statistics in Medicine, 42(14), 2361–2393. https://doi.org/10.1002/sim.9727</w:t>
      </w:r>
    </w:p>
    <w:p w14:paraId="126175C6" w14:textId="1FAA5566" w:rsidR="008B6CB8" w:rsidRPr="0046604E" w:rsidRDefault="008B6CB8">
      <w:pPr>
        <w:pStyle w:val="Textocomentario"/>
        <w:rPr>
          <w:lang w:val="en-US"/>
        </w:rPr>
      </w:pPr>
    </w:p>
  </w:comment>
  <w:comment w:id="5" w:author="Andrés González Santa Cruz" w:date="2024-06-25T21:44:00Z" w:initials="AG">
    <w:p w14:paraId="7FF0ECD9" w14:textId="77777777" w:rsidR="008B6CB8" w:rsidRP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(2022). IrregLong: Analysis of Longitudinal Data with Irregular Observation Times [Computer software]. https://cran.r-project.org/web/packages/IrregLong/index.html</w:t>
      </w:r>
    </w:p>
    <w:p w14:paraId="1FDDCC2D" w14:textId="58BB3CB0" w:rsidR="008B6CB8" w:rsidRPr="008B6CB8" w:rsidRDefault="008B6CB8">
      <w:pPr>
        <w:pStyle w:val="Textocomentario"/>
        <w:rPr>
          <w:lang w:val="en-US"/>
        </w:rPr>
      </w:pPr>
    </w:p>
  </w:comment>
  <w:comment w:id="7"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8" w:author="Andrés González Santa Cruz" w:date="2024-05-19T21:59:00Z" w:initials="AG">
    <w:p w14:paraId="3AF04DC9" w14:textId="77777777" w:rsidR="00650E6B" w:rsidRPr="00650E6B" w:rsidRDefault="00650E6B" w:rsidP="00650E6B">
      <w:pPr>
        <w:spacing w:line="240" w:lineRule="auto"/>
        <w:jc w:val="left"/>
        <w:rPr>
          <w:rFonts w:ascii="Times New Roman" w:eastAsia="Times New Roman" w:hAnsi="Times New Roman" w:cs="Times New Roman"/>
          <w:sz w:val="24"/>
          <w:szCs w:val="24"/>
          <w:lang w:val="en-US" w:eastAsia="es-CL"/>
        </w:rPr>
      </w:pPr>
      <w:r>
        <w:rPr>
          <w:rStyle w:val="Refdecomentario"/>
        </w:rPr>
        <w:annotationRef/>
      </w:r>
      <w:r w:rsidRPr="00650E6B">
        <w:rPr>
          <w:rFonts w:ascii="Times New Roman" w:eastAsia="Times New Roman" w:hAnsi="Times New Roman" w:cs="Times New Roman"/>
          <w:sz w:val="24"/>
          <w:szCs w:val="24"/>
          <w:lang w:val="en-US" w:eastAsia="es-CL"/>
        </w:rPr>
        <w:t xml:space="preserve">Zhang, Z., Reinikainen, J., Adeleke, K. A., Pieterse, M. E., &amp; M. Groothuis-Oudshoorn, C. G. (2018). Time-varying covariates and coefficients in Cox regression models. </w:t>
      </w:r>
      <w:r w:rsidRPr="00650E6B">
        <w:rPr>
          <w:rFonts w:ascii="Times New Roman" w:eastAsia="Times New Roman" w:hAnsi="Times New Roman" w:cs="Times New Roman"/>
          <w:i/>
          <w:iCs/>
          <w:sz w:val="24"/>
          <w:szCs w:val="24"/>
          <w:lang w:val="en-US" w:eastAsia="es-CL"/>
        </w:rPr>
        <w:t>Annals of Translational Medicine</w:t>
      </w:r>
      <w:r w:rsidRPr="00650E6B">
        <w:rPr>
          <w:rFonts w:ascii="Times New Roman" w:eastAsia="Times New Roman" w:hAnsi="Times New Roman" w:cs="Times New Roman"/>
          <w:sz w:val="24"/>
          <w:szCs w:val="24"/>
          <w:lang w:val="en-US" w:eastAsia="es-CL"/>
        </w:rPr>
        <w:t xml:space="preserve">, </w:t>
      </w:r>
      <w:r w:rsidRPr="00650E6B">
        <w:rPr>
          <w:rFonts w:ascii="Times New Roman" w:eastAsia="Times New Roman" w:hAnsi="Times New Roman" w:cs="Times New Roman"/>
          <w:i/>
          <w:iCs/>
          <w:sz w:val="24"/>
          <w:szCs w:val="24"/>
          <w:lang w:val="en-US" w:eastAsia="es-CL"/>
        </w:rPr>
        <w:t>6</w:t>
      </w:r>
      <w:r w:rsidRPr="00650E6B">
        <w:rPr>
          <w:rFonts w:ascii="Times New Roman" w:eastAsia="Times New Roman" w:hAnsi="Times New Roman" w:cs="Times New Roman"/>
          <w:sz w:val="24"/>
          <w:szCs w:val="24"/>
          <w:lang w:val="en-US" w:eastAsia="es-CL"/>
        </w:rPr>
        <w:t>(7). https://doi.org/10.21037/atm.2018.02.12</w:t>
      </w:r>
    </w:p>
    <w:p w14:paraId="31AB0942" w14:textId="2FE4EABE" w:rsidR="00650E6B" w:rsidRPr="00650E6B" w:rsidRDefault="00650E6B">
      <w:pPr>
        <w:pStyle w:val="Textocomentario"/>
        <w:rPr>
          <w:lang w:val="en-US"/>
        </w:rPr>
      </w:pPr>
    </w:p>
  </w:comment>
  <w:comment w:id="9"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1"/>
  <w15:commentEx w15:paraId="3FF58044" w15:done="1"/>
  <w15:commentEx w15:paraId="126175C6" w15:done="1"/>
  <w15:commentEx w15:paraId="1FDDCC2D" w15:done="1"/>
  <w15:commentEx w15:paraId="61D82981" w15:done="1"/>
  <w15:commentEx w15:paraId="31AB0942" w15:paraIdParent="61D82981" w15:done="1"/>
  <w15:commentEx w15:paraId="6CC75D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1A344955" w16cex:dateUtc="2024-06-26T15:48:00Z"/>
  <w16cex:commentExtensible w16cex:durableId="262F7E71" w16cex:dateUtc="2024-06-26T01:44:00Z"/>
  <w16cex:commentExtensible w16cex:durableId="25550DC3" w16cex:dateUtc="2024-06-26T01:44:00Z"/>
  <w16cex:commentExtensible w16cex:durableId="55534B79" w16cex:dateUtc="2024-05-14T16:57:00Z"/>
  <w16cex:commentExtensible w16cex:durableId="403E5593" w16cex:dateUtc="2024-05-20T01:59:00Z"/>
  <w16cex:commentExtensible w16cex:durableId="6D244ED1" w16cex:dateUtc="2024-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3FF58044" w16cid:durableId="1A344955"/>
  <w16cid:commentId w16cid:paraId="126175C6" w16cid:durableId="262F7E71"/>
  <w16cid:commentId w16cid:paraId="1FDDCC2D" w16cid:durableId="25550DC3"/>
  <w16cid:commentId w16cid:paraId="61D82981" w16cid:durableId="55534B79"/>
  <w16cid:commentId w16cid:paraId="31AB0942" w16cid:durableId="403E5593"/>
  <w16cid:commentId w16cid:paraId="6CC75D91" w16cid:durableId="6D24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DA50E" w14:textId="77777777" w:rsidR="006A4C25" w:rsidRDefault="006A4C25" w:rsidP="008340E2">
      <w:pPr>
        <w:spacing w:after="0" w:line="240" w:lineRule="auto"/>
      </w:pPr>
      <w:r>
        <w:separator/>
      </w:r>
    </w:p>
  </w:endnote>
  <w:endnote w:type="continuationSeparator" w:id="0">
    <w:p w14:paraId="5A791674" w14:textId="77777777" w:rsidR="006A4C25" w:rsidRDefault="006A4C25"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FBDDB" w14:textId="77777777" w:rsidR="006A4C25" w:rsidRDefault="006A4C25" w:rsidP="008340E2">
      <w:pPr>
        <w:spacing w:after="0" w:line="240" w:lineRule="auto"/>
      </w:pPr>
      <w:r>
        <w:separator/>
      </w:r>
    </w:p>
  </w:footnote>
  <w:footnote w:type="continuationSeparator" w:id="0">
    <w:p w14:paraId="4C3D9250" w14:textId="77777777" w:rsidR="006A4C25" w:rsidRDefault="006A4C25"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182DDF"/>
    <w:rsid w:val="00193239"/>
    <w:rsid w:val="001974E4"/>
    <w:rsid w:val="001C5629"/>
    <w:rsid w:val="001D7B90"/>
    <w:rsid w:val="002264FE"/>
    <w:rsid w:val="00226D76"/>
    <w:rsid w:val="00226EBE"/>
    <w:rsid w:val="0025070A"/>
    <w:rsid w:val="0027126D"/>
    <w:rsid w:val="002B6CCD"/>
    <w:rsid w:val="002F1D56"/>
    <w:rsid w:val="00381B89"/>
    <w:rsid w:val="00382E62"/>
    <w:rsid w:val="003B2C20"/>
    <w:rsid w:val="00410678"/>
    <w:rsid w:val="004160EC"/>
    <w:rsid w:val="00425CB0"/>
    <w:rsid w:val="00435289"/>
    <w:rsid w:val="00435715"/>
    <w:rsid w:val="0046604E"/>
    <w:rsid w:val="0047439C"/>
    <w:rsid w:val="004D463F"/>
    <w:rsid w:val="004F6154"/>
    <w:rsid w:val="00521EBB"/>
    <w:rsid w:val="00526359"/>
    <w:rsid w:val="00536D59"/>
    <w:rsid w:val="005569C9"/>
    <w:rsid w:val="005875EF"/>
    <w:rsid w:val="005A5AE1"/>
    <w:rsid w:val="00650E6B"/>
    <w:rsid w:val="0065310D"/>
    <w:rsid w:val="006743F6"/>
    <w:rsid w:val="006A4C25"/>
    <w:rsid w:val="007126B2"/>
    <w:rsid w:val="00745DF7"/>
    <w:rsid w:val="007550F3"/>
    <w:rsid w:val="00795D98"/>
    <w:rsid w:val="007C4B58"/>
    <w:rsid w:val="007E5D1A"/>
    <w:rsid w:val="00801D0D"/>
    <w:rsid w:val="008340E2"/>
    <w:rsid w:val="00860DD4"/>
    <w:rsid w:val="008A2C25"/>
    <w:rsid w:val="008A7A54"/>
    <w:rsid w:val="008B5A07"/>
    <w:rsid w:val="008B6CB8"/>
    <w:rsid w:val="008D75D4"/>
    <w:rsid w:val="00957149"/>
    <w:rsid w:val="009B341B"/>
    <w:rsid w:val="00A318AE"/>
    <w:rsid w:val="00A3679D"/>
    <w:rsid w:val="00A47649"/>
    <w:rsid w:val="00A6037E"/>
    <w:rsid w:val="00A607FD"/>
    <w:rsid w:val="00A712A7"/>
    <w:rsid w:val="00A96BE4"/>
    <w:rsid w:val="00AB3754"/>
    <w:rsid w:val="00AD5BED"/>
    <w:rsid w:val="00B05733"/>
    <w:rsid w:val="00B24D32"/>
    <w:rsid w:val="00B42951"/>
    <w:rsid w:val="00B83F64"/>
    <w:rsid w:val="00B86C53"/>
    <w:rsid w:val="00BA06BB"/>
    <w:rsid w:val="00BE70D4"/>
    <w:rsid w:val="00C07227"/>
    <w:rsid w:val="00C17B82"/>
    <w:rsid w:val="00C45C3D"/>
    <w:rsid w:val="00C637B2"/>
    <w:rsid w:val="00CC1970"/>
    <w:rsid w:val="00CF1AAD"/>
    <w:rsid w:val="00D9753F"/>
    <w:rsid w:val="00D97DD0"/>
    <w:rsid w:val="00DA0996"/>
    <w:rsid w:val="00DD31E4"/>
    <w:rsid w:val="00DF0406"/>
    <w:rsid w:val="00DF6512"/>
    <w:rsid w:val="00E12ABC"/>
    <w:rsid w:val="00E25C88"/>
    <w:rsid w:val="00EB67E2"/>
    <w:rsid w:val="00F06BA4"/>
    <w:rsid w:val="00F33019"/>
    <w:rsid w:val="00F46817"/>
    <w:rsid w:val="00F84779"/>
    <w:rsid w:val="00FA4F8B"/>
    <w:rsid w:val="00FB6F7D"/>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EF"/>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 w:type="paragraph" w:styleId="Bibliografa">
    <w:name w:val="Bibliography"/>
    <w:basedOn w:val="Normal"/>
    <w:next w:val="Normal"/>
    <w:uiPriority w:val="37"/>
    <w:unhideWhenUsed/>
    <w:rsid w:val="00182DD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420">
      <w:bodyDiv w:val="1"/>
      <w:marLeft w:val="0"/>
      <w:marRight w:val="0"/>
      <w:marTop w:val="0"/>
      <w:marBottom w:val="0"/>
      <w:divBdr>
        <w:top w:val="none" w:sz="0" w:space="0" w:color="auto"/>
        <w:left w:val="none" w:sz="0" w:space="0" w:color="auto"/>
        <w:bottom w:val="none" w:sz="0" w:space="0" w:color="auto"/>
        <w:right w:val="none" w:sz="0" w:space="0" w:color="auto"/>
      </w:divBdr>
    </w:div>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435099376">
      <w:bodyDiv w:val="1"/>
      <w:marLeft w:val="0"/>
      <w:marRight w:val="0"/>
      <w:marTop w:val="0"/>
      <w:marBottom w:val="0"/>
      <w:divBdr>
        <w:top w:val="none" w:sz="0" w:space="0" w:color="auto"/>
        <w:left w:val="none" w:sz="0" w:space="0" w:color="auto"/>
        <w:bottom w:val="none" w:sz="0" w:space="0" w:color="auto"/>
        <w:right w:val="none" w:sz="0" w:space="0" w:color="auto"/>
      </w:divBdr>
    </w:div>
    <w:div w:id="493304456">
      <w:bodyDiv w:val="1"/>
      <w:marLeft w:val="0"/>
      <w:marRight w:val="0"/>
      <w:marTop w:val="0"/>
      <w:marBottom w:val="0"/>
      <w:divBdr>
        <w:top w:val="none" w:sz="0" w:space="0" w:color="auto"/>
        <w:left w:val="none" w:sz="0" w:space="0" w:color="auto"/>
        <w:bottom w:val="none" w:sz="0" w:space="0" w:color="auto"/>
        <w:right w:val="none" w:sz="0" w:space="0" w:color="auto"/>
      </w:divBdr>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264">
      <w:bodyDiv w:val="1"/>
      <w:marLeft w:val="0"/>
      <w:marRight w:val="0"/>
      <w:marTop w:val="0"/>
      <w:marBottom w:val="0"/>
      <w:divBdr>
        <w:top w:val="none" w:sz="0" w:space="0" w:color="auto"/>
        <w:left w:val="none" w:sz="0" w:space="0" w:color="auto"/>
        <w:bottom w:val="none" w:sz="0" w:space="0" w:color="auto"/>
        <w:right w:val="none" w:sz="0" w:space="0" w:color="auto"/>
      </w:divBdr>
    </w:div>
    <w:div w:id="1164710387">
      <w:bodyDiv w:val="1"/>
      <w:marLeft w:val="0"/>
      <w:marRight w:val="0"/>
      <w:marTop w:val="0"/>
      <w:marBottom w:val="0"/>
      <w:divBdr>
        <w:top w:val="none" w:sz="0" w:space="0" w:color="auto"/>
        <w:left w:val="none" w:sz="0" w:space="0" w:color="auto"/>
        <w:bottom w:val="none" w:sz="0" w:space="0" w:color="auto"/>
        <w:right w:val="none" w:sz="0" w:space="0" w:color="auto"/>
      </w:divBdr>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6599392">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456631568">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639650863">
      <w:bodyDiv w:val="1"/>
      <w:marLeft w:val="0"/>
      <w:marRight w:val="0"/>
      <w:marTop w:val="0"/>
      <w:marBottom w:val="0"/>
      <w:divBdr>
        <w:top w:val="none" w:sz="0" w:space="0" w:color="auto"/>
        <w:left w:val="none" w:sz="0" w:space="0" w:color="auto"/>
        <w:bottom w:val="none" w:sz="0" w:space="0" w:color="auto"/>
        <w:right w:val="none" w:sz="0" w:space="0" w:color="auto"/>
      </w:divBdr>
      <w:divsChild>
        <w:div w:id="117380277">
          <w:marLeft w:val="0"/>
          <w:marRight w:val="0"/>
          <w:marTop w:val="0"/>
          <w:marBottom w:val="0"/>
          <w:divBdr>
            <w:top w:val="none" w:sz="0" w:space="0" w:color="auto"/>
            <w:left w:val="none" w:sz="0" w:space="0" w:color="auto"/>
            <w:bottom w:val="none" w:sz="0" w:space="0" w:color="auto"/>
            <w:right w:val="none" w:sz="0" w:space="0" w:color="auto"/>
          </w:divBdr>
          <w:divsChild>
            <w:div w:id="1802570112">
              <w:marLeft w:val="0"/>
              <w:marRight w:val="0"/>
              <w:marTop w:val="0"/>
              <w:marBottom w:val="0"/>
              <w:divBdr>
                <w:top w:val="none" w:sz="0" w:space="0" w:color="auto"/>
                <w:left w:val="none" w:sz="0" w:space="0" w:color="auto"/>
                <w:bottom w:val="none" w:sz="0" w:space="0" w:color="auto"/>
                <w:right w:val="none" w:sz="0" w:space="0" w:color="auto"/>
              </w:divBdr>
              <w:divsChild>
                <w:div w:id="606698624">
                  <w:marLeft w:val="0"/>
                  <w:marRight w:val="0"/>
                  <w:marTop w:val="0"/>
                  <w:marBottom w:val="0"/>
                  <w:divBdr>
                    <w:top w:val="none" w:sz="0" w:space="0" w:color="auto"/>
                    <w:left w:val="none" w:sz="0" w:space="0" w:color="auto"/>
                    <w:bottom w:val="none" w:sz="0" w:space="0" w:color="auto"/>
                    <w:right w:val="none" w:sz="0" w:space="0" w:color="auto"/>
                  </w:divBdr>
                  <w:divsChild>
                    <w:div w:id="1416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60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18</Pages>
  <Words>7878</Words>
  <Characters>43329</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35</cp:revision>
  <dcterms:created xsi:type="dcterms:W3CDTF">2024-06-25T19:49:00Z</dcterms:created>
  <dcterms:modified xsi:type="dcterms:W3CDTF">2024-12-01T15:12:00Z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id="9Kgu4IhF"/&gt;&lt;style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