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746EE" w14:textId="20FA9B30" w:rsidR="00DF0406" w:rsidRPr="002F1D56" w:rsidRDefault="00795D98" w:rsidP="00DF0406">
      <w:pPr>
        <w:spacing w:line="240" w:lineRule="auto"/>
        <w:jc w:val="center"/>
        <w:rPr>
          <w:rFonts w:ascii="Times New Roman" w:eastAsia="Times New Roman" w:hAnsi="Times New Roman" w:cs="Times New Roman"/>
          <w:sz w:val="32"/>
          <w:szCs w:val="32"/>
          <w:lang w:val="en-US" w:eastAsia="es-CL"/>
        </w:rPr>
      </w:pPr>
      <w:bookmarkStart w:id="0" w:name="_Hlk166787203"/>
      <w:r w:rsidRPr="002F1D56">
        <w:rPr>
          <w:rFonts w:ascii="Times New Roman" w:eastAsia="Times New Roman" w:hAnsi="Times New Roman" w:cs="Times New Roman"/>
          <w:b/>
          <w:bCs/>
          <w:color w:val="000000"/>
          <w:sz w:val="24"/>
          <w:szCs w:val="24"/>
          <w:lang w:val="en-US" w:eastAsia="es-CL"/>
        </w:rPr>
        <w:t xml:space="preserve">Association between poly-substance use and substance use disorder treatment noncompletion </w:t>
      </w:r>
      <w:r w:rsidR="008D75D4" w:rsidRPr="002F1D56">
        <w:rPr>
          <w:rFonts w:ascii="Times New Roman" w:eastAsia="Times New Roman" w:hAnsi="Times New Roman" w:cs="Times New Roman"/>
          <w:b/>
          <w:bCs/>
          <w:color w:val="000000"/>
          <w:sz w:val="24"/>
          <w:szCs w:val="24"/>
          <w:lang w:val="en-US" w:eastAsia="es-CL"/>
        </w:rPr>
        <w:t xml:space="preserve">in patients </w:t>
      </w:r>
      <w:bookmarkStart w:id="1" w:name="_Hlk166791267"/>
      <w:r w:rsidR="008D75D4" w:rsidRPr="002F1D56">
        <w:rPr>
          <w:rFonts w:ascii="Times New Roman" w:eastAsia="Times New Roman" w:hAnsi="Times New Roman" w:cs="Times New Roman"/>
          <w:b/>
          <w:bCs/>
          <w:color w:val="000000"/>
          <w:sz w:val="24"/>
          <w:szCs w:val="24"/>
          <w:lang w:val="en-US" w:eastAsia="es-CL"/>
        </w:rPr>
        <w:t xml:space="preserve">admitted to multiple treatments </w:t>
      </w:r>
      <w:bookmarkEnd w:id="1"/>
      <w:r w:rsidRPr="002F1D56">
        <w:rPr>
          <w:rFonts w:ascii="Times New Roman" w:eastAsia="Times New Roman" w:hAnsi="Times New Roman" w:cs="Times New Roman"/>
          <w:b/>
          <w:bCs/>
          <w:color w:val="000000"/>
          <w:sz w:val="24"/>
          <w:szCs w:val="24"/>
          <w:lang w:val="en-US" w:eastAsia="es-CL"/>
        </w:rPr>
        <w:t>between 2010-2019 in Chile</w:t>
      </w:r>
    </w:p>
    <w:bookmarkEnd w:id="0"/>
    <w:p w14:paraId="73A8FA17"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s-CL" w:eastAsia="es-CL"/>
        </w:rPr>
      </w:pPr>
      <w:r w:rsidRPr="002F1D56">
        <w:rPr>
          <w:rFonts w:ascii="Times New Roman" w:eastAsia="Times New Roman" w:hAnsi="Times New Roman" w:cs="Times New Roman"/>
          <w:color w:val="000000"/>
          <w:sz w:val="24"/>
          <w:szCs w:val="24"/>
          <w:lang w:val="es-CL" w:eastAsia="es-CL"/>
        </w:rPr>
        <w:t xml:space="preserve">Andrés González-Santa Cruz </w:t>
      </w:r>
      <w:r w:rsidRPr="002F1D56">
        <w:rPr>
          <w:rFonts w:ascii="Times New Roman" w:eastAsia="Times New Roman" w:hAnsi="Times New Roman" w:cs="Times New Roman"/>
          <w:color w:val="000000"/>
          <w:sz w:val="16"/>
          <w:szCs w:val="16"/>
          <w:vertAlign w:val="superscript"/>
          <w:lang w:val="es-CL" w:eastAsia="es-CL"/>
        </w:rPr>
        <w:t>a.b,c</w:t>
      </w:r>
      <w:r w:rsidRPr="002F1D56">
        <w:rPr>
          <w:rFonts w:ascii="Times New Roman" w:eastAsia="Times New Roman" w:hAnsi="Times New Roman" w:cs="Times New Roman"/>
          <w:color w:val="000000"/>
          <w:sz w:val="24"/>
          <w:szCs w:val="24"/>
          <w:lang w:val="es-CL" w:eastAsia="es-CL"/>
        </w:rPr>
        <w:t>; José Ruiz-Tagle</w:t>
      </w:r>
      <w:r w:rsidRPr="002F1D56">
        <w:rPr>
          <w:rFonts w:ascii="Times New Roman" w:eastAsia="Times New Roman" w:hAnsi="Times New Roman" w:cs="Times New Roman"/>
          <w:color w:val="000000"/>
          <w:sz w:val="16"/>
          <w:szCs w:val="16"/>
          <w:vertAlign w:val="superscript"/>
          <w:lang w:val="es-CL" w:eastAsia="es-CL"/>
        </w:rPr>
        <w:t>b,c</w:t>
      </w:r>
      <w:r w:rsidRPr="002F1D56">
        <w:rPr>
          <w:rFonts w:ascii="Times New Roman" w:eastAsia="Times New Roman" w:hAnsi="Times New Roman" w:cs="Times New Roman"/>
          <w:color w:val="000000"/>
          <w:sz w:val="24"/>
          <w:szCs w:val="24"/>
          <w:lang w:val="es-CL" w:eastAsia="es-CL"/>
        </w:rPr>
        <w:t xml:space="preserve"> Mariel Mateo Pinones </w:t>
      </w:r>
      <w:r w:rsidRPr="002F1D56">
        <w:rPr>
          <w:rFonts w:ascii="Times New Roman" w:eastAsia="Times New Roman" w:hAnsi="Times New Roman" w:cs="Times New Roman"/>
          <w:color w:val="000000"/>
          <w:sz w:val="16"/>
          <w:szCs w:val="16"/>
          <w:vertAlign w:val="superscript"/>
          <w:lang w:val="es-CL" w:eastAsia="es-CL"/>
        </w:rPr>
        <w:t>b,d</w:t>
      </w:r>
      <w:r w:rsidRPr="002F1D56">
        <w:rPr>
          <w:rFonts w:ascii="Times New Roman" w:eastAsia="Times New Roman" w:hAnsi="Times New Roman" w:cs="Times New Roman"/>
          <w:color w:val="000000"/>
          <w:sz w:val="24"/>
          <w:szCs w:val="24"/>
          <w:lang w:val="es-CL" w:eastAsia="es-CL"/>
        </w:rPr>
        <w:t xml:space="preserve">; Álvaro Castillo-Carniglia </w:t>
      </w:r>
      <w:r w:rsidRPr="002F1D56">
        <w:rPr>
          <w:rFonts w:ascii="Times New Roman" w:eastAsia="Times New Roman" w:hAnsi="Times New Roman" w:cs="Times New Roman"/>
          <w:color w:val="000000"/>
          <w:sz w:val="16"/>
          <w:szCs w:val="16"/>
          <w:vertAlign w:val="superscript"/>
          <w:lang w:val="es-CL" w:eastAsia="es-CL"/>
        </w:rPr>
        <w:t>b,c,e</w:t>
      </w:r>
      <w:r w:rsidRPr="002F1D56">
        <w:rPr>
          <w:rFonts w:ascii="Times New Roman" w:eastAsia="Times New Roman" w:hAnsi="Times New Roman" w:cs="Times New Roman"/>
          <w:color w:val="000000"/>
          <w:sz w:val="24"/>
          <w:szCs w:val="24"/>
          <w:lang w:val="es-CL" w:eastAsia="es-CL"/>
        </w:rPr>
        <w:t>;</w:t>
      </w:r>
    </w:p>
    <w:p w14:paraId="348F3832" w14:textId="77777777" w:rsidR="00DF0406" w:rsidRPr="002F1D56" w:rsidRDefault="00DF0406" w:rsidP="00DF0406">
      <w:pPr>
        <w:spacing w:after="0" w:line="240" w:lineRule="auto"/>
        <w:jc w:val="left"/>
        <w:rPr>
          <w:rFonts w:ascii="Times New Roman" w:eastAsia="Times New Roman" w:hAnsi="Times New Roman" w:cs="Times New Roman"/>
          <w:sz w:val="32"/>
          <w:szCs w:val="32"/>
          <w:lang w:val="es-CL" w:eastAsia="es-CL"/>
        </w:rPr>
      </w:pPr>
    </w:p>
    <w:p w14:paraId="756BA91B" w14:textId="5671ACF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a</w:t>
      </w:r>
      <w:r w:rsidRPr="002F1D56">
        <w:rPr>
          <w:rFonts w:ascii="Times New Roman" w:eastAsia="Times New Roman" w:hAnsi="Times New Roman" w:cs="Times New Roman"/>
          <w:color w:val="000000"/>
          <w:sz w:val="24"/>
          <w:szCs w:val="24"/>
          <w:lang w:val="en-US" w:eastAsia="es-CL"/>
        </w:rPr>
        <w:t xml:space="preserve"> </w:t>
      </w:r>
      <w:r w:rsidR="00521EBB" w:rsidRPr="002F1D56">
        <w:rPr>
          <w:rFonts w:ascii="Times New Roman" w:eastAsia="Times New Roman" w:hAnsi="Times New Roman" w:cs="Times New Roman"/>
          <w:color w:val="000000"/>
          <w:sz w:val="24"/>
          <w:szCs w:val="24"/>
          <w:highlight w:val="yellow"/>
          <w:lang w:eastAsia="es-CL"/>
        </w:rPr>
        <w:t>Doctoral Program in Public Health, Institute of Population Health, Faculty of Medicine, Universidad de Chile, Independencia 939, Independencia, Santiago, Chile</w:t>
      </w:r>
    </w:p>
    <w:p w14:paraId="3E4373EF" w14:textId="77777777"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b</w:t>
      </w:r>
      <w:r w:rsidRPr="002F1D56">
        <w:rPr>
          <w:rFonts w:ascii="Times New Roman" w:eastAsia="Times New Roman" w:hAnsi="Times New Roman" w:cs="Times New Roman"/>
          <w:color w:val="000000"/>
          <w:sz w:val="24"/>
          <w:szCs w:val="24"/>
          <w:lang w:val="en-US" w:eastAsia="es-CL"/>
        </w:rPr>
        <w:t xml:space="preserve"> Millennium Nucleus for the Evaluation and Analysis of Drug Policies (nDP), Chile.</w:t>
      </w:r>
    </w:p>
    <w:p w14:paraId="3CC36CDE" w14:textId="54173E5A" w:rsidR="00DF0406" w:rsidRPr="002F1D56" w:rsidRDefault="00DF0406" w:rsidP="00DF0406">
      <w:pPr>
        <w:spacing w:after="0" w:line="240" w:lineRule="auto"/>
        <w:ind w:left="720"/>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c</w:t>
      </w:r>
      <w:r w:rsidRPr="002F1D56">
        <w:rPr>
          <w:rFonts w:ascii="Times New Roman" w:eastAsia="Times New Roman" w:hAnsi="Times New Roman" w:cs="Times New Roman"/>
          <w:color w:val="000000"/>
          <w:sz w:val="24"/>
          <w:szCs w:val="24"/>
          <w:lang w:val="en-US" w:eastAsia="es-CL"/>
        </w:rPr>
        <w:t xml:space="preserve"> </w:t>
      </w:r>
      <w:r w:rsidR="005569C9" w:rsidRPr="002F1D56">
        <w:rPr>
          <w:rFonts w:ascii="Times New Roman" w:eastAsia="Times New Roman" w:hAnsi="Times New Roman" w:cs="Times New Roman"/>
          <w:color w:val="000000"/>
          <w:sz w:val="24"/>
          <w:szCs w:val="24"/>
          <w:lang w:val="en-US" w:eastAsia="es-CL"/>
        </w:rPr>
        <w:t>Associate Professor, Department of Public Health, Facultad de Medicina y Ciencia, Universidad San Sebastian, Chile</w:t>
      </w:r>
      <w:r w:rsidRPr="002F1D56">
        <w:rPr>
          <w:rFonts w:ascii="Times New Roman" w:eastAsia="Times New Roman" w:hAnsi="Times New Roman" w:cs="Times New Roman"/>
          <w:color w:val="000000"/>
          <w:sz w:val="24"/>
          <w:szCs w:val="24"/>
          <w:lang w:val="en-US" w:eastAsia="es-CL"/>
        </w:rPr>
        <w:t>.</w:t>
      </w:r>
    </w:p>
    <w:p w14:paraId="303460B5"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d</w:t>
      </w:r>
      <w:r w:rsidRPr="002F1D56">
        <w:rPr>
          <w:rFonts w:ascii="Times New Roman" w:eastAsia="Times New Roman" w:hAnsi="Times New Roman" w:cs="Times New Roman"/>
          <w:color w:val="000000"/>
          <w:sz w:val="24"/>
          <w:szCs w:val="24"/>
          <w:lang w:val="en-US" w:eastAsia="es-CL"/>
        </w:rPr>
        <w:t xml:space="preserve"> School of Criminology and Criminal Justice, Griffith University, Australia</w:t>
      </w:r>
    </w:p>
    <w:p w14:paraId="646ED459" w14:textId="77777777" w:rsidR="00DF0406" w:rsidRPr="002F1D56" w:rsidRDefault="00DF0406" w:rsidP="00DF0406">
      <w:pPr>
        <w:spacing w:after="0" w:line="240" w:lineRule="auto"/>
        <w:jc w:val="center"/>
        <w:rPr>
          <w:rFonts w:ascii="Times New Roman" w:eastAsia="Times New Roman" w:hAnsi="Times New Roman" w:cs="Times New Roman"/>
          <w:sz w:val="32"/>
          <w:szCs w:val="32"/>
          <w:lang w:val="en-US" w:eastAsia="es-CL"/>
        </w:rPr>
      </w:pPr>
      <w:r w:rsidRPr="002F1D56">
        <w:rPr>
          <w:rFonts w:ascii="Times New Roman" w:eastAsia="Times New Roman" w:hAnsi="Times New Roman" w:cs="Times New Roman"/>
          <w:color w:val="000000"/>
          <w:sz w:val="16"/>
          <w:szCs w:val="16"/>
          <w:vertAlign w:val="superscript"/>
          <w:lang w:val="en-US" w:eastAsia="es-CL"/>
        </w:rPr>
        <w:t>e</w:t>
      </w:r>
      <w:r w:rsidRPr="002F1D56">
        <w:rPr>
          <w:rFonts w:ascii="Times New Roman" w:eastAsia="Times New Roman" w:hAnsi="Times New Roman" w:cs="Times New Roman"/>
          <w:color w:val="000000"/>
          <w:sz w:val="24"/>
          <w:szCs w:val="24"/>
          <w:lang w:val="en-US" w:eastAsia="es-CL"/>
        </w:rPr>
        <w:t xml:space="preserve"> Millennium Nucleus on Sociomedicine (SocioMed), Chile.</w:t>
      </w:r>
    </w:p>
    <w:p w14:paraId="43BA4B74" w14:textId="77C04D5F" w:rsidR="00DF0406" w:rsidRPr="002F1D56" w:rsidRDefault="00DF0406">
      <w:pPr>
        <w:spacing w:line="259" w:lineRule="auto"/>
        <w:jc w:val="left"/>
        <w:rPr>
          <w:rFonts w:ascii="Times New Roman" w:hAnsi="Times New Roman" w:cs="Times New Roman"/>
          <w:sz w:val="24"/>
          <w:szCs w:val="28"/>
          <w:lang w:val="en-US"/>
        </w:rPr>
      </w:pPr>
      <w:r w:rsidRPr="002F1D56">
        <w:rPr>
          <w:rFonts w:ascii="Times New Roman" w:hAnsi="Times New Roman" w:cs="Times New Roman"/>
          <w:sz w:val="24"/>
          <w:szCs w:val="28"/>
          <w:lang w:val="en-US"/>
        </w:rPr>
        <w:br w:type="page"/>
      </w:r>
    </w:p>
    <w:p w14:paraId="239F7A09" w14:textId="3C2000A5" w:rsidR="00745DF7" w:rsidRPr="002264FE" w:rsidRDefault="00745DF7" w:rsidP="002264FE">
      <w:pPr>
        <w:pStyle w:val="Ttulo2"/>
      </w:pPr>
      <w:r w:rsidRPr="002264FE">
        <w:lastRenderedPageBreak/>
        <w:t>Supplemental Section 1. Covariates</w:t>
      </w:r>
    </w:p>
    <w:p w14:paraId="2023235F" w14:textId="7E60CD36" w:rsidR="00410678" w:rsidRPr="002F1D56" w:rsidRDefault="004160EC" w:rsidP="00425CB0">
      <w:pPr>
        <w:spacing w:after="0"/>
        <w:ind w:firstLine="709"/>
        <w:rPr>
          <w:rFonts w:ascii="Times New Roman" w:hAnsi="Times New Roman" w:cs="Times New Roman"/>
          <w:b/>
          <w:bCs/>
          <w:sz w:val="24"/>
          <w:szCs w:val="28"/>
        </w:rPr>
      </w:pPr>
      <w:r w:rsidRPr="002F1D56">
        <w:rPr>
          <w:rFonts w:ascii="Times New Roman" w:hAnsi="Times New Roman" w:cs="Times New Roman"/>
          <w:b/>
          <w:bCs/>
          <w:sz w:val="24"/>
          <w:szCs w:val="28"/>
        </w:rPr>
        <w:t xml:space="preserve">Table S1. Description of </w:t>
      </w:r>
      <w:r w:rsidR="00745DF7" w:rsidRPr="002F1D56">
        <w:rPr>
          <w:rFonts w:ascii="Times New Roman" w:hAnsi="Times New Roman" w:cs="Times New Roman"/>
          <w:b/>
          <w:bCs/>
          <w:sz w:val="24"/>
          <w:szCs w:val="28"/>
        </w:rPr>
        <w:t>c</w:t>
      </w:r>
      <w:r w:rsidRPr="002F1D56">
        <w:rPr>
          <w:rFonts w:ascii="Times New Roman" w:hAnsi="Times New Roman" w:cs="Times New Roman"/>
          <w:b/>
          <w:bCs/>
          <w:sz w:val="24"/>
          <w:szCs w:val="28"/>
        </w:rPr>
        <w:t>ovariates</w:t>
      </w:r>
    </w:p>
    <w:tbl>
      <w:tblPr>
        <w:tblW w:w="0" w:type="auto"/>
        <w:tblCellMar>
          <w:top w:w="15" w:type="dxa"/>
          <w:left w:w="15" w:type="dxa"/>
          <w:bottom w:w="15" w:type="dxa"/>
          <w:right w:w="15" w:type="dxa"/>
        </w:tblCellMar>
        <w:tblLook w:val="04A0" w:firstRow="1" w:lastRow="0" w:firstColumn="1" w:lastColumn="0" w:noHBand="0" w:noVBand="1"/>
      </w:tblPr>
      <w:tblGrid>
        <w:gridCol w:w="2459"/>
        <w:gridCol w:w="10547"/>
      </w:tblGrid>
      <w:tr w:rsidR="00C637B2" w:rsidRPr="002F1D56" w14:paraId="47E808DD" w14:textId="77777777" w:rsidTr="00AD5BED">
        <w:trPr>
          <w:trHeight w:val="283"/>
        </w:trPr>
        <w:tc>
          <w:tcPr>
            <w:tcW w:w="0" w:type="auto"/>
            <w:tcBorders>
              <w:top w:val="single" w:sz="4" w:space="0" w:color="000000"/>
              <w:bottom w:val="single" w:sz="4" w:space="0" w:color="000000"/>
            </w:tcBorders>
            <w:tcMar>
              <w:top w:w="1" w:type="dxa"/>
              <w:left w:w="1" w:type="dxa"/>
              <w:bottom w:w="1" w:type="dxa"/>
              <w:right w:w="1" w:type="dxa"/>
            </w:tcMar>
            <w:vAlign w:val="center"/>
            <w:hideMark/>
          </w:tcPr>
          <w:p w14:paraId="6925E7F7" w14:textId="77777777" w:rsidR="00410678" w:rsidRPr="002F1D56" w:rsidRDefault="00410678" w:rsidP="00AD5BED">
            <w:pPr>
              <w:spacing w:after="0"/>
              <w:ind w:right="-2"/>
              <w:rPr>
                <w:rFonts w:ascii="Times New Roman" w:hAnsi="Times New Roman" w:cs="Times New Roman"/>
                <w:sz w:val="22"/>
                <w:szCs w:val="24"/>
                <w:lang w:val="es-CL"/>
              </w:rPr>
            </w:pPr>
            <w:r w:rsidRPr="002F1D56">
              <w:rPr>
                <w:rFonts w:ascii="Times New Roman" w:hAnsi="Times New Roman" w:cs="Times New Roman"/>
                <w:b/>
                <w:bCs/>
                <w:sz w:val="22"/>
                <w:szCs w:val="24"/>
                <w:lang w:val="es-CL"/>
              </w:rPr>
              <w:t>Covariate name</w:t>
            </w:r>
          </w:p>
        </w:tc>
        <w:tc>
          <w:tcPr>
            <w:tcW w:w="0" w:type="auto"/>
            <w:tcBorders>
              <w:top w:val="single" w:sz="4" w:space="0" w:color="000000"/>
              <w:bottom w:val="single" w:sz="4" w:space="0" w:color="000000"/>
            </w:tcBorders>
            <w:tcMar>
              <w:top w:w="1" w:type="dxa"/>
              <w:left w:w="1" w:type="dxa"/>
              <w:bottom w:w="1" w:type="dxa"/>
              <w:right w:w="1" w:type="dxa"/>
            </w:tcMar>
            <w:vAlign w:val="center"/>
            <w:hideMark/>
          </w:tcPr>
          <w:p w14:paraId="6E40D2E8" w14:textId="77777777" w:rsidR="00410678" w:rsidRPr="002F1D56" w:rsidRDefault="00410678" w:rsidP="00AD5BED">
            <w:pPr>
              <w:spacing w:after="0"/>
              <w:ind w:left="77" w:right="-2" w:hanging="33"/>
              <w:rPr>
                <w:rFonts w:ascii="Times New Roman" w:hAnsi="Times New Roman" w:cs="Times New Roman"/>
                <w:sz w:val="22"/>
                <w:szCs w:val="24"/>
                <w:lang w:val="es-CL"/>
              </w:rPr>
            </w:pPr>
            <w:r w:rsidRPr="002F1D56">
              <w:rPr>
                <w:rFonts w:ascii="Times New Roman" w:hAnsi="Times New Roman" w:cs="Times New Roman"/>
                <w:b/>
                <w:bCs/>
                <w:sz w:val="22"/>
                <w:szCs w:val="24"/>
                <w:lang w:val="es-CL"/>
              </w:rPr>
              <w:t>Description</w:t>
            </w:r>
          </w:p>
        </w:tc>
      </w:tr>
      <w:tr w:rsidR="00C637B2" w:rsidRPr="002F1D56" w14:paraId="1F8B3129" w14:textId="77777777" w:rsidTr="00A607FD">
        <w:trPr>
          <w:trHeight w:val="283"/>
        </w:trPr>
        <w:tc>
          <w:tcPr>
            <w:tcW w:w="0" w:type="auto"/>
            <w:tcMar>
              <w:top w:w="1" w:type="dxa"/>
              <w:left w:w="1" w:type="dxa"/>
              <w:bottom w:w="1" w:type="dxa"/>
              <w:right w:w="1" w:type="dxa"/>
            </w:tcMar>
            <w:vAlign w:val="center"/>
          </w:tcPr>
          <w:p w14:paraId="68CD2E4B" w14:textId="2280253E" w:rsidR="00C637B2" w:rsidRPr="002F1D56" w:rsidRDefault="00C637B2" w:rsidP="002F1D56">
            <w:pPr>
              <w:spacing w:after="0"/>
              <w:ind w:right="-2"/>
              <w:jc w:val="left"/>
              <w:rPr>
                <w:rFonts w:ascii="Times New Roman" w:hAnsi="Times New Roman" w:cs="Times New Roman"/>
                <w:sz w:val="22"/>
                <w:szCs w:val="24"/>
                <w:lang w:val="es-CL"/>
              </w:rPr>
            </w:pPr>
            <w:r w:rsidRPr="002F1D56">
              <w:rPr>
                <w:rFonts w:ascii="Times New Roman" w:hAnsi="Times New Roman" w:cs="Times New Roman"/>
                <w:sz w:val="22"/>
                <w:szCs w:val="24"/>
                <w:lang w:val="en-US"/>
              </w:rPr>
              <w:t>Biopsychosocial compromise</w:t>
            </w:r>
          </w:p>
        </w:tc>
        <w:tc>
          <w:tcPr>
            <w:tcW w:w="0" w:type="auto"/>
            <w:tcMar>
              <w:top w:w="1" w:type="dxa"/>
              <w:left w:w="1" w:type="dxa"/>
              <w:bottom w:w="1" w:type="dxa"/>
              <w:right w:w="1" w:type="dxa"/>
            </w:tcMar>
            <w:vAlign w:val="center"/>
          </w:tcPr>
          <w:p w14:paraId="2275E2D1" w14:textId="61CE7D6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 clinical appraisal from professionals in the treatment team at admission to treatment, which considers the level of withdrawal symptoms, the motive of admission, motivation to change, the severity of SUD, number of previous treatments, number of physical complaints, and characteristics of the social environment (e.g., family functioning). Is coded by the authors as mild or moderate vs. severe (Ruiz-Tagle et al</w:t>
            </w:r>
            <w:commentRangeStart w:id="2"/>
            <w:r w:rsidRPr="002F1D56">
              <w:rPr>
                <w:rFonts w:ascii="Times New Roman" w:hAnsi="Times New Roman" w:cs="Times New Roman"/>
                <w:sz w:val="22"/>
                <w:szCs w:val="24"/>
                <w:lang w:val="en-US"/>
              </w:rPr>
              <w:t>., 2023</w:t>
            </w:r>
            <w:commentRangeEnd w:id="2"/>
            <w:r w:rsidRPr="002F1D56">
              <w:rPr>
                <w:rStyle w:val="Refdecomentario"/>
                <w:rFonts w:ascii="Times New Roman" w:eastAsia="Times New Roman" w:hAnsi="Times New Roman" w:cs="Times New Roman"/>
                <w:sz w:val="20"/>
                <w:szCs w:val="20"/>
                <w:lang w:val="es-CL" w:eastAsia="es-ES_tradnl"/>
              </w:rPr>
              <w:commentReference w:id="2"/>
            </w:r>
            <w:r w:rsidRPr="002F1D56">
              <w:rPr>
                <w:rFonts w:ascii="Times New Roman" w:hAnsi="Times New Roman" w:cs="Times New Roman"/>
                <w:sz w:val="22"/>
                <w:szCs w:val="24"/>
                <w:lang w:val="en-US"/>
              </w:rPr>
              <w:t>).</w:t>
            </w:r>
          </w:p>
        </w:tc>
      </w:tr>
      <w:tr w:rsidR="00C637B2" w:rsidRPr="002F1D56" w14:paraId="61C8F3C5" w14:textId="77777777" w:rsidTr="00A607FD">
        <w:trPr>
          <w:trHeight w:val="283"/>
        </w:trPr>
        <w:tc>
          <w:tcPr>
            <w:tcW w:w="0" w:type="auto"/>
            <w:tcMar>
              <w:top w:w="1" w:type="dxa"/>
              <w:left w:w="1" w:type="dxa"/>
              <w:bottom w:w="1" w:type="dxa"/>
              <w:right w:w="1" w:type="dxa"/>
            </w:tcMar>
            <w:vAlign w:val="center"/>
          </w:tcPr>
          <w:p w14:paraId="745AE66D" w14:textId="3B6FE95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at Admission to Treatment (First Entry)</w:t>
            </w:r>
          </w:p>
        </w:tc>
        <w:tc>
          <w:tcPr>
            <w:tcW w:w="0" w:type="auto"/>
            <w:tcMar>
              <w:top w:w="1" w:type="dxa"/>
              <w:left w:w="1" w:type="dxa"/>
              <w:bottom w:w="1" w:type="dxa"/>
              <w:right w:w="1" w:type="dxa"/>
            </w:tcMar>
            <w:vAlign w:val="center"/>
          </w:tcPr>
          <w:p w14:paraId="5E46EB97" w14:textId="4F56D298"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Age of the patient at the time of admission to treatment.  The value of the first available treatment is considered.</w:t>
            </w:r>
          </w:p>
        </w:tc>
      </w:tr>
      <w:tr w:rsidR="00C637B2" w:rsidRPr="002F1D56" w14:paraId="38C97B69" w14:textId="77777777" w:rsidTr="002F1D56">
        <w:trPr>
          <w:trHeight w:val="170"/>
        </w:trPr>
        <w:tc>
          <w:tcPr>
            <w:tcW w:w="0" w:type="auto"/>
            <w:tcMar>
              <w:top w:w="1" w:type="dxa"/>
              <w:left w:w="1" w:type="dxa"/>
              <w:bottom w:w="1" w:type="dxa"/>
              <w:right w:w="1" w:type="dxa"/>
            </w:tcMar>
            <w:vAlign w:val="center"/>
          </w:tcPr>
          <w:p w14:paraId="70C05CE7" w14:textId="603C11F2"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Birth year</w:t>
            </w:r>
          </w:p>
        </w:tc>
        <w:tc>
          <w:tcPr>
            <w:tcW w:w="0" w:type="auto"/>
            <w:tcMar>
              <w:top w:w="1" w:type="dxa"/>
              <w:left w:w="1" w:type="dxa"/>
              <w:bottom w:w="1" w:type="dxa"/>
              <w:right w:w="1" w:type="dxa"/>
            </w:tcMar>
            <w:vAlign w:val="center"/>
          </w:tcPr>
          <w:p w14:paraId="1EB8F631" w14:textId="6E805481"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 calendar years (e.g., 1995). Obtained from the registered birth date.</w:t>
            </w:r>
          </w:p>
        </w:tc>
      </w:tr>
      <w:tr w:rsidR="00C637B2" w:rsidRPr="002F1D56" w14:paraId="2B0C7395" w14:textId="77777777" w:rsidTr="00A607FD">
        <w:trPr>
          <w:trHeight w:val="283"/>
        </w:trPr>
        <w:tc>
          <w:tcPr>
            <w:tcW w:w="0" w:type="auto"/>
            <w:tcMar>
              <w:top w:w="1" w:type="dxa"/>
              <w:left w:w="1" w:type="dxa"/>
              <w:bottom w:w="1" w:type="dxa"/>
              <w:right w:w="1" w:type="dxa"/>
            </w:tcMar>
            <w:vAlign w:val="center"/>
          </w:tcPr>
          <w:p w14:paraId="02A7FD6F" w14:textId="0B8EAAE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Primary substance of the initial diagnosis</w:t>
            </w:r>
          </w:p>
        </w:tc>
        <w:tc>
          <w:tcPr>
            <w:tcW w:w="0" w:type="auto"/>
            <w:tcMar>
              <w:top w:w="1" w:type="dxa"/>
              <w:left w:w="1" w:type="dxa"/>
              <w:bottom w:w="1" w:type="dxa"/>
              <w:right w:w="1" w:type="dxa"/>
            </w:tcMar>
            <w:vAlign w:val="center"/>
          </w:tcPr>
          <w:p w14:paraId="01B22A46" w14:textId="7B3E2B90"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Indicated by patients as the starting substance of their drug use. SISTRAT allows the presentation of up to three starting substances, which is why we kept the most vulnerable category for patients who reported more than one value ("Base paste", "Cocaine hydrochloride", "Marijuana", "Alcohol", "Other"). On the other hand, other substances, such as hallucinogens, amphetamine-type stimulants, inhalants, opiates, sedatives, hypnotics and tranquilizers, and other substances (anabolic steroids, etc.), did not exceed 3% of the responses, and were therefore classified as "Other".</w:t>
            </w:r>
          </w:p>
        </w:tc>
      </w:tr>
      <w:tr w:rsidR="00C637B2" w:rsidRPr="002F1D56" w14:paraId="4C53C8EA" w14:textId="77777777" w:rsidTr="00A607FD">
        <w:trPr>
          <w:trHeight w:val="283"/>
        </w:trPr>
        <w:tc>
          <w:tcPr>
            <w:tcW w:w="0" w:type="auto"/>
            <w:tcMar>
              <w:top w:w="1" w:type="dxa"/>
              <w:left w:w="1" w:type="dxa"/>
              <w:bottom w:w="1" w:type="dxa"/>
              <w:right w:w="1" w:type="dxa"/>
            </w:tcMar>
            <w:vAlign w:val="center"/>
          </w:tcPr>
          <w:p w14:paraId="399CB24D" w14:textId="39F09D96"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s-CL"/>
              </w:rPr>
              <w:t>Psychiatric comorbidity (ICD-10)</w:t>
            </w:r>
          </w:p>
        </w:tc>
        <w:tc>
          <w:tcPr>
            <w:tcW w:w="0" w:type="auto"/>
            <w:tcMar>
              <w:top w:w="1" w:type="dxa"/>
              <w:left w:w="1" w:type="dxa"/>
              <w:bottom w:w="1" w:type="dxa"/>
              <w:right w:w="1" w:type="dxa"/>
            </w:tcMar>
            <w:vAlign w:val="center"/>
          </w:tcPr>
          <w:p w14:paraId="4B711587" w14:textId="344DCB5D" w:rsidR="00C637B2" w:rsidRPr="002F1D56" w:rsidRDefault="00C637B2" w:rsidP="002F1D56">
            <w:pPr>
              <w:spacing w:after="0"/>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According to the ICD-10 (International Classification of Diseases 10th Edition) classification. The system allowed for submitting up to three psychiatric conditions. </w:t>
            </w:r>
            <w:r w:rsidR="00B83F64" w:rsidRPr="002F1D56">
              <w:rPr>
                <w:rFonts w:ascii="Times New Roman" w:hAnsi="Times New Roman" w:cs="Times New Roman"/>
                <w:sz w:val="22"/>
                <w:szCs w:val="24"/>
                <w:lang w:val="en-US"/>
              </w:rPr>
              <w:t>If, at the time of dropout or other treatment termination, patients were not diagnosed but a condition is suspected by clinical staff (though not by a specialist), then the status is coded as "under study</w:t>
            </w:r>
            <w:r w:rsidR="002F1D56">
              <w:rPr>
                <w:rFonts w:ascii="Times New Roman" w:hAnsi="Times New Roman" w:cs="Times New Roman"/>
                <w:sz w:val="22"/>
                <w:szCs w:val="24"/>
                <w:lang w:val="en-US"/>
              </w:rPr>
              <w:t xml:space="preserve">” or “incomplete </w:t>
            </w:r>
            <w:r w:rsidR="002F1D56" w:rsidRPr="002F1D56">
              <w:rPr>
                <w:rFonts w:ascii="Times New Roman" w:hAnsi="Times New Roman" w:cs="Times New Roman"/>
                <w:sz w:val="22"/>
                <w:szCs w:val="24"/>
                <w:lang w:val="en-US"/>
              </w:rPr>
              <w:t>assessment</w:t>
            </w:r>
            <w:r w:rsidR="002F1D56">
              <w:rPr>
                <w:rFonts w:ascii="Times New Roman" w:hAnsi="Times New Roman" w:cs="Times New Roman"/>
                <w:sz w:val="22"/>
                <w:szCs w:val="24"/>
                <w:lang w:val="en-US"/>
              </w:rPr>
              <w:t xml:space="preserve">”. This status </w:t>
            </w:r>
            <w:r w:rsidR="002F1D56" w:rsidRPr="002F1D56">
              <w:rPr>
                <w:rFonts w:ascii="Times New Roman" w:hAnsi="Times New Roman" w:cs="Times New Roman"/>
                <w:sz w:val="22"/>
                <w:szCs w:val="24"/>
                <w:lang w:val="en-US"/>
              </w:rPr>
              <w:t>refers to cases under examination, so no information is available to confirm or rule out a</w:t>
            </w:r>
            <w:r w:rsidR="002F1D56">
              <w:rPr>
                <w:rFonts w:ascii="Times New Roman" w:hAnsi="Times New Roman" w:cs="Times New Roman"/>
                <w:sz w:val="22"/>
                <w:szCs w:val="24"/>
                <w:lang w:val="en-US"/>
              </w:rPr>
              <w:t xml:space="preserve">n accurate </w:t>
            </w:r>
            <w:r w:rsidR="002F1D56" w:rsidRPr="002F1D56">
              <w:rPr>
                <w:rFonts w:ascii="Times New Roman" w:hAnsi="Times New Roman" w:cs="Times New Roman"/>
                <w:sz w:val="22"/>
                <w:szCs w:val="24"/>
                <w:lang w:val="en-US"/>
              </w:rPr>
              <w:t>diagnosis.</w:t>
            </w:r>
          </w:p>
        </w:tc>
      </w:tr>
      <w:tr w:rsidR="00C637B2" w:rsidRPr="002F1D56" w14:paraId="39F90603" w14:textId="77777777" w:rsidTr="00A607FD">
        <w:trPr>
          <w:trHeight w:val="283"/>
        </w:trPr>
        <w:tc>
          <w:tcPr>
            <w:tcW w:w="0" w:type="auto"/>
            <w:tcMar>
              <w:top w:w="1" w:type="dxa"/>
              <w:left w:w="1" w:type="dxa"/>
              <w:bottom w:w="1" w:type="dxa"/>
              <w:right w:w="1" w:type="dxa"/>
            </w:tcMar>
            <w:vAlign w:val="center"/>
          </w:tcPr>
          <w:p w14:paraId="52A2494D" w14:textId="31C4A0C1"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Daily frequence of primary substance use at admission</w:t>
            </w:r>
          </w:p>
        </w:tc>
        <w:tc>
          <w:tcPr>
            <w:tcW w:w="0" w:type="auto"/>
            <w:tcMar>
              <w:top w:w="1" w:type="dxa"/>
              <w:left w:w="1" w:type="dxa"/>
              <w:bottom w:w="1" w:type="dxa"/>
              <w:right w:w="1" w:type="dxa"/>
            </w:tcMar>
            <w:vAlign w:val="center"/>
          </w:tcPr>
          <w:p w14:paraId="36E2E85D" w14:textId="3CEE7949" w:rsidR="00C637B2" w:rsidRPr="002F1D56" w:rsidRDefault="00C637B2"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Days of use in the last 30 days before treatment of the primary substance at admission. Patients can answer the following: Did not use, less than one day a week, one day a week or more, 2 to 3 days a week, 4 to 6 days a week and Daily. We coded as “Daily” vs. the rest of frequencies. </w:t>
            </w:r>
          </w:p>
        </w:tc>
      </w:tr>
      <w:tr w:rsidR="00C637B2" w:rsidRPr="002F1D56" w14:paraId="207739A2" w14:textId="77777777" w:rsidTr="00A607FD">
        <w:trPr>
          <w:trHeight w:val="283"/>
        </w:trPr>
        <w:tc>
          <w:tcPr>
            <w:tcW w:w="0" w:type="auto"/>
            <w:tcMar>
              <w:top w:w="1" w:type="dxa"/>
              <w:left w:w="1" w:type="dxa"/>
              <w:bottom w:w="1" w:type="dxa"/>
              <w:right w:w="1" w:type="dxa"/>
            </w:tcMar>
            <w:vAlign w:val="center"/>
          </w:tcPr>
          <w:p w14:paraId="2F93A25D" w14:textId="055A9DAA" w:rsidR="00C637B2"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Occupational status</w:t>
            </w:r>
          </w:p>
        </w:tc>
        <w:tc>
          <w:tcPr>
            <w:tcW w:w="0" w:type="auto"/>
            <w:tcMar>
              <w:top w:w="1" w:type="dxa"/>
              <w:left w:w="1" w:type="dxa"/>
              <w:bottom w:w="1" w:type="dxa"/>
              <w:right w:w="1" w:type="dxa"/>
            </w:tcMar>
            <w:vAlign w:val="center"/>
          </w:tcPr>
          <w:p w14:paraId="47A561BC" w14:textId="77777777" w:rsidR="00AD5BED" w:rsidRPr="002F1D56" w:rsidRDefault="00AD5BED"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 xml:space="preserve">Coded from a single question asked whether the respondent worked at least one hour during the last week, excluding care work at home. If the respondent answered affirmatively, they were coded as “employed.” If the respondent answered negatively, their responses were categorized as follows: </w:t>
            </w:r>
          </w:p>
          <w:p w14:paraId="30D19D6B" w14:textId="77777777" w:rsidR="00AD5BED"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Unemployed </w:t>
            </w:r>
            <w:r w:rsidRPr="002F1D56">
              <w:rPr>
                <w:rFonts w:ascii="Times New Roman" w:hAnsi="Times New Roman" w:cs="Times New Roman"/>
                <w:sz w:val="22"/>
                <w:szCs w:val="24"/>
                <w:lang w:val="en-US"/>
              </w:rPr>
              <w:t>for those who actively looking but unable to find work or reported being first-time job seekers.</w:t>
            </w:r>
          </w:p>
          <w:p w14:paraId="4DC883DB" w14:textId="44B32A86" w:rsidR="00C637B2" w:rsidRPr="002F1D56" w:rsidRDefault="00AD5BED" w:rsidP="002F1D56">
            <w:pPr>
              <w:pStyle w:val="Prrafodelista"/>
              <w:numPr>
                <w:ilvl w:val="0"/>
                <w:numId w:val="3"/>
              </w:numPr>
              <w:spacing w:after="0"/>
              <w:ind w:right="-2"/>
              <w:jc w:val="left"/>
              <w:rPr>
                <w:rFonts w:ascii="Times New Roman" w:hAnsi="Times New Roman" w:cs="Times New Roman"/>
                <w:sz w:val="22"/>
                <w:szCs w:val="24"/>
                <w:lang w:val="en-US"/>
              </w:rPr>
            </w:pPr>
            <w:r w:rsidRPr="002F1D56">
              <w:rPr>
                <w:rFonts w:ascii="Times New Roman" w:hAnsi="Times New Roman" w:cs="Times New Roman"/>
                <w:b/>
                <w:bCs/>
                <w:sz w:val="22"/>
                <w:szCs w:val="24"/>
                <w:lang w:val="en-US"/>
              </w:rPr>
              <w:t xml:space="preserve">Inactive </w:t>
            </w:r>
            <w:r w:rsidRPr="002F1D56">
              <w:rPr>
                <w:rFonts w:ascii="Times New Roman" w:hAnsi="Times New Roman" w:cs="Times New Roman"/>
                <w:sz w:val="22"/>
                <w:szCs w:val="24"/>
                <w:lang w:val="en-US"/>
              </w:rPr>
              <w:t>or without any activity: This includes individuals studying but not working, permanently unable to work, pensioned or retired but not working, rentiers receiving income from properties or investments, those engaged in household chores, not seeking work, or other specified reasons.</w:t>
            </w:r>
          </w:p>
        </w:tc>
      </w:tr>
      <w:tr w:rsidR="00C637B2" w:rsidRPr="002F1D56" w14:paraId="228AEA2B" w14:textId="77777777" w:rsidTr="00A607FD">
        <w:trPr>
          <w:trHeight w:val="283"/>
        </w:trPr>
        <w:tc>
          <w:tcPr>
            <w:tcW w:w="0" w:type="auto"/>
            <w:tcBorders>
              <w:bottom w:val="single" w:sz="4" w:space="0" w:color="auto"/>
            </w:tcBorders>
            <w:tcMar>
              <w:top w:w="1" w:type="dxa"/>
              <w:left w:w="1" w:type="dxa"/>
              <w:bottom w:w="1" w:type="dxa"/>
              <w:right w:w="1" w:type="dxa"/>
            </w:tcMar>
            <w:vAlign w:val="center"/>
            <w:hideMark/>
          </w:tcPr>
          <w:p w14:paraId="6C18C38C" w14:textId="4A60DEAE" w:rsidR="00410678" w:rsidRPr="002F1D56" w:rsidRDefault="00C637B2" w:rsidP="002F1D56">
            <w:pPr>
              <w:spacing w:after="0"/>
              <w:ind w:right="-2"/>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lastRenderedPageBreak/>
              <w:t>Primary substance at admission to treatment</w:t>
            </w:r>
          </w:p>
        </w:tc>
        <w:tc>
          <w:tcPr>
            <w:tcW w:w="0" w:type="auto"/>
            <w:tcBorders>
              <w:bottom w:val="single" w:sz="4" w:space="0" w:color="auto"/>
            </w:tcBorders>
            <w:tcMar>
              <w:top w:w="1" w:type="dxa"/>
              <w:left w:w="1" w:type="dxa"/>
              <w:bottom w:w="1" w:type="dxa"/>
              <w:right w:w="1" w:type="dxa"/>
            </w:tcMar>
            <w:vAlign w:val="center"/>
            <w:hideMark/>
          </w:tcPr>
          <w:p w14:paraId="0D12BA8A" w14:textId="77777777" w:rsidR="00410678" w:rsidRPr="002F1D56" w:rsidRDefault="00410678" w:rsidP="002F1D56">
            <w:pPr>
              <w:spacing w:after="0"/>
              <w:ind w:left="77" w:right="-2" w:hanging="33"/>
              <w:jc w:val="left"/>
              <w:rPr>
                <w:rFonts w:ascii="Times New Roman" w:hAnsi="Times New Roman" w:cs="Times New Roman"/>
                <w:sz w:val="22"/>
                <w:szCs w:val="24"/>
                <w:lang w:val="en-US"/>
              </w:rPr>
            </w:pPr>
            <w:r w:rsidRPr="002F1D56">
              <w:rPr>
                <w:rFonts w:ascii="Times New Roman" w:hAnsi="Times New Roman" w:cs="Times New Roman"/>
                <w:sz w:val="22"/>
                <w:szCs w:val="24"/>
                <w:lang w:val="en-US"/>
              </w:rPr>
              <w:t>Identified and defined by the patient as the substance that motivates the consultation and admission, being the substance of greatest concern.</w:t>
            </w:r>
          </w:p>
        </w:tc>
      </w:tr>
    </w:tbl>
    <w:p w14:paraId="35456ED9" w14:textId="0B678020" w:rsidR="00410678" w:rsidRPr="0065310D" w:rsidRDefault="00410678" w:rsidP="00AD5BED">
      <w:pPr>
        <w:tabs>
          <w:tab w:val="left" w:pos="567"/>
        </w:tabs>
        <w:ind w:right="-2" w:firstLine="567"/>
        <w:rPr>
          <w:rFonts w:ascii="Times New Roman" w:hAnsi="Times New Roman" w:cs="Times New Roman"/>
          <w:lang w:val="en-US"/>
        </w:rPr>
      </w:pPr>
      <w:r w:rsidRPr="0065310D">
        <w:rPr>
          <w:rFonts w:ascii="Times New Roman" w:hAnsi="Times New Roman" w:cs="Times New Roman"/>
          <w:lang w:val="en-US"/>
        </w:rPr>
        <w:t>Note. We consider the value of all covariates at the first treatment completed or not</w:t>
      </w:r>
      <w:r w:rsidR="00AD5BED" w:rsidRPr="0065310D">
        <w:rPr>
          <w:rFonts w:ascii="Times New Roman" w:hAnsi="Times New Roman" w:cs="Times New Roman"/>
          <w:lang w:val="en-US"/>
        </w:rPr>
        <w:t>.</w:t>
      </w:r>
    </w:p>
    <w:p w14:paraId="2B7BFE5F" w14:textId="3564461C" w:rsidR="00410678" w:rsidRDefault="00410678" w:rsidP="002264FE">
      <w:pPr>
        <w:pStyle w:val="Ttulo2"/>
        <w:rPr>
          <w:lang w:val="en-US"/>
        </w:rPr>
      </w:pPr>
      <w:r w:rsidRPr="002F1D56">
        <w:rPr>
          <w:lang w:val="en-US"/>
        </w:rPr>
        <w:t xml:space="preserve">Supplemental Section </w:t>
      </w:r>
      <w:r w:rsidR="00745DF7" w:rsidRPr="002F1D56">
        <w:rPr>
          <w:lang w:val="en-US"/>
        </w:rPr>
        <w:t>2</w:t>
      </w:r>
      <w:r w:rsidRPr="002F1D56">
        <w:rPr>
          <w:lang w:val="en-US"/>
        </w:rPr>
        <w:t xml:space="preserve">. </w:t>
      </w:r>
      <w:r w:rsidR="000D7704">
        <w:rPr>
          <w:lang w:val="en-US"/>
        </w:rPr>
        <w:t>Exploring data structure</w:t>
      </w:r>
      <w:r w:rsidR="0065310D">
        <w:rPr>
          <w:lang w:val="en-US"/>
        </w:rPr>
        <w:t xml:space="preserve"> and regularity of repeated observations</w:t>
      </w:r>
    </w:p>
    <w:p w14:paraId="028604A5" w14:textId="77777777" w:rsidR="000D7704" w:rsidRDefault="000D7704" w:rsidP="000D7704">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t>The degree of irregularity of assessment times (times in which reported PSU was measured), in this case, in admission processes, is measured through the area under the curve (AUC) and log-transformed area under the curve. To inspect the degree of visit irregularity, the entire follow-up period was divided into adjacent and equally sized timeframes, and the number of bins changed. The AUC was obtained by plotting the mean proportions of individuals with 0 visits per bin against the mean proportions of individuals with &gt; 1 visit per bin. AUC was log-transformed for better interpretation, in which 100 is very irregular, and 0 is equivalent to a repeated measures design (</w:t>
      </w:r>
      <w:commentRangeStart w:id="3"/>
      <w:r w:rsidRPr="000D7704">
        <w:rPr>
          <w:rFonts w:ascii="Times New Roman" w:hAnsi="Times New Roman" w:cs="Times New Roman"/>
          <w:sz w:val="24"/>
          <w:szCs w:val="28"/>
          <w:lang w:val="en-US"/>
        </w:rPr>
        <w:t>Lokku</w:t>
      </w:r>
      <w:commentRangeEnd w:id="3"/>
      <w:r>
        <w:rPr>
          <w:rStyle w:val="Refdecomentario"/>
          <w:rFonts w:ascii="Times New Roman" w:eastAsia="Times New Roman" w:hAnsi="Times New Roman" w:cs="Times New Roman"/>
          <w:lang w:val="es-CL" w:eastAsia="es-ES_tradnl"/>
        </w:rPr>
        <w:commentReference w:id="3"/>
      </w:r>
      <w:r w:rsidRPr="000D7704">
        <w:rPr>
          <w:rFonts w:ascii="Times New Roman" w:hAnsi="Times New Roman" w:cs="Times New Roman"/>
          <w:sz w:val="24"/>
          <w:szCs w:val="28"/>
          <w:lang w:val="en-US"/>
        </w:rPr>
        <w:t xml:space="preserve"> et al., 2020).</w:t>
      </w:r>
      <w:r>
        <w:rPr>
          <w:rFonts w:ascii="Times New Roman" w:hAnsi="Times New Roman" w:cs="Times New Roman"/>
          <w:sz w:val="24"/>
          <w:szCs w:val="28"/>
          <w:lang w:val="en-US"/>
        </w:rPr>
        <w:t xml:space="preserve"> </w:t>
      </w:r>
    </w:p>
    <w:p w14:paraId="723E200D" w14:textId="31AFB88E" w:rsidR="000D7704" w:rsidRPr="000D7704" w:rsidRDefault="000D7704" w:rsidP="000D7704">
      <w:pPr>
        <w:spacing w:after="0" w:line="240" w:lineRule="auto"/>
        <w:ind w:left="720"/>
        <w:jc w:val="left"/>
        <w:rPr>
          <w:rFonts w:ascii="Times New Roman" w:hAnsi="Times New Roman" w:cs="Times New Roman"/>
          <w:b/>
          <w:bCs/>
          <w:sz w:val="24"/>
          <w:szCs w:val="28"/>
          <w:shd w:val="clear" w:color="auto" w:fill="FFFFFF"/>
        </w:rPr>
      </w:pPr>
      <w:r w:rsidRPr="000D7704">
        <w:rPr>
          <w:rFonts w:ascii="Times New Roman" w:hAnsi="Times New Roman" w:cs="Times New Roman"/>
          <w:b/>
          <w:bCs/>
          <w:sz w:val="24"/>
          <w:szCs w:val="28"/>
          <w:shd w:val="clear" w:color="auto" w:fill="FFFFFF"/>
        </w:rPr>
        <w:t xml:space="preserve">Figure 2. Mean proportions of patients with 0,1, and &gt;1 admissions per bin as bin width varies from 1 to 50% of the gap between </w:t>
      </w:r>
      <w:r w:rsidR="001C5629">
        <w:rPr>
          <w:rFonts w:ascii="Times New Roman" w:hAnsi="Times New Roman" w:cs="Times New Roman"/>
          <w:b/>
          <w:bCs/>
          <w:sz w:val="24"/>
          <w:szCs w:val="28"/>
          <w:shd w:val="clear" w:color="auto" w:fill="FFFFFF"/>
        </w:rPr>
        <w:t>visits</w:t>
      </w:r>
      <w:r w:rsidRPr="000D7704">
        <w:rPr>
          <w:rFonts w:ascii="Times New Roman" w:hAnsi="Times New Roman" w:cs="Times New Roman"/>
          <w:b/>
          <w:bCs/>
          <w:sz w:val="24"/>
          <w:szCs w:val="28"/>
          <w:shd w:val="clear" w:color="auto" w:fill="FFFFFF"/>
        </w:rPr>
        <w:t>.</w:t>
      </w:r>
    </w:p>
    <w:p w14:paraId="54607926" w14:textId="77777777" w:rsidR="000D7704" w:rsidRPr="00B50D35" w:rsidRDefault="000D7704" w:rsidP="000D7704">
      <w:pPr>
        <w:spacing w:after="0" w:line="240" w:lineRule="auto"/>
        <w:jc w:val="center"/>
        <w:rPr>
          <w:rFonts w:ascii="Times New Roman" w:eastAsia="Times New Roman" w:hAnsi="Times New Roman" w:cs="Times New Roman"/>
          <w:sz w:val="24"/>
          <w:szCs w:val="24"/>
          <w:lang w:val="es-CL" w:eastAsia="es-CL"/>
        </w:rPr>
      </w:pPr>
      <w:r w:rsidRPr="00B50D35">
        <w:rPr>
          <w:rFonts w:ascii="Times New Roman" w:eastAsia="Times New Roman" w:hAnsi="Times New Roman" w:cs="Times New Roman"/>
          <w:noProof/>
          <w:sz w:val="24"/>
          <w:szCs w:val="24"/>
          <w:lang w:val="es-CL" w:eastAsia="es-CL"/>
        </w:rPr>
        <w:drawing>
          <wp:inline distT="0" distB="0" distL="0" distR="0" wp14:anchorId="73587770" wp14:editId="21C34A24">
            <wp:extent cx="4249752" cy="2638425"/>
            <wp:effectExtent l="0" t="0" r="0" b="0"/>
            <wp:docPr id="181828396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83969" name="Imagen 1" descr="Imagen que contiene Diagrama&#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39"/>
                    <a:stretch/>
                  </pic:blipFill>
                  <pic:spPr bwMode="auto">
                    <a:xfrm>
                      <a:off x="0" y="0"/>
                      <a:ext cx="4255010" cy="2641690"/>
                    </a:xfrm>
                    <a:prstGeom prst="rect">
                      <a:avLst/>
                    </a:prstGeom>
                    <a:noFill/>
                    <a:ln>
                      <a:noFill/>
                    </a:ln>
                    <a:extLst>
                      <a:ext uri="{53640926-AAD7-44D8-BBD7-CCE9431645EC}">
                        <a14:shadowObscured xmlns:a14="http://schemas.microsoft.com/office/drawing/2010/main"/>
                      </a:ext>
                    </a:extLst>
                  </pic:spPr>
                </pic:pic>
              </a:graphicData>
            </a:graphic>
          </wp:inline>
        </w:drawing>
      </w:r>
    </w:p>
    <w:p w14:paraId="7948A064" w14:textId="14148C56" w:rsidR="000D7704" w:rsidRDefault="000D7704" w:rsidP="0065310D">
      <w:pPr>
        <w:ind w:left="709" w:right="-2"/>
        <w:rPr>
          <w:rFonts w:ascii="Times New Roman" w:hAnsi="Times New Roman" w:cs="Times New Roman"/>
          <w:shd w:val="clear" w:color="auto" w:fill="FFFFFF"/>
        </w:rPr>
      </w:pPr>
      <w:r w:rsidRPr="00B50D35">
        <w:rPr>
          <w:rFonts w:ascii="Times New Roman" w:hAnsi="Times New Roman" w:cs="Times New Roman"/>
          <w:shd w:val="clear" w:color="auto" w:fill="FFFFFF"/>
        </w:rPr>
        <w:t>Note. Modified= Time in months from the first admission, and formatted to avoid overlapping between treatments, complete cases; Modified (imputation)= Time in months from the first admission, and formatted to avoid overlapping between treatments, imputed missing values; Original calendar= Formatted in calendar date, no further format.</w:t>
      </w:r>
    </w:p>
    <w:p w14:paraId="6AED320B" w14:textId="047E9483" w:rsidR="0065310D" w:rsidRPr="0065310D" w:rsidRDefault="0065310D" w:rsidP="0065310D">
      <w:pPr>
        <w:ind w:right="-2" w:firstLine="709"/>
        <w:rPr>
          <w:rFonts w:ascii="Times New Roman" w:hAnsi="Times New Roman" w:cs="Times New Roman"/>
          <w:sz w:val="24"/>
          <w:szCs w:val="28"/>
          <w:lang w:val="en-US"/>
        </w:rPr>
      </w:pPr>
      <w:r w:rsidRPr="000D7704">
        <w:rPr>
          <w:rFonts w:ascii="Times New Roman" w:hAnsi="Times New Roman" w:cs="Times New Roman"/>
          <w:sz w:val="24"/>
          <w:szCs w:val="28"/>
          <w:lang w:val="en-US"/>
        </w:rPr>
        <w:lastRenderedPageBreak/>
        <w:t xml:space="preserve">According to Figure 2, when considering a bin width of 2% of the gap between treatments, the proportion of patients with two or more admissions was 0.33, decreasing to a proportion of 0.04 when considering a bin width of 6%. An AUC of 0.21 (log-transformed= 80) suggest there is likely a counting process behind visits rather than perfectly repeated and thus regular measures. Therefore, it seems reasonable to conduct an analysis to measure the association between reported PSU and </w:t>
      </w:r>
      <w:r w:rsidR="001C5629">
        <w:rPr>
          <w:rFonts w:ascii="Times New Roman" w:hAnsi="Times New Roman" w:cs="Times New Roman"/>
          <w:sz w:val="24"/>
          <w:szCs w:val="28"/>
          <w:lang w:val="en-US"/>
        </w:rPr>
        <w:t>non-completion statuses</w:t>
      </w:r>
      <w:r w:rsidRPr="000D7704">
        <w:rPr>
          <w:rFonts w:ascii="Times New Roman" w:hAnsi="Times New Roman" w:cs="Times New Roman"/>
          <w:sz w:val="24"/>
          <w:szCs w:val="28"/>
          <w:lang w:val="en-US"/>
        </w:rPr>
        <w:t xml:space="preserve"> that considers irregularity in observations and an extent of informative assessment times, conditional on several covariates, including past observed outcomes, past assessment history, and baseline covariates.</w:t>
      </w:r>
    </w:p>
    <w:p w14:paraId="56260091" w14:textId="5D16CA3F" w:rsidR="000D7704" w:rsidRPr="002F1D56" w:rsidRDefault="000D7704" w:rsidP="002264FE">
      <w:pPr>
        <w:pStyle w:val="Ttulo2"/>
        <w:rPr>
          <w:lang w:val="en-US"/>
        </w:rPr>
      </w:pPr>
      <w:r w:rsidRPr="002F1D56">
        <w:rPr>
          <w:lang w:val="en-US"/>
        </w:rPr>
        <w:t xml:space="preserve">Supplemental Section </w:t>
      </w:r>
      <w:r>
        <w:rPr>
          <w:lang w:val="en-US"/>
        </w:rPr>
        <w:t>3</w:t>
      </w:r>
      <w:r w:rsidRPr="002F1D56">
        <w:rPr>
          <w:lang w:val="en-US"/>
        </w:rPr>
        <w:t>. Counting process and alternative weighting schemes</w:t>
      </w:r>
    </w:p>
    <w:p w14:paraId="3281C123" w14:textId="2E200E36" w:rsidR="008B6CB8" w:rsidRDefault="008B6CB8" w:rsidP="000D7704">
      <w:pPr>
        <w:ind w:right="-2" w:firstLine="709"/>
        <w:rPr>
          <w:rFonts w:ascii="Times New Roman" w:hAnsi="Times New Roman" w:cs="Times New Roman"/>
          <w:sz w:val="24"/>
          <w:szCs w:val="28"/>
          <w:lang w:val="en-US"/>
        </w:rPr>
      </w:pPr>
      <w:r w:rsidRPr="008B6CB8">
        <w:rPr>
          <w:rFonts w:ascii="Times New Roman" w:hAnsi="Times New Roman" w:cs="Times New Roman"/>
          <w:sz w:val="24"/>
          <w:szCs w:val="28"/>
          <w:lang w:val="en-US"/>
        </w:rPr>
        <w:t xml:space="preserve">Models such as marginal structural models, g-computation and targeted maximum likelihood estimation assume that observation times and gaps between them are not informative of the outcome of interest (Pullenayegum et </w:t>
      </w:r>
      <w:commentRangeStart w:id="4"/>
      <w:r w:rsidRPr="008B6CB8">
        <w:rPr>
          <w:rFonts w:ascii="Times New Roman" w:hAnsi="Times New Roman" w:cs="Times New Roman"/>
          <w:sz w:val="24"/>
          <w:szCs w:val="28"/>
          <w:lang w:val="en-US"/>
        </w:rPr>
        <w:t>al</w:t>
      </w:r>
      <w:commentRangeEnd w:id="4"/>
      <w:r>
        <w:rPr>
          <w:rStyle w:val="Refdecomentario"/>
          <w:rFonts w:ascii="Times New Roman" w:eastAsia="Times New Roman" w:hAnsi="Times New Roman" w:cs="Times New Roman"/>
          <w:lang w:val="es-CL" w:eastAsia="es-ES_tradnl"/>
        </w:rPr>
        <w:commentReference w:id="4"/>
      </w:r>
      <w:r w:rsidRPr="008B6CB8">
        <w:rPr>
          <w:rFonts w:ascii="Times New Roman" w:hAnsi="Times New Roman" w:cs="Times New Roman"/>
          <w:sz w:val="24"/>
          <w:szCs w:val="28"/>
          <w:lang w:val="en-US"/>
        </w:rPr>
        <w:t xml:space="preserve">., 2023). The models adjust for the mentioned confounding variables. The study sample is based on a pseudo population in which the counting process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(i.e., subsequent SUD treatment episodes and times between them) is static, hence, completely at random and ignorable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Y</m:t>
            </m:r>
          </m:e>
          <m:sub>
            <m:r>
              <w:rPr>
                <w:rFonts w:ascii="Cambria Math" w:hAnsi="Cambria Math" w:cs="Times New Roman"/>
                <w:sz w:val="24"/>
                <w:szCs w:val="28"/>
                <w:lang w:val="en-US"/>
              </w:rPr>
              <m:t>i</m:t>
            </m:r>
          </m:sub>
        </m:sSub>
        <m:acc>
          <m:accPr>
            <m:chr m:val="̇"/>
            <m:ctrlPr>
              <w:rPr>
                <w:rFonts w:ascii="Cambria Math" w:hAnsi="Cambria Math" w:cs="Times New Roman"/>
                <w:i/>
                <w:sz w:val="24"/>
                <w:szCs w:val="28"/>
                <w:lang w:val="en-US"/>
              </w:rPr>
            </m:ctrlPr>
          </m:accPr>
          <m:e>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e>
        </m:acc>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N</m:t>
            </m:r>
          </m:e>
          <m:sub>
            <m:r>
              <w:rPr>
                <w:rFonts w:ascii="Cambria Math" w:hAnsi="Cambria Math" w:cs="Times New Roman"/>
                <w:sz w:val="24"/>
                <w:szCs w:val="28"/>
                <w:lang w:val="en-US"/>
              </w:rPr>
              <m:t>i</m:t>
            </m:r>
          </m:sub>
        </m:sSub>
        <m:r>
          <w:rPr>
            <w:rFonts w:ascii="Cambria Math" w:hAnsi="Cambria Math" w:cs="Times New Roman"/>
            <w:sz w:val="24"/>
            <w:szCs w:val="28"/>
            <w:lang w:val="en-US"/>
          </w:rPr>
          <m:t>(t)|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{"citationID":"HAa6jwqw","properties":{"formattedCitation":"(Carrero et al., 2023)","plainCitation":"(Carrero et al., 2023)","noteIndex":0},"citationItems":[{"id":439,"uris":["http://zotero.org/users/12673371/items/BC758DZY"],"itemData":{"id":439,"type":"article-journal","abstract":"The availability of electronic health records and access to a large number of routine measurements of serum creatinine and urinary albumin enhance the possibilities for epidemiologic research in kidney disease. However, the frequency of health care use and laboratory testing is determined by health status and indication, imposing certain challenges when identifying patients with kidney injury or disease, when using markers of kidney function as covariates, or when evaluating kidney outcomes. Depending on the specific research question, this may influence the interpretation, generalizability, and/or validity of study results. This review illustrates the heterogeneity of working definitions of kidney disease in the scientific literature and discusses advantages and limitations of the most commonly used approaches using 3 examples. We summarize ways to identify and overcome possible biases and conclude by proposing a framework for reporting definitions of exposures and outcomes in studies of kidney disease using routinely collected health care data.","container-title":"Kidney International","DOI":"10.1016/j.kint.2022.09.020","ISSN":"0085-2538","issue":"1","journalAbbreviation":"Kidney International","page":"53-69","source":"ScienceDirect","title":"Defining measures of kidney function in observational studies using routine health care data: methodological and reporting considerations","title-short":"Defining measures of kidney function in observational studies using routine health care data","volume":"103","author":[{"family":"Carrero","given":"Juan Jesus"},{"family":"Fu","given":"Edouard L."},{"family":"Vestergaard","given":"Søren V."},{"family":"Jensen","given":"Simon Kok"},{"family":"Gasparini","given":"Alessandro"},{"family":"Mahalingasivam","given":"Viyaasan"},{"family":"Bell","given":"Samira"},{"family":"Birn","given":"Henrik"},{"family":"Heide-Jørgensen","given":"Uffe"},{"family":"Clase","given":"Catherine M."},{"family":"Cleary","given":"Faye"},{"family":"Coresh","given":"Josef"},{"family":"Dekker","given":"Friedo W."},{"family":"Gansevoort","given":"Ron T."},{"family":"Hemmelgarn","given":"Brenda R."},{"family":"Jager","given":"Kitty J."},{"family":"Jafar","given":"Tazeen H."},{"family":"Kovesdy","given":"Csaba P."},{"family":"Sood","given":"Manish M."},{"family":"Stengel","given":"Bénédicte"},{"family":"Christiansen","given":"Christian F."},{"family":"Iwagami","given":"Masao"},{"family":"Nitsch","given":"Dorothea"}],"issued":{"date-parts":[["2023",1,1]]}}}],"schema":"https://github.com/citation-style-language/schema/raw/master/csl-citation.json"}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(Carrero et al., 2023)</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based on generalized estimating equations and inverse probability weights given previously observed data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fldChar w:fldCharType="begin"/>
      </w:r>
      <w:r w:rsidRPr="008B6CB8">
        <w:rPr>
          <w:rFonts w:ascii="Times New Roman" w:hAnsi="Times New Roman" w:cs="Times New Roman"/>
          <w:sz w:val="24"/>
          <w:szCs w:val="28"/>
          <w:lang w:val="en-US"/>
        </w:rPr>
        <w:instrText xml:space="preserve"> ADDIN ZOTERO_ITEM CSL_CITATION {"citationID":"9zR2n1tU","properties":{"formattedCitation":"(Cole &amp; Hern\\uc0\\u225{}n, 2008)","plainCitation":"(Cole &amp; Hernán, 2008)","noteIndex":0},"citationItems":[{"id":444,"uris":["http://zotero.org/users/12673371/items/6WHFR4FX"],"itemData":{"id":444,"type":"article-journal","abstract":"The method of inverse probability weighting (henceforth, weighting) can be used to adjust for measured confounding and selection bias under the four assumptions of consistency, exchangeability, positivity, and no misspecification of the model used to estimate weights. In recent years, several published estimates of the effect of time-varying exposures have been based on weighted estimation of the parameters of marginal structural models because, unlike standard statistical methods, weighting can appropriately adjust for measured time-varying confounders affected by prior exposure. As an example, the authors describe the last three assumptions using the change in viral load due to initiation of antiretroviral therapy among 918 human immunodeficiency virus-infected US men and women followed for a median of 5.8 years between 1996 and 2005. The authors describe possible tradeoffs that an epidemiologist may encounter when attempting to make inferences. For instance, a tradeoff between bias and precision is illustrated as a function of the extent to which confounding is controlled. Weight truncation is presented as an informal and easily implemented method to deal with these tradeoffs. Inverse probability weighting provides a powerful methodological tool that may uncover causal effects of exposures that are otherwise obscured. However, as with all methods, diagnostics and sensitivity analyses are essential for proper use.","container-title":"American Journal of Epidemiology","DOI":"10.1093/aje/kwn164","ISSN":"0002-9262","issue":"6","journalAbbreviation":"American Journal of Epidemiology","page":"656-664","source":"Silverchair","title":"Constructing Inverse Probability Weights for Marginal Structural Models","volume":"168","author":[{"family":"Cole","given":"Stephen R."},{"family":"Hernán","given":"Miguel A."}],"issued":{"date-parts":[["2008",9,15]]}}}],"schema":"https://github.com/citation-style-language/schema/raw/master/csl-citation.json"} </w:instrText>
      </w:r>
      <w:r w:rsidRPr="008B6CB8">
        <w:rPr>
          <w:rFonts w:ascii="Times New Roman" w:hAnsi="Times New Roman" w:cs="Times New Roman"/>
          <w:sz w:val="24"/>
          <w:szCs w:val="28"/>
          <w:lang w:val="en-US"/>
        </w:rPr>
        <w:fldChar w:fldCharType="separate"/>
      </w:r>
      <w:r w:rsidRPr="008B6CB8">
        <w:rPr>
          <w:rFonts w:ascii="Times New Roman" w:hAnsi="Times New Roman" w:cs="Times New Roman"/>
          <w:sz w:val="24"/>
          <w:szCs w:val="28"/>
        </w:rPr>
        <w:t>(Cole &amp; Hernán, 2008)</w:t>
      </w:r>
      <w:r w:rsidRPr="008B6CB8">
        <w:rPr>
          <w:rFonts w:ascii="Times New Roman" w:hAnsi="Times New Roman" w:cs="Times New Roman"/>
          <w:sz w:val="24"/>
          <w:szCs w:val="28"/>
          <w:lang w:val="en-US"/>
        </w:rPr>
        <w:fldChar w:fldCharType="end"/>
      </w:r>
      <w:r w:rsidRPr="008B6CB8">
        <w:rPr>
          <w:rFonts w:ascii="Times New Roman" w:hAnsi="Times New Roman" w:cs="Times New Roman"/>
          <w:sz w:val="24"/>
          <w:szCs w:val="28"/>
          <w:lang w:val="en-US"/>
        </w:rPr>
        <w:t xml:space="preserve">. We obtained these stabilized weights from a proportional intensity model in which we adjusted for baseline covariates, previous treatment outcomes, and previous polysubstance use (if any). The weights are represented through a proportional intensity model as: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w</m:t>
                </m:r>
              </m:e>
            </m:acc>
          </m:e>
          <m:sub>
            <m:r>
              <w:rPr>
                <w:rFonts w:ascii="Cambria Math" w:hAnsi="Cambria Math" w:cs="Times New Roman"/>
                <w:sz w:val="24"/>
                <w:szCs w:val="28"/>
                <w:lang w:val="en-US"/>
              </w:rPr>
              <m:t>l</m:t>
            </m:r>
          </m:sub>
        </m:sSub>
        <m:r>
          <w:rPr>
            <w:rFonts w:ascii="Cambria Math" w:hAnsi="Cambria Math" w:cs="Times New Roman"/>
            <w:sz w:val="24"/>
            <w:szCs w:val="28"/>
            <w:lang w:val="en-US"/>
          </w:rPr>
          <m:t xml:space="preserve"> (t)</m:t>
        </m:r>
        <m:f>
          <m:fPr>
            <m:ctrlPr>
              <w:rPr>
                <w:rFonts w:ascii="Cambria Math" w:hAnsi="Cambria Math" w:cs="Times New Roman"/>
                <w:i/>
                <w:sz w:val="24"/>
                <w:szCs w:val="28"/>
                <w:lang w:val="en-US"/>
              </w:rPr>
            </m:ctrlPr>
          </m:fPr>
          <m:num>
            <m:r>
              <m:rPr>
                <m:sty m:val="p"/>
              </m:rPr>
              <w:rPr>
                <w:rFonts w:ascii="Cambria Math" w:hAnsi="Cambria Math" w:cs="Times New Roman"/>
                <w:sz w:val="24"/>
                <w:szCs w:val="28"/>
                <w:lang w:val="en-US"/>
              </w:rPr>
              <m:t>exp⁡</m:t>
            </m:r>
            <m:r>
              <w:rPr>
                <w:rFonts w:ascii="Cambria Math" w:hAnsi="Cambria Math" w:cs="Times New Roman"/>
                <w:sz w:val="24"/>
                <w:szCs w:val="28"/>
                <w:lang w:val="en-US"/>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r>
              <w:rPr>
                <w:rFonts w:ascii="Cambria Math" w:hAnsi="Cambria Math" w:cs="Times New Roman"/>
                <w:sz w:val="24"/>
                <w:szCs w:val="28"/>
                <w:lang w:val="en-US"/>
              </w:rPr>
              <m:t>)</m:t>
            </m:r>
          </m:num>
          <m:den>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den>
        </m:f>
      </m:oMath>
      <w:r w:rsidRPr="008B6CB8">
        <w:rPr>
          <w:rFonts w:ascii="Times New Roman" w:hAnsi="Times New Roman" w:cs="Times New Roman"/>
          <w:sz w:val="24"/>
          <w:szCs w:val="28"/>
          <w:lang w:val="en-US"/>
        </w:rPr>
        <w:t xml:space="preserve">, where </w:t>
      </w:r>
      <m:oMath>
        <m:sSub>
          <m:sSubPr>
            <m:ctrlPr>
              <w:rPr>
                <w:rFonts w:ascii="Cambria Math" w:hAnsi="Cambria Math" w:cs="Times New Roman"/>
                <w:i/>
                <w:sz w:val="24"/>
                <w:szCs w:val="28"/>
                <w:lang w:val="en-US"/>
              </w:rPr>
            </m:ctrlPr>
          </m:sSubPr>
          <m:e>
            <m:r>
              <w:rPr>
                <w:rFonts w:ascii="Cambria Math" w:hAnsi="Cambria Math" w:cs="Times New Roman"/>
                <w:sz w:val="24"/>
                <w:szCs w:val="28"/>
                <w:lang w:val="en-US"/>
              </w:rPr>
              <m:t>Z</m:t>
            </m:r>
          </m:e>
          <m:sub>
            <m:r>
              <w:rPr>
                <w:rFonts w:ascii="Cambria Math" w:hAnsi="Cambria Math" w:cs="Times New Roman"/>
                <w:sz w:val="24"/>
                <w:szCs w:val="28"/>
                <w:lang w:val="en-US"/>
              </w:rPr>
              <m:t>i</m:t>
            </m:r>
          </m:sub>
        </m:sSub>
        <m:d>
          <m:dPr>
            <m:ctrlPr>
              <w:rPr>
                <w:rFonts w:ascii="Cambria Math" w:hAnsi="Cambria Math" w:cs="Times New Roman"/>
                <w:i/>
                <w:sz w:val="24"/>
                <w:szCs w:val="28"/>
                <w:lang w:val="en-US"/>
              </w:rPr>
            </m:ctrlPr>
          </m:dPr>
          <m:e>
            <m:r>
              <w:rPr>
                <w:rFonts w:ascii="Cambria Math" w:hAnsi="Cambria Math" w:cs="Times New Roman"/>
                <w:sz w:val="24"/>
                <w:szCs w:val="28"/>
                <w:lang w:val="en-US"/>
              </w:rPr>
              <m:t>t</m:t>
            </m:r>
          </m:e>
        </m:d>
      </m:oMath>
      <w:r w:rsidRPr="008B6CB8">
        <w:rPr>
          <w:rFonts w:ascii="Times New Roman" w:hAnsi="Times New Roman" w:cs="Times New Roman"/>
          <w:sz w:val="24"/>
          <w:szCs w:val="28"/>
          <w:lang w:val="en-US"/>
        </w:rPr>
        <w:t xml:space="preserve"> is a vector of covariates before </w:t>
      </w:r>
      <m:oMath>
        <m:r>
          <w:rPr>
            <w:rFonts w:ascii="Cambria Math" w:hAnsi="Cambria Math" w:cs="Times New Roman"/>
            <w:sz w:val="24"/>
            <w:szCs w:val="28"/>
            <w:lang w:val="en-US"/>
          </w:rPr>
          <m:t>t</m:t>
        </m:r>
      </m:oMath>
      <w:r w:rsidRPr="008B6CB8">
        <w:rPr>
          <w:rFonts w:ascii="Times New Roman" w:hAnsi="Times New Roman" w:cs="Times New Roman"/>
          <w:sz w:val="24"/>
          <w:szCs w:val="28"/>
          <w:lang w:val="en-US"/>
        </w:rPr>
        <w:t xml:space="preserve">, </w:t>
      </w:r>
      <m:oMath>
        <m:acc>
          <m:accPr>
            <m:chr m:val="̆"/>
            <m:ctrlPr>
              <w:rPr>
                <w:rFonts w:ascii="Cambria Math" w:hAnsi="Cambria Math" w:cs="Times New Roman"/>
                <w:i/>
                <w:sz w:val="24"/>
                <w:szCs w:val="28"/>
                <w:lang w:val="en-US"/>
              </w:rPr>
            </m:ctrlPr>
          </m:accPr>
          <m:e>
            <m:r>
              <w:rPr>
                <w:rFonts w:ascii="Cambria Math" w:hAnsi="Cambria Math" w:cs="Times New Roman"/>
                <w:sz w:val="24"/>
                <w:szCs w:val="28"/>
                <w:lang w:val="en-US"/>
              </w:rPr>
              <m:t>γ</m:t>
            </m:r>
          </m:e>
        </m:acc>
      </m:oMath>
      <w:r w:rsidRPr="008B6CB8">
        <w:rPr>
          <w:rFonts w:ascii="Times New Roman" w:hAnsi="Times New Roman" w:cs="Times New Roman"/>
          <w:sz w:val="24"/>
          <w:szCs w:val="28"/>
          <w:lang w:val="en-US"/>
        </w:rPr>
        <w:t xml:space="preserve"> is a vector of regression coefficients, and the denominator is </w:t>
      </w:r>
      <m:oMath>
        <m:sSub>
          <m:sSubPr>
            <m:ctrlPr>
              <w:rPr>
                <w:rFonts w:ascii="Cambria Math" w:hAnsi="Cambria Math" w:cs="Times New Roman"/>
                <w:i/>
                <w:sz w:val="24"/>
                <w:szCs w:val="28"/>
                <w:lang w:val="en-US"/>
              </w:rPr>
            </m:ctrlPr>
          </m:sSubPr>
          <m:e>
            <m:acc>
              <m:accPr>
                <m:ctrlPr>
                  <w:rPr>
                    <w:rFonts w:ascii="Cambria Math" w:hAnsi="Cambria Math" w:cs="Times New Roman"/>
                    <w:i/>
                    <w:sz w:val="24"/>
                    <w:szCs w:val="28"/>
                    <w:lang w:val="en-US"/>
                  </w:rPr>
                </m:ctrlPr>
              </m:accPr>
              <m:e>
                <m:r>
                  <w:rPr>
                    <w:rFonts w:ascii="Cambria Math" w:hAnsi="Cambria Math" w:cs="Times New Roman"/>
                    <w:sz w:val="24"/>
                    <w:szCs w:val="28"/>
                    <w:lang w:val="en-US"/>
                  </w:rPr>
                  <m:t>λ</m:t>
                </m:r>
              </m:e>
            </m:acc>
          </m:e>
          <m:sub>
            <m:r>
              <w:rPr>
                <w:rFonts w:ascii="Cambria Math" w:hAnsi="Cambria Math" w:cs="Times New Roman"/>
                <w:sz w:val="24"/>
                <w:szCs w:val="28"/>
                <w:lang w:val="en-US"/>
              </w:rPr>
              <m:t>0</m:t>
            </m:r>
          </m:sub>
        </m:sSub>
        <m:r>
          <w:rPr>
            <w:rFonts w:ascii="Cambria Math" w:hAnsi="Cambria Math" w:cs="Times New Roman"/>
            <w:sz w:val="24"/>
            <w:szCs w:val="28"/>
            <w:lang w:val="en-US"/>
          </w:rPr>
          <m:t>(t)</m:t>
        </m:r>
      </m:oMath>
      <w:r w:rsidRPr="008B6CB8">
        <w:rPr>
          <w:rFonts w:ascii="Times New Roman" w:hAnsi="Times New Roman" w:cs="Times New Roman"/>
          <w:sz w:val="24"/>
          <w:szCs w:val="28"/>
          <w:lang w:val="en-US"/>
        </w:rPr>
        <w:t>, a constant baseline hazard to stabilize weights (Pullenayegum</w:t>
      </w:r>
      <w:r>
        <w:rPr>
          <w:rFonts w:ascii="Times New Roman" w:hAnsi="Times New Roman" w:cs="Times New Roman"/>
          <w:sz w:val="24"/>
          <w:szCs w:val="28"/>
          <w:lang w:val="en-US"/>
        </w:rPr>
        <w:t xml:space="preserve"> et al</w:t>
      </w:r>
      <w:r w:rsidRPr="008B6CB8">
        <w:rPr>
          <w:rFonts w:ascii="Times New Roman" w:hAnsi="Times New Roman" w:cs="Times New Roman"/>
          <w:sz w:val="24"/>
          <w:szCs w:val="28"/>
          <w:lang w:val="en-US"/>
        </w:rPr>
        <w:t xml:space="preserve">, </w:t>
      </w:r>
      <w:commentRangeStart w:id="5"/>
      <w:r w:rsidRPr="008B6CB8">
        <w:rPr>
          <w:rFonts w:ascii="Times New Roman" w:hAnsi="Times New Roman" w:cs="Times New Roman"/>
          <w:sz w:val="24"/>
          <w:szCs w:val="28"/>
          <w:lang w:val="en-US"/>
        </w:rPr>
        <w:t>2022</w:t>
      </w:r>
      <w:commentRangeEnd w:id="5"/>
      <w:r>
        <w:rPr>
          <w:rStyle w:val="Refdecomentario"/>
          <w:rFonts w:ascii="Times New Roman" w:eastAsia="Times New Roman" w:hAnsi="Times New Roman" w:cs="Times New Roman"/>
          <w:lang w:val="es-CL" w:eastAsia="es-ES_tradnl"/>
        </w:rPr>
        <w:commentReference w:id="5"/>
      </w:r>
      <w:r w:rsidRPr="008B6CB8">
        <w:rPr>
          <w:rFonts w:ascii="Times New Roman" w:hAnsi="Times New Roman" w:cs="Times New Roman"/>
          <w:sz w:val="24"/>
          <w:szCs w:val="28"/>
          <w:lang w:val="en-US"/>
        </w:rPr>
        <w:t xml:space="preserve">). Auxiliary covariates may include confounders of the outcome model. Here, time is defined since the first individual admission in the study period (2010-2019), followed and divided by months (30.1 days). </w:t>
      </w:r>
      <w:r w:rsidRPr="008B6CB8">
        <w:rPr>
          <w:rFonts w:ascii="Times New Roman" w:hAnsi="Times New Roman" w:cs="Times New Roman"/>
          <w:sz w:val="24"/>
          <w:szCs w:val="28"/>
        </w:rPr>
        <w:t>Inverse intensity w</w:t>
      </w:r>
      <w:r w:rsidRPr="008B6CB8">
        <w:rPr>
          <w:rFonts w:ascii="Times New Roman" w:hAnsi="Times New Roman" w:cs="Times New Roman"/>
          <w:sz w:val="24"/>
          <w:szCs w:val="28"/>
          <w:lang w:val="en-US"/>
        </w:rPr>
        <w:t xml:space="preserve">eights </w:t>
      </w:r>
      <w:r w:rsidRPr="008B6CB8">
        <w:rPr>
          <w:rFonts w:ascii="Times New Roman" w:hAnsi="Times New Roman" w:cs="Times New Roman"/>
          <w:sz w:val="24"/>
          <w:szCs w:val="28"/>
        </w:rPr>
        <w:t>to adjust for irregularity in the observation of treatment outcomes due to irregular admission to treatment patterns,</w:t>
      </w:r>
      <w:r w:rsidRPr="008B6CB8">
        <w:rPr>
          <w:rFonts w:ascii="Times New Roman" w:hAnsi="Times New Roman" w:cs="Times New Roman"/>
          <w:sz w:val="24"/>
          <w:szCs w:val="28"/>
          <w:lang w:val="en-US"/>
        </w:rPr>
        <w:t xml:space="preserve"> were truncated at the 2.5th and 97.5th percentiles to mitigate the influence of extreme weights, thus, aiming for a more stable and reliable analysis.</w:t>
      </w:r>
      <w:r>
        <w:rPr>
          <w:rFonts w:ascii="Times New Roman" w:hAnsi="Times New Roman" w:cs="Times New Roman"/>
          <w:sz w:val="24"/>
          <w:szCs w:val="28"/>
          <w:lang w:val="en-US"/>
        </w:rPr>
        <w:t xml:space="preserve"> </w:t>
      </w:r>
      <w:r w:rsidRPr="008B6CB8">
        <w:rPr>
          <w:rFonts w:ascii="Times New Roman" w:hAnsi="Times New Roman" w:cs="Times New Roman"/>
          <w:sz w:val="24"/>
          <w:szCs w:val="28"/>
          <w:lang w:val="en-US"/>
        </w:rPr>
        <w:t>Covariates for weights are listed below: Treatment outcome of the previous treatment, previous biopsychosocial compromise (severe status), previous treatment duration (&lt;90 days), previous treatment duration (in logarithmic scaled days), polysubstance use status of the previous treatment, age at admission to treatment, birth year, primary substance at admission to treatment (initial diagnosis; alcohol, cocaine hydrochloride, cocaine base paste, marijuana), psychiatric comorbidity under the International Classification of Diseases- 10th Revision (ICD-10) (confirmed comorbidity and diagnosis unknown or under study), daily frequency of primary substance use at admission, occupational status (inactive or unemployed), and primary substance at admission to treatment (alcohol, cocaine hydrochloride, cocaine base paste, and marijuana).</w:t>
      </w:r>
    </w:p>
    <w:p w14:paraId="0F34E2D0" w14:textId="30855013" w:rsidR="000D7704" w:rsidRDefault="000D7704" w:rsidP="000D7704">
      <w:pPr>
        <w:ind w:right="-2" w:firstLine="709"/>
        <w:rPr>
          <w:rFonts w:ascii="Times New Roman" w:hAnsi="Times New Roman" w:cs="Times New Roman"/>
          <w:sz w:val="24"/>
          <w:szCs w:val="28"/>
        </w:rPr>
      </w:pPr>
      <w:r w:rsidRPr="000D7704">
        <w:rPr>
          <w:rFonts w:ascii="Times New Roman" w:hAnsi="Times New Roman" w:cs="Times New Roman"/>
          <w:sz w:val="24"/>
          <w:szCs w:val="28"/>
        </w:rPr>
        <w:lastRenderedPageBreak/>
        <w:t xml:space="preserve">We analysed the visiting process of the patients readmitted to treatment as a function of several predictors. The intensity model identifies several significant factors of treatment visits. Previous treatment </w:t>
      </w:r>
      <w:r w:rsidR="001C5629">
        <w:rPr>
          <w:rFonts w:ascii="Times New Roman" w:hAnsi="Times New Roman" w:cs="Times New Roman"/>
          <w:sz w:val="24"/>
          <w:szCs w:val="28"/>
        </w:rPr>
        <w:t>non-completion status</w:t>
      </w:r>
      <w:r w:rsidRPr="000D7704">
        <w:rPr>
          <w:rFonts w:ascii="Times New Roman" w:hAnsi="Times New Roman" w:cs="Times New Roman"/>
          <w:sz w:val="24"/>
          <w:szCs w:val="28"/>
        </w:rPr>
        <w:t xml:space="preserve"> (HR[</w:t>
      </w:r>
      <w:r w:rsidRPr="000D7704">
        <w:rPr>
          <w:rFonts w:ascii="Times New Roman" w:hAnsi="Times New Roman" w:cs="Times New Roman"/>
          <w:i/>
          <w:iCs/>
          <w:sz w:val="24"/>
          <w:szCs w:val="28"/>
        </w:rPr>
        <w:t>Hazard ratio</w:t>
      </w:r>
      <w:r w:rsidRPr="000D7704">
        <w:rPr>
          <w:rFonts w:ascii="Times New Roman" w:hAnsi="Times New Roman" w:cs="Times New Roman"/>
          <w:sz w:val="24"/>
          <w:szCs w:val="28"/>
        </w:rPr>
        <w:t xml:space="preserve">]= 1.17, 95% CI 1.13, 1.21), severe biopsychosocial compromise diagnosed in the previous treatment (HR= 1.06 95%CI 1.03, 1.10), less than 90 days in the previous treatment (HR= 1.11 95%CI 1.06, 1.16) a reduction of one unit in the log scale of days in the previous treatment (HR= 0.98 95%CI 0.96, 1.00), a one unit increase in age at admission to the initial treatment (HR= 1.26 95%CI 1.25, 1.27), and one unit increase in birth year (HR= 1.27 95%CI 1.26, 1.28) are associated with an increased likelihood of subsequent treatment visits. Specific substances at initial diagnosis such as cocaine base paste (HR= 1.17 95%CI 1.06, 1.30) and marijuana (HR= 1.17 95%CI 1.07, 1.29) (vs. other) and inactive (HR= 1.06 95%CI 1.02, 1.11) or unemployed (HR= 1.06 95%CI 1.03, 1.10) occupational status (vs. employed) also influence the time to returning for treatment, thus, being observed again in the database (See Table </w:t>
      </w:r>
      <w:r w:rsidR="007550F3">
        <w:rPr>
          <w:rFonts w:ascii="Times New Roman" w:hAnsi="Times New Roman" w:cs="Times New Roman"/>
          <w:sz w:val="24"/>
          <w:szCs w:val="28"/>
        </w:rPr>
        <w:t>S2)</w:t>
      </w:r>
      <w:r w:rsidRPr="000D7704">
        <w:rPr>
          <w:rFonts w:ascii="Times New Roman" w:hAnsi="Times New Roman" w:cs="Times New Roman"/>
          <w:sz w:val="24"/>
          <w:szCs w:val="28"/>
        </w:rPr>
        <w:t>.</w:t>
      </w:r>
    </w:p>
    <w:p w14:paraId="35D64E20" w14:textId="559CE874" w:rsidR="0065310D" w:rsidRPr="0065310D" w:rsidRDefault="0065310D" w:rsidP="0065310D">
      <w:pPr>
        <w:spacing w:after="0" w:line="240" w:lineRule="auto"/>
        <w:ind w:firstLine="720"/>
        <w:jc w:val="left"/>
        <w:rPr>
          <w:rFonts w:ascii="Times New Roman" w:hAnsi="Times New Roman" w:cs="Times New Roman"/>
          <w:b/>
          <w:bCs/>
          <w:sz w:val="24"/>
          <w:szCs w:val="28"/>
          <w:shd w:val="clear" w:color="auto" w:fill="FFFFFF"/>
        </w:rPr>
      </w:pPr>
      <w:r w:rsidRPr="0065310D">
        <w:rPr>
          <w:rFonts w:ascii="Times New Roman" w:hAnsi="Times New Roman" w:cs="Times New Roman"/>
          <w:b/>
          <w:bCs/>
          <w:sz w:val="24"/>
          <w:szCs w:val="28"/>
          <w:shd w:val="clear" w:color="auto" w:fill="FFFFFF"/>
        </w:rPr>
        <w:t xml:space="preserve">Table </w:t>
      </w:r>
      <w:r w:rsidR="00AB3754">
        <w:rPr>
          <w:rFonts w:ascii="Times New Roman" w:hAnsi="Times New Roman" w:cs="Times New Roman"/>
          <w:b/>
          <w:bCs/>
          <w:sz w:val="24"/>
          <w:szCs w:val="28"/>
          <w:shd w:val="clear" w:color="auto" w:fill="FFFFFF"/>
        </w:rPr>
        <w:t>S2</w:t>
      </w:r>
      <w:r w:rsidRPr="0065310D">
        <w:rPr>
          <w:rFonts w:ascii="Times New Roman" w:hAnsi="Times New Roman" w:cs="Times New Roman"/>
          <w:b/>
          <w:bCs/>
          <w:sz w:val="24"/>
          <w:szCs w:val="28"/>
          <w:shd w:val="clear" w:color="auto" w:fill="FFFFFF"/>
        </w:rPr>
        <w:t>. Specifications of the treatment (visit) process</w:t>
      </w:r>
    </w:p>
    <w:tbl>
      <w:tblPr>
        <w:tblW w:w="9214" w:type="dxa"/>
        <w:jc w:val="center"/>
        <w:tblCellMar>
          <w:left w:w="70" w:type="dxa"/>
          <w:right w:w="70" w:type="dxa"/>
        </w:tblCellMar>
        <w:tblLook w:val="04A0" w:firstRow="1" w:lastRow="0" w:firstColumn="1" w:lastColumn="0" w:noHBand="0" w:noVBand="1"/>
      </w:tblPr>
      <w:tblGrid>
        <w:gridCol w:w="6640"/>
        <w:gridCol w:w="2574"/>
      </w:tblGrid>
      <w:tr w:rsidR="0065310D" w:rsidRPr="00B50D35" w14:paraId="192C608E" w14:textId="77777777" w:rsidTr="00836564">
        <w:trPr>
          <w:trHeight w:val="300"/>
          <w:jc w:val="center"/>
        </w:trPr>
        <w:tc>
          <w:tcPr>
            <w:tcW w:w="6640" w:type="dxa"/>
            <w:tcBorders>
              <w:top w:val="single" w:sz="4" w:space="0" w:color="auto"/>
              <w:left w:val="nil"/>
              <w:bottom w:val="single" w:sz="4" w:space="0" w:color="auto"/>
              <w:right w:val="nil"/>
            </w:tcBorders>
            <w:noWrap/>
            <w:vAlign w:val="center"/>
            <w:hideMark/>
          </w:tcPr>
          <w:p w14:paraId="797FF47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Term</w:t>
            </w:r>
          </w:p>
        </w:tc>
        <w:tc>
          <w:tcPr>
            <w:tcW w:w="2574" w:type="dxa"/>
            <w:tcBorders>
              <w:top w:val="single" w:sz="4" w:space="0" w:color="auto"/>
              <w:left w:val="nil"/>
              <w:bottom w:val="single" w:sz="4" w:space="0" w:color="auto"/>
              <w:right w:val="nil"/>
            </w:tcBorders>
            <w:noWrap/>
            <w:vAlign w:val="center"/>
            <w:hideMark/>
          </w:tcPr>
          <w:p w14:paraId="3CD381EE" w14:textId="77777777" w:rsidR="0065310D" w:rsidRPr="00AB3754" w:rsidRDefault="0065310D" w:rsidP="00836564">
            <w:pPr>
              <w:spacing w:after="0" w:line="240" w:lineRule="auto"/>
              <w:jc w:val="center"/>
              <w:rPr>
                <w:rFonts w:ascii="Times New Roman" w:eastAsia="Times New Roman" w:hAnsi="Times New Roman" w:cs="Times New Roman"/>
                <w:b/>
                <w:bCs/>
                <w:color w:val="000000"/>
                <w:sz w:val="22"/>
                <w:lang w:val="es-CL" w:eastAsia="es-CL"/>
              </w:rPr>
            </w:pPr>
            <w:r w:rsidRPr="00AB3754">
              <w:rPr>
                <w:rFonts w:ascii="Times New Roman" w:eastAsia="Times New Roman" w:hAnsi="Times New Roman" w:cs="Times New Roman"/>
                <w:b/>
                <w:bCs/>
                <w:color w:val="000000"/>
                <w:sz w:val="22"/>
                <w:lang w:val="es-CL" w:eastAsia="es-CL"/>
              </w:rPr>
              <w:t>Hazard ratio (95% CI)</w:t>
            </w:r>
          </w:p>
        </w:tc>
      </w:tr>
      <w:tr w:rsidR="0065310D" w:rsidRPr="00B50D35" w14:paraId="2D8B2814" w14:textId="77777777" w:rsidTr="00836564">
        <w:trPr>
          <w:trHeight w:val="300"/>
          <w:jc w:val="center"/>
        </w:trPr>
        <w:tc>
          <w:tcPr>
            <w:tcW w:w="6640" w:type="dxa"/>
            <w:tcBorders>
              <w:top w:val="single" w:sz="4" w:space="0" w:color="auto"/>
              <w:left w:val="nil"/>
              <w:bottom w:val="nil"/>
              <w:right w:val="nil"/>
            </w:tcBorders>
            <w:noWrap/>
            <w:vAlign w:val="center"/>
            <w:hideMark/>
          </w:tcPr>
          <w:p w14:paraId="5680D9F0"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Treatment outcome of the previous treatment</w:t>
            </w:r>
          </w:p>
        </w:tc>
        <w:tc>
          <w:tcPr>
            <w:tcW w:w="2574" w:type="dxa"/>
            <w:tcBorders>
              <w:top w:val="single" w:sz="4" w:space="0" w:color="auto"/>
              <w:left w:val="nil"/>
              <w:bottom w:val="nil"/>
              <w:right w:val="nil"/>
            </w:tcBorders>
            <w:noWrap/>
            <w:vAlign w:val="center"/>
            <w:hideMark/>
          </w:tcPr>
          <w:p w14:paraId="2835A86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(1.13, 1.21)</w:t>
            </w:r>
          </w:p>
        </w:tc>
      </w:tr>
      <w:tr w:rsidR="0065310D" w:rsidRPr="00B50D35" w14:paraId="4A689738" w14:textId="77777777" w:rsidTr="00836564">
        <w:trPr>
          <w:trHeight w:val="300"/>
          <w:jc w:val="center"/>
        </w:trPr>
        <w:tc>
          <w:tcPr>
            <w:tcW w:w="6640" w:type="dxa"/>
            <w:noWrap/>
            <w:vAlign w:val="center"/>
            <w:hideMark/>
          </w:tcPr>
          <w:p w14:paraId="4E8D4F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Previous biopsychosocial compromise (severe)</w:t>
            </w:r>
          </w:p>
        </w:tc>
        <w:tc>
          <w:tcPr>
            <w:tcW w:w="2574" w:type="dxa"/>
            <w:noWrap/>
            <w:vAlign w:val="center"/>
            <w:hideMark/>
          </w:tcPr>
          <w:p w14:paraId="1E3DF83A"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39089285" w14:textId="77777777" w:rsidTr="00836564">
        <w:trPr>
          <w:trHeight w:val="300"/>
          <w:jc w:val="center"/>
        </w:trPr>
        <w:tc>
          <w:tcPr>
            <w:tcW w:w="6640" w:type="dxa"/>
            <w:noWrap/>
            <w:vAlign w:val="center"/>
            <w:hideMark/>
          </w:tcPr>
          <w:p w14:paraId="297E2A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Previous treatment duration (&lt;90 days)</w:t>
            </w:r>
          </w:p>
        </w:tc>
        <w:tc>
          <w:tcPr>
            <w:tcW w:w="2574" w:type="dxa"/>
            <w:noWrap/>
            <w:vAlign w:val="center"/>
            <w:hideMark/>
          </w:tcPr>
          <w:p w14:paraId="6830F3D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1.11 (1.06, 1.16)</w:t>
            </w:r>
          </w:p>
        </w:tc>
      </w:tr>
      <w:tr w:rsidR="0065310D" w:rsidRPr="00B50D35" w14:paraId="42D028E8" w14:textId="77777777" w:rsidTr="00836564">
        <w:trPr>
          <w:trHeight w:val="300"/>
          <w:jc w:val="center"/>
        </w:trPr>
        <w:tc>
          <w:tcPr>
            <w:tcW w:w="6640" w:type="dxa"/>
            <w:noWrap/>
            <w:vAlign w:val="center"/>
            <w:hideMark/>
          </w:tcPr>
          <w:p w14:paraId="18E9D05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Previous treatment duration (in logarithmic scaled days)</w:t>
            </w:r>
          </w:p>
        </w:tc>
        <w:tc>
          <w:tcPr>
            <w:tcW w:w="2574" w:type="dxa"/>
            <w:noWrap/>
            <w:vAlign w:val="center"/>
            <w:hideMark/>
          </w:tcPr>
          <w:p w14:paraId="5CEB1D4E"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(0.96, 1.00)</w:t>
            </w:r>
          </w:p>
        </w:tc>
      </w:tr>
      <w:tr w:rsidR="0065310D" w:rsidRPr="00B50D35" w14:paraId="59C29E48" w14:textId="77777777" w:rsidTr="00836564">
        <w:trPr>
          <w:trHeight w:val="300"/>
          <w:jc w:val="center"/>
        </w:trPr>
        <w:tc>
          <w:tcPr>
            <w:tcW w:w="6640" w:type="dxa"/>
            <w:noWrap/>
            <w:vAlign w:val="center"/>
            <w:hideMark/>
          </w:tcPr>
          <w:p w14:paraId="46BE118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Polysubstance use status of the previous treatment</w:t>
            </w:r>
          </w:p>
        </w:tc>
        <w:tc>
          <w:tcPr>
            <w:tcW w:w="2574" w:type="dxa"/>
            <w:noWrap/>
            <w:vAlign w:val="center"/>
            <w:hideMark/>
          </w:tcPr>
          <w:p w14:paraId="04B2C88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0.98 (0.95, 1.02)</w:t>
            </w:r>
          </w:p>
        </w:tc>
      </w:tr>
      <w:tr w:rsidR="0065310D" w:rsidRPr="00B50D35" w14:paraId="019C2470" w14:textId="77777777" w:rsidTr="00836564">
        <w:trPr>
          <w:trHeight w:val="300"/>
          <w:jc w:val="center"/>
        </w:trPr>
        <w:tc>
          <w:tcPr>
            <w:tcW w:w="6640" w:type="dxa"/>
            <w:noWrap/>
            <w:vAlign w:val="center"/>
            <w:hideMark/>
          </w:tcPr>
          <w:p w14:paraId="1A3F0A7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Age at admission to treatment</w:t>
            </w:r>
          </w:p>
        </w:tc>
        <w:tc>
          <w:tcPr>
            <w:tcW w:w="2574" w:type="dxa"/>
            <w:noWrap/>
            <w:vAlign w:val="center"/>
            <w:hideMark/>
          </w:tcPr>
          <w:p w14:paraId="7F808C8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1.26 (1.25, 1.27)</w:t>
            </w:r>
          </w:p>
        </w:tc>
      </w:tr>
      <w:tr w:rsidR="0065310D" w:rsidRPr="00B50D35" w14:paraId="200D80E0" w14:textId="77777777" w:rsidTr="00836564">
        <w:trPr>
          <w:trHeight w:val="300"/>
          <w:jc w:val="center"/>
        </w:trPr>
        <w:tc>
          <w:tcPr>
            <w:tcW w:w="6640" w:type="dxa"/>
            <w:noWrap/>
            <w:vAlign w:val="center"/>
            <w:hideMark/>
          </w:tcPr>
          <w:p w14:paraId="5E2E86DF"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Birth year</w:t>
            </w:r>
          </w:p>
        </w:tc>
        <w:tc>
          <w:tcPr>
            <w:tcW w:w="2574" w:type="dxa"/>
            <w:noWrap/>
            <w:vAlign w:val="center"/>
            <w:hideMark/>
          </w:tcPr>
          <w:p w14:paraId="39F8FCF8"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1.27 (1.26, 1.28)</w:t>
            </w:r>
          </w:p>
        </w:tc>
      </w:tr>
      <w:tr w:rsidR="0065310D" w:rsidRPr="00B50D35" w14:paraId="4DF5CA83" w14:textId="77777777" w:rsidTr="00836564">
        <w:trPr>
          <w:trHeight w:val="300"/>
          <w:jc w:val="center"/>
        </w:trPr>
        <w:tc>
          <w:tcPr>
            <w:tcW w:w="6640" w:type="dxa"/>
            <w:noWrap/>
            <w:vAlign w:val="center"/>
            <w:hideMark/>
          </w:tcPr>
          <w:p w14:paraId="4115CF7E"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alcohol</w:t>
            </w:r>
          </w:p>
        </w:tc>
        <w:tc>
          <w:tcPr>
            <w:tcW w:w="2574" w:type="dxa"/>
            <w:noWrap/>
            <w:vAlign w:val="center"/>
            <w:hideMark/>
          </w:tcPr>
          <w:p w14:paraId="7CC5DE8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1.05 (0.95, 1.14)</w:t>
            </w:r>
          </w:p>
        </w:tc>
      </w:tr>
      <w:tr w:rsidR="0065310D" w:rsidRPr="00B50D35" w14:paraId="583ED16E" w14:textId="77777777" w:rsidTr="00836564">
        <w:trPr>
          <w:trHeight w:val="300"/>
          <w:jc w:val="center"/>
        </w:trPr>
        <w:tc>
          <w:tcPr>
            <w:tcW w:w="6640" w:type="dxa"/>
            <w:noWrap/>
            <w:vAlign w:val="center"/>
            <w:hideMark/>
          </w:tcPr>
          <w:p w14:paraId="6966E0B9"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(initial diagnosis), cocaine</w:t>
            </w:r>
          </w:p>
        </w:tc>
        <w:tc>
          <w:tcPr>
            <w:tcW w:w="2574" w:type="dxa"/>
            <w:noWrap/>
            <w:vAlign w:val="center"/>
            <w:hideMark/>
          </w:tcPr>
          <w:p w14:paraId="2AC810F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1.12 (1.00, 1.25)</w:t>
            </w:r>
          </w:p>
        </w:tc>
      </w:tr>
      <w:tr w:rsidR="0065310D" w:rsidRPr="00B50D35" w14:paraId="5C8B3BCC" w14:textId="77777777" w:rsidTr="00836564">
        <w:trPr>
          <w:trHeight w:val="300"/>
          <w:jc w:val="center"/>
        </w:trPr>
        <w:tc>
          <w:tcPr>
            <w:tcW w:w="6640" w:type="dxa"/>
            <w:noWrap/>
            <w:vAlign w:val="center"/>
            <w:hideMark/>
          </w:tcPr>
          <w:p w14:paraId="7CF547AB"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Primary substance (initial diagnosis), cocaine base paste</w:t>
            </w:r>
          </w:p>
        </w:tc>
        <w:tc>
          <w:tcPr>
            <w:tcW w:w="2574" w:type="dxa"/>
            <w:noWrap/>
            <w:vAlign w:val="center"/>
            <w:hideMark/>
          </w:tcPr>
          <w:p w14:paraId="68CB5BB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(1.06, 1.30)</w:t>
            </w:r>
          </w:p>
        </w:tc>
      </w:tr>
      <w:tr w:rsidR="0065310D" w:rsidRPr="00B50D35" w14:paraId="0312A5EA" w14:textId="77777777" w:rsidTr="00836564">
        <w:trPr>
          <w:trHeight w:val="300"/>
          <w:jc w:val="center"/>
        </w:trPr>
        <w:tc>
          <w:tcPr>
            <w:tcW w:w="6640" w:type="dxa"/>
            <w:noWrap/>
            <w:vAlign w:val="center"/>
            <w:hideMark/>
          </w:tcPr>
          <w:p w14:paraId="6481EEA7"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Primary substance (initial diagnosis), marijuana</w:t>
            </w:r>
          </w:p>
        </w:tc>
        <w:tc>
          <w:tcPr>
            <w:tcW w:w="2574" w:type="dxa"/>
            <w:noWrap/>
            <w:vAlign w:val="center"/>
            <w:hideMark/>
          </w:tcPr>
          <w:p w14:paraId="67AD6B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1.17 (1.07, 1.29)</w:t>
            </w:r>
          </w:p>
        </w:tc>
      </w:tr>
      <w:tr w:rsidR="0065310D" w:rsidRPr="00B50D35" w14:paraId="2B96EF71" w14:textId="77777777" w:rsidTr="00836564">
        <w:trPr>
          <w:trHeight w:val="300"/>
          <w:jc w:val="center"/>
        </w:trPr>
        <w:tc>
          <w:tcPr>
            <w:tcW w:w="6640" w:type="dxa"/>
            <w:noWrap/>
            <w:vAlign w:val="center"/>
            <w:hideMark/>
          </w:tcPr>
          <w:p w14:paraId="7D73BFAC"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Psychiatric comorbidity (diagnosis unknown or under study)</w:t>
            </w:r>
          </w:p>
        </w:tc>
        <w:tc>
          <w:tcPr>
            <w:tcW w:w="2574" w:type="dxa"/>
            <w:noWrap/>
            <w:vAlign w:val="center"/>
            <w:hideMark/>
          </w:tcPr>
          <w:p w14:paraId="5C8D16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1.03 (0.99, 1.08)</w:t>
            </w:r>
          </w:p>
        </w:tc>
      </w:tr>
      <w:tr w:rsidR="0065310D" w:rsidRPr="00B50D35" w14:paraId="3F2E1288" w14:textId="77777777" w:rsidTr="00836564">
        <w:trPr>
          <w:trHeight w:val="300"/>
          <w:jc w:val="center"/>
        </w:trPr>
        <w:tc>
          <w:tcPr>
            <w:tcW w:w="6640" w:type="dxa"/>
            <w:noWrap/>
            <w:vAlign w:val="center"/>
            <w:hideMark/>
          </w:tcPr>
          <w:p w14:paraId="586C9AC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Psychiatric comorbidity (confirmed comorbidity)</w:t>
            </w:r>
          </w:p>
        </w:tc>
        <w:tc>
          <w:tcPr>
            <w:tcW w:w="2574" w:type="dxa"/>
            <w:noWrap/>
            <w:vAlign w:val="center"/>
            <w:hideMark/>
          </w:tcPr>
          <w:p w14:paraId="597A2D7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1.02 (0.99, 1.05)</w:t>
            </w:r>
          </w:p>
        </w:tc>
      </w:tr>
      <w:tr w:rsidR="0065310D" w:rsidRPr="00B50D35" w14:paraId="175DCB7D" w14:textId="77777777" w:rsidTr="00836564">
        <w:trPr>
          <w:trHeight w:val="300"/>
          <w:jc w:val="center"/>
        </w:trPr>
        <w:tc>
          <w:tcPr>
            <w:tcW w:w="6640" w:type="dxa"/>
            <w:noWrap/>
            <w:vAlign w:val="center"/>
            <w:hideMark/>
          </w:tcPr>
          <w:p w14:paraId="6589B403"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Daily frequence of primary substance use at admission</w:t>
            </w:r>
          </w:p>
        </w:tc>
        <w:tc>
          <w:tcPr>
            <w:tcW w:w="2574" w:type="dxa"/>
            <w:noWrap/>
            <w:vAlign w:val="center"/>
            <w:hideMark/>
          </w:tcPr>
          <w:p w14:paraId="6ECBB14D"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1.01 (0.98, 1.05)</w:t>
            </w:r>
          </w:p>
        </w:tc>
      </w:tr>
      <w:tr w:rsidR="0065310D" w:rsidRPr="00B50D35" w14:paraId="7CFA21BC" w14:textId="77777777" w:rsidTr="00836564">
        <w:trPr>
          <w:trHeight w:val="300"/>
          <w:jc w:val="center"/>
        </w:trPr>
        <w:tc>
          <w:tcPr>
            <w:tcW w:w="6640" w:type="dxa"/>
            <w:noWrap/>
            <w:vAlign w:val="center"/>
            <w:hideMark/>
          </w:tcPr>
          <w:p w14:paraId="04543F4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Occupational status (inactive)</w:t>
            </w:r>
          </w:p>
        </w:tc>
        <w:tc>
          <w:tcPr>
            <w:tcW w:w="2574" w:type="dxa"/>
            <w:noWrap/>
            <w:vAlign w:val="center"/>
            <w:hideMark/>
          </w:tcPr>
          <w:p w14:paraId="2F0C1122"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(1.02, 1.11)</w:t>
            </w:r>
          </w:p>
        </w:tc>
      </w:tr>
      <w:tr w:rsidR="0065310D" w:rsidRPr="00B50D35" w14:paraId="20F3C674" w14:textId="77777777" w:rsidTr="00836564">
        <w:trPr>
          <w:trHeight w:val="300"/>
          <w:jc w:val="center"/>
        </w:trPr>
        <w:tc>
          <w:tcPr>
            <w:tcW w:w="6640" w:type="dxa"/>
            <w:noWrap/>
            <w:vAlign w:val="center"/>
            <w:hideMark/>
          </w:tcPr>
          <w:p w14:paraId="22ED281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Occupational status (unemployed)</w:t>
            </w:r>
          </w:p>
        </w:tc>
        <w:tc>
          <w:tcPr>
            <w:tcW w:w="2574" w:type="dxa"/>
            <w:noWrap/>
            <w:vAlign w:val="center"/>
            <w:hideMark/>
          </w:tcPr>
          <w:p w14:paraId="7F2747A0"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1.06 (1.03, 1.10)</w:t>
            </w:r>
          </w:p>
        </w:tc>
      </w:tr>
      <w:tr w:rsidR="0065310D" w:rsidRPr="00B50D35" w14:paraId="0F5B3D11" w14:textId="77777777" w:rsidTr="00836564">
        <w:trPr>
          <w:trHeight w:val="300"/>
          <w:jc w:val="center"/>
        </w:trPr>
        <w:tc>
          <w:tcPr>
            <w:tcW w:w="6640" w:type="dxa"/>
            <w:noWrap/>
            <w:vAlign w:val="center"/>
            <w:hideMark/>
          </w:tcPr>
          <w:p w14:paraId="43111766"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(alcohol)</w:t>
            </w:r>
          </w:p>
        </w:tc>
        <w:tc>
          <w:tcPr>
            <w:tcW w:w="2574" w:type="dxa"/>
            <w:noWrap/>
            <w:vAlign w:val="center"/>
            <w:hideMark/>
          </w:tcPr>
          <w:p w14:paraId="01BB73EF"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(0.80, 1.02)</w:t>
            </w:r>
          </w:p>
        </w:tc>
      </w:tr>
      <w:tr w:rsidR="0065310D" w:rsidRPr="00B50D35" w14:paraId="330FCDE0" w14:textId="77777777" w:rsidTr="00836564">
        <w:trPr>
          <w:trHeight w:val="300"/>
          <w:jc w:val="center"/>
        </w:trPr>
        <w:tc>
          <w:tcPr>
            <w:tcW w:w="6640" w:type="dxa"/>
            <w:noWrap/>
            <w:vAlign w:val="center"/>
            <w:hideMark/>
          </w:tcPr>
          <w:p w14:paraId="3A427338"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(cocaine hydrochloride)</w:t>
            </w:r>
          </w:p>
        </w:tc>
        <w:tc>
          <w:tcPr>
            <w:tcW w:w="2574" w:type="dxa"/>
            <w:noWrap/>
            <w:vAlign w:val="center"/>
            <w:hideMark/>
          </w:tcPr>
          <w:p w14:paraId="224B051C"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0.90 (0.79, 1.01)</w:t>
            </w:r>
          </w:p>
        </w:tc>
      </w:tr>
      <w:tr w:rsidR="0065310D" w:rsidRPr="00B50D35" w14:paraId="6D689BB3" w14:textId="77777777" w:rsidTr="00836564">
        <w:trPr>
          <w:trHeight w:val="300"/>
          <w:jc w:val="center"/>
        </w:trPr>
        <w:tc>
          <w:tcPr>
            <w:tcW w:w="6640" w:type="dxa"/>
            <w:noWrap/>
            <w:vAlign w:val="center"/>
            <w:hideMark/>
          </w:tcPr>
          <w:p w14:paraId="0059E7E4"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lastRenderedPageBreak/>
              <w:t>Primary substance at admission to treatment (cocaine base paste)</w:t>
            </w:r>
          </w:p>
        </w:tc>
        <w:tc>
          <w:tcPr>
            <w:tcW w:w="2574" w:type="dxa"/>
            <w:noWrap/>
            <w:vAlign w:val="center"/>
            <w:hideMark/>
          </w:tcPr>
          <w:p w14:paraId="1421BD51"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0.91 (0.81, 1.03)</w:t>
            </w:r>
          </w:p>
        </w:tc>
      </w:tr>
      <w:tr w:rsidR="0065310D" w:rsidRPr="00B50D35" w14:paraId="3D5FF6D7" w14:textId="77777777" w:rsidTr="00836564">
        <w:trPr>
          <w:trHeight w:val="300"/>
          <w:jc w:val="center"/>
        </w:trPr>
        <w:tc>
          <w:tcPr>
            <w:tcW w:w="6640" w:type="dxa"/>
            <w:tcBorders>
              <w:top w:val="nil"/>
              <w:left w:val="nil"/>
              <w:bottom w:val="single" w:sz="4" w:space="0" w:color="auto"/>
              <w:right w:val="nil"/>
            </w:tcBorders>
            <w:noWrap/>
            <w:vAlign w:val="center"/>
            <w:hideMark/>
          </w:tcPr>
          <w:p w14:paraId="612A10FA" w14:textId="77777777" w:rsidR="0065310D" w:rsidRPr="00AB3754" w:rsidRDefault="0065310D" w:rsidP="00836564">
            <w:pPr>
              <w:spacing w:after="0" w:line="240" w:lineRule="auto"/>
              <w:jc w:val="left"/>
              <w:rPr>
                <w:rFonts w:ascii="Times New Roman" w:eastAsia="Times New Roman" w:hAnsi="Times New Roman" w:cs="Times New Roman"/>
                <w:color w:val="000000"/>
                <w:sz w:val="22"/>
                <w:lang w:val="en-US" w:eastAsia="es-CL"/>
              </w:rPr>
            </w:pPr>
            <w:r w:rsidRPr="00AB3754">
              <w:rPr>
                <w:rFonts w:ascii="Times New Roman" w:eastAsia="Times New Roman" w:hAnsi="Times New Roman" w:cs="Times New Roman"/>
                <w:color w:val="000000"/>
                <w:sz w:val="22"/>
                <w:lang w:val="en-US" w:eastAsia="es-CL"/>
              </w:rPr>
              <w:t>Primary substance at admission to treatment (marijuana)</w:t>
            </w:r>
          </w:p>
        </w:tc>
        <w:tc>
          <w:tcPr>
            <w:tcW w:w="2574" w:type="dxa"/>
            <w:tcBorders>
              <w:top w:val="nil"/>
              <w:left w:val="nil"/>
              <w:bottom w:val="single" w:sz="4" w:space="0" w:color="auto"/>
              <w:right w:val="nil"/>
            </w:tcBorders>
            <w:noWrap/>
            <w:vAlign w:val="center"/>
            <w:hideMark/>
          </w:tcPr>
          <w:p w14:paraId="25DA28E7" w14:textId="77777777" w:rsidR="0065310D" w:rsidRPr="00AB3754" w:rsidRDefault="0065310D" w:rsidP="00836564">
            <w:pPr>
              <w:spacing w:after="0" w:line="240" w:lineRule="auto"/>
              <w:jc w:val="right"/>
              <w:rPr>
                <w:rFonts w:ascii="Times New Roman" w:eastAsia="Times New Roman" w:hAnsi="Times New Roman" w:cs="Times New Roman"/>
                <w:color w:val="000000"/>
                <w:sz w:val="22"/>
                <w:lang w:val="es-CL" w:eastAsia="es-CL"/>
              </w:rPr>
            </w:pPr>
            <w:r w:rsidRPr="00AB3754">
              <w:rPr>
                <w:rFonts w:ascii="Times New Roman" w:eastAsia="Times New Roman" w:hAnsi="Times New Roman" w:cs="Times New Roman"/>
                <w:color w:val="000000"/>
                <w:sz w:val="22"/>
                <w:lang w:val="es-CL" w:eastAsia="es-CL"/>
              </w:rPr>
              <w:t>0.89 (0.78, 1.02)</w:t>
            </w:r>
          </w:p>
        </w:tc>
      </w:tr>
    </w:tbl>
    <w:p w14:paraId="258D768A" w14:textId="17F15E81" w:rsidR="0065310D" w:rsidRPr="00B50D35" w:rsidRDefault="0065310D" w:rsidP="0065310D">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95%CI= 95% confidence intervals in parenthesis; Intensity model, in Andersen-Gill format Clustered by </w:t>
      </w:r>
      <w:r>
        <w:rPr>
          <w:rFonts w:ascii="Times New Roman" w:hAnsi="Times New Roman" w:cs="Times New Roman"/>
          <w:shd w:val="clear" w:color="auto" w:fill="FFFFFF"/>
        </w:rPr>
        <w:t xml:space="preserve">patients’ </w:t>
      </w:r>
      <w:r w:rsidRPr="00B50D35">
        <w:rPr>
          <w:rFonts w:ascii="Times New Roman" w:hAnsi="Times New Roman" w:cs="Times New Roman"/>
          <w:shd w:val="clear" w:color="auto" w:fill="FFFFFF"/>
        </w:rPr>
        <w:t>ID and stratified by treatment setting.</w:t>
      </w:r>
    </w:p>
    <w:p w14:paraId="5DED684D" w14:textId="77777777" w:rsidR="0065310D" w:rsidRPr="000D7704" w:rsidRDefault="0065310D" w:rsidP="0065310D">
      <w:pPr>
        <w:ind w:right="-2"/>
        <w:rPr>
          <w:rFonts w:ascii="Times New Roman" w:hAnsi="Times New Roman" w:cs="Times New Roman"/>
          <w:sz w:val="24"/>
          <w:szCs w:val="28"/>
        </w:rPr>
      </w:pPr>
    </w:p>
    <w:p w14:paraId="4EDA3C22" w14:textId="6C056F15" w:rsidR="00410678" w:rsidRPr="002F1D56" w:rsidRDefault="00410678" w:rsidP="000D7704">
      <w:pPr>
        <w:ind w:right="-2" w:firstLine="709"/>
        <w:rPr>
          <w:rFonts w:ascii="Times New Roman" w:hAnsi="Times New Roman" w:cs="Times New Roman"/>
          <w:sz w:val="24"/>
          <w:szCs w:val="28"/>
          <w:lang w:val="en-US"/>
        </w:rPr>
      </w:pPr>
      <w:r w:rsidRPr="002F1D56">
        <w:rPr>
          <w:rFonts w:ascii="Times New Roman" w:hAnsi="Times New Roman" w:cs="Times New Roman"/>
          <w:sz w:val="24"/>
          <w:szCs w:val="28"/>
          <w:lang w:val="en-US"/>
        </w:rPr>
        <w:t>To tackle potential violations of the proportional hazards assumption for outcome assessment intensity, several strategies were tested: non-proportional hazards without variable transformations, proportional hazards with time-dependent transformations (recode multiple variables interacting with different functional forms of follow-up time), and stratifying follow-up times using the 'survSplit' method. Hence, three approaches were employed: (A) no correction for intensity proportionality violations</w:t>
      </w:r>
      <w:r w:rsidR="005A5AE1" w:rsidRPr="002F1D56">
        <w:rPr>
          <w:rFonts w:ascii="Times New Roman" w:hAnsi="Times New Roman" w:cs="Times New Roman"/>
          <w:sz w:val="24"/>
          <w:szCs w:val="28"/>
          <w:lang w:val="en-US"/>
        </w:rPr>
        <w:t xml:space="preserve"> through specifying time-varying coefficients (i.e., interacting with time)</w:t>
      </w:r>
      <w:r w:rsidRPr="002F1D56">
        <w:rPr>
          <w:rFonts w:ascii="Times New Roman" w:hAnsi="Times New Roman" w:cs="Times New Roman"/>
          <w:sz w:val="24"/>
          <w:szCs w:val="28"/>
          <w:lang w:val="en-US"/>
        </w:rPr>
        <w:t xml:space="preserve">, (B) correction using time-dependent coefficients via variable transformation and interaction with time, following the method outlined by Putter et al. </w:t>
      </w:r>
      <w:commentRangeStart w:id="6"/>
      <w:r w:rsidRPr="002F1D56">
        <w:rPr>
          <w:rFonts w:ascii="Times New Roman" w:hAnsi="Times New Roman" w:cs="Times New Roman"/>
          <w:sz w:val="24"/>
          <w:szCs w:val="28"/>
          <w:lang w:val="en-US"/>
        </w:rPr>
        <w:t>(2005)</w:t>
      </w:r>
      <w:commentRangeEnd w:id="6"/>
      <w:r w:rsidRPr="002F1D56">
        <w:rPr>
          <w:rStyle w:val="Refdecomentario"/>
          <w:rFonts w:ascii="Times New Roman" w:eastAsia="Times New Roman" w:hAnsi="Times New Roman" w:cs="Times New Roman"/>
          <w:sz w:val="20"/>
          <w:szCs w:val="20"/>
          <w:lang w:val="es-CL" w:eastAsia="es-ES_tradnl"/>
        </w:rPr>
        <w:commentReference w:id="6"/>
      </w:r>
      <w:r w:rsidRPr="002F1D56">
        <w:rPr>
          <w:rFonts w:ascii="Times New Roman" w:hAnsi="Times New Roman" w:cs="Times New Roman"/>
          <w:sz w:val="24"/>
          <w:szCs w:val="28"/>
          <w:lang w:val="en-US"/>
        </w:rPr>
        <w:t xml:space="preserve">, and (C) stratification of survival time among 30 different stratifications with better balance of. Each method considered cases where lag values of lagged variables (i.e., Treatment outcome of the previous treatment, Previous severe biopsychosocial compromise, Previous treatment duration of less than &lt;90 days, </w:t>
      </w:r>
      <w:bookmarkStart w:id="7" w:name="_Hlk166684082"/>
      <w:r w:rsidRPr="002F1D56">
        <w:rPr>
          <w:rFonts w:ascii="Times New Roman" w:hAnsi="Times New Roman" w:cs="Times New Roman"/>
          <w:sz w:val="24"/>
          <w:szCs w:val="28"/>
          <w:lang w:val="en-US"/>
        </w:rPr>
        <w:t>Previous treatment duration in logarithmic scaled days</w:t>
      </w:r>
      <w:bookmarkEnd w:id="7"/>
      <w:r w:rsidRPr="002F1D56">
        <w:rPr>
          <w:rFonts w:ascii="Times New Roman" w:hAnsi="Times New Roman" w:cs="Times New Roman"/>
          <w:sz w:val="24"/>
          <w:szCs w:val="28"/>
          <w:lang w:val="en-US"/>
        </w:rPr>
        <w:t>, Polysubstance use status of the previous treatment) were 0 or 1 in case of missing binary values (i.e., accounting for potential missing values due to the absence of prior treatments within the study period), and ensuring a rigorous evaluation of model validity under potential assumption breaches. Continuous variables such as follow-up time and Previous treatment duration in logarithmic scaled days was fixed in 2.95 months and the natural logarithm of 90 days or 45 days if the rest of the lagged covariates were fixed in 0, respectively.</w:t>
      </w:r>
    </w:p>
    <w:p w14:paraId="2541B1FB" w14:textId="77777777" w:rsidR="00410678"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We recoded several covariates to account for its interaction with time through visual inspection of Schoenfeld residuals vs. time. This transformation aims to capture the changing impact of the previous treatment outcome over different time periods. We recoded the following: Treatment outcome of the previous treatment, previous biopsychosocial compromise, previous treatment duration (&lt;90 days), primary substance (initial diagnosis), cocaine, and Psychiatric comorbidity (confirmed comorbidity).</w:t>
      </w:r>
    </w:p>
    <w:p w14:paraId="195706BA" w14:textId="21A2754C" w:rsidR="00410678" w:rsidRPr="002F1D56" w:rsidRDefault="00410678" w:rsidP="000D7704">
      <w:pPr>
        <w:ind w:right="-2" w:firstLine="709"/>
        <w:rPr>
          <w:rFonts w:ascii="Times New Roman" w:hAnsi="Times New Roman" w:cs="Times New Roman"/>
          <w:sz w:val="24"/>
          <w:szCs w:val="28"/>
          <w:shd w:val="clear" w:color="auto" w:fill="FFFFFF"/>
        </w:rPr>
      </w:pPr>
      <w:r w:rsidRPr="002F1D56">
        <w:rPr>
          <w:rFonts w:ascii="Times New Roman" w:hAnsi="Times New Roman" w:cs="Times New Roman"/>
          <w:sz w:val="24"/>
          <w:szCs w:val="28"/>
          <w:lang w:val="en-US"/>
        </w:rPr>
        <w:t xml:space="preserve">Choosing the stratification involved considerations such as the distribution of events across different treatment settings and time intervals, which likely provided a good balance between granularity and statistical power, and improve model diagnostics such as the AIC (Akaike Information Criterion) and tests for proportional </w:t>
      </w:r>
      <w:commentRangeStart w:id="8"/>
      <w:commentRangeStart w:id="9"/>
      <w:r w:rsidRPr="002F1D56">
        <w:rPr>
          <w:rFonts w:ascii="Times New Roman" w:hAnsi="Times New Roman" w:cs="Times New Roman"/>
          <w:sz w:val="24"/>
          <w:szCs w:val="28"/>
          <w:lang w:val="en-US"/>
        </w:rPr>
        <w:t>hazards</w:t>
      </w:r>
      <w:commentRangeEnd w:id="8"/>
      <w:r w:rsidRPr="002F1D56">
        <w:rPr>
          <w:rStyle w:val="Refdecomentario"/>
          <w:rFonts w:ascii="Times New Roman" w:eastAsia="Times New Roman" w:hAnsi="Times New Roman" w:cs="Times New Roman"/>
          <w:sz w:val="20"/>
          <w:szCs w:val="20"/>
          <w:lang w:val="es-CL" w:eastAsia="es-ES_tradnl"/>
        </w:rPr>
        <w:commentReference w:id="8"/>
      </w:r>
      <w:commentRangeEnd w:id="9"/>
      <w:r w:rsidR="00650E6B" w:rsidRPr="002F1D56">
        <w:rPr>
          <w:rStyle w:val="Refdecomentario"/>
          <w:rFonts w:ascii="Times New Roman" w:eastAsia="Times New Roman" w:hAnsi="Times New Roman" w:cs="Times New Roman"/>
          <w:sz w:val="20"/>
          <w:szCs w:val="20"/>
          <w:lang w:val="es-CL" w:eastAsia="es-ES_tradnl"/>
        </w:rPr>
        <w:commentReference w:id="9"/>
      </w:r>
      <w:r w:rsidR="00795D98" w:rsidRPr="002F1D56">
        <w:rPr>
          <w:rFonts w:ascii="Times New Roman" w:hAnsi="Times New Roman" w:cs="Times New Roman"/>
          <w:sz w:val="24"/>
          <w:szCs w:val="28"/>
          <w:lang w:val="en-US"/>
        </w:rPr>
        <w:t>.</w:t>
      </w:r>
      <w:r w:rsidRPr="002F1D56">
        <w:rPr>
          <w:rFonts w:ascii="Times New Roman" w:hAnsi="Times New Roman" w:cs="Times New Roman"/>
          <w:sz w:val="24"/>
          <w:szCs w:val="28"/>
        </w:rPr>
        <w:t xml:space="preserve"> </w:t>
      </w:r>
      <w:r w:rsidRPr="002F1D56">
        <w:rPr>
          <w:rFonts w:ascii="Times New Roman" w:hAnsi="Times New Roman" w:cs="Times New Roman"/>
          <w:sz w:val="24"/>
          <w:szCs w:val="28"/>
          <w:lang w:val="en-US"/>
        </w:rPr>
        <w:t>Consequently, follow-up times were stratified into the</w:t>
      </w:r>
      <w:r w:rsidR="00795D98" w:rsidRPr="002F1D56">
        <w:rPr>
          <w:rFonts w:ascii="Times New Roman" w:hAnsi="Times New Roman" w:cs="Times New Roman"/>
          <w:sz w:val="24"/>
          <w:szCs w:val="28"/>
          <w:lang w:val="en-US"/>
        </w:rPr>
        <w:t xml:space="preserve"> following</w:t>
      </w:r>
      <w:r w:rsidRPr="002F1D56">
        <w:rPr>
          <w:rFonts w:ascii="Times New Roman" w:hAnsi="Times New Roman" w:cs="Times New Roman"/>
          <w:sz w:val="24"/>
          <w:szCs w:val="28"/>
          <w:lang w:val="en-US"/>
        </w:rPr>
        <w:t xml:space="preserve"> intervals</w:t>
      </w:r>
      <w:r w:rsidR="00795D98" w:rsidRPr="002F1D56">
        <w:rPr>
          <w:rFonts w:ascii="Times New Roman" w:hAnsi="Times New Roman" w:cs="Times New Roman"/>
          <w:sz w:val="24"/>
          <w:szCs w:val="28"/>
          <w:lang w:val="en-US"/>
        </w:rPr>
        <w:t xml:space="preserve">: </w:t>
      </w:r>
      <w:r w:rsidRPr="002F1D56">
        <w:rPr>
          <w:rFonts w:ascii="Times New Roman" w:hAnsi="Times New Roman" w:cs="Times New Roman"/>
          <w:sz w:val="24"/>
          <w:szCs w:val="28"/>
          <w:lang w:val="en-US"/>
        </w:rPr>
        <w:t>[0,10], (10,20], (20,30], (30,50], (50,70], and (70,135] for the second stratified model.</w:t>
      </w:r>
      <w:r w:rsidRPr="002F1D56">
        <w:rPr>
          <w:rFonts w:ascii="Times New Roman" w:hAnsi="Times New Roman" w:cs="Times New Roman"/>
          <w:sz w:val="24"/>
          <w:szCs w:val="28"/>
          <w:shd w:val="clear" w:color="auto" w:fill="FFFFFF"/>
        </w:rPr>
        <w:br w:type="page"/>
      </w:r>
    </w:p>
    <w:p w14:paraId="15569FB3" w14:textId="2F6156CE" w:rsidR="008340E2" w:rsidRPr="002F1D56" w:rsidRDefault="008340E2" w:rsidP="00B24D32">
      <w:pPr>
        <w:spacing w:after="0" w:line="240" w:lineRule="auto"/>
        <w:ind w:left="709" w:firstLine="11"/>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3</w:t>
      </w:r>
      <w:r w:rsidRPr="002F1D56">
        <w:rPr>
          <w:rFonts w:ascii="Times New Roman" w:hAnsi="Times New Roman" w:cs="Times New Roman"/>
          <w:b/>
          <w:bCs/>
          <w:sz w:val="24"/>
          <w:szCs w:val="28"/>
          <w:shd w:val="clear" w:color="auto" w:fill="FFFFFF"/>
        </w:rPr>
        <w:t>. Specifications of the treatment (visit) process, in Hazard Ratios (HR)</w:t>
      </w:r>
      <w:r w:rsidR="00B24D32" w:rsidRPr="002F1D56">
        <w:rPr>
          <w:rFonts w:ascii="Times New Roman" w:hAnsi="Times New Roman" w:cs="Times New Roman"/>
          <w:b/>
          <w:bCs/>
          <w:sz w:val="24"/>
          <w:szCs w:val="28"/>
          <w:shd w:val="clear" w:color="auto" w:fill="FFFFFF"/>
        </w:rPr>
        <w:t xml:space="preserve"> and under different lagged variables scenarios</w:t>
      </w:r>
    </w:p>
    <w:p w14:paraId="3739653A" w14:textId="77777777" w:rsidR="008340E2" w:rsidRPr="002F1D56" w:rsidRDefault="008340E2" w:rsidP="008340E2">
      <w:pPr>
        <w:spacing w:after="0" w:line="240" w:lineRule="auto"/>
        <w:jc w:val="left"/>
        <w:rPr>
          <w:rFonts w:ascii="Times New Roman" w:hAnsi="Times New Roman" w:cs="Times New Roman"/>
          <w:sz w:val="24"/>
          <w:szCs w:val="28"/>
          <w:shd w:val="clear" w:color="auto" w:fill="FFFFFF"/>
        </w:rPr>
      </w:pPr>
    </w:p>
    <w:tbl>
      <w:tblPr>
        <w:tblW w:w="10349" w:type="dxa"/>
        <w:jc w:val="center"/>
        <w:tblCellMar>
          <w:left w:w="70" w:type="dxa"/>
          <w:right w:w="70" w:type="dxa"/>
        </w:tblCellMar>
        <w:tblLook w:val="04A0" w:firstRow="1" w:lastRow="0" w:firstColumn="1" w:lastColumn="0" w:noHBand="0" w:noVBand="1"/>
      </w:tblPr>
      <w:tblGrid>
        <w:gridCol w:w="6663"/>
        <w:gridCol w:w="1843"/>
        <w:gridCol w:w="1843"/>
      </w:tblGrid>
      <w:tr w:rsidR="00CF1AAD" w:rsidRPr="002F1D56" w14:paraId="5FC37E8A" w14:textId="00F75E58" w:rsidTr="00CF1AAD">
        <w:trPr>
          <w:trHeight w:val="300"/>
          <w:jc w:val="center"/>
        </w:trPr>
        <w:tc>
          <w:tcPr>
            <w:tcW w:w="6663" w:type="dxa"/>
            <w:tcBorders>
              <w:top w:val="single" w:sz="4" w:space="0" w:color="auto"/>
              <w:left w:val="nil"/>
              <w:bottom w:val="single" w:sz="4" w:space="0" w:color="auto"/>
              <w:right w:val="nil"/>
            </w:tcBorders>
            <w:noWrap/>
            <w:vAlign w:val="center"/>
            <w:hideMark/>
          </w:tcPr>
          <w:p w14:paraId="2FED3BB0"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Term</w:t>
            </w:r>
          </w:p>
        </w:tc>
        <w:tc>
          <w:tcPr>
            <w:tcW w:w="1843" w:type="dxa"/>
            <w:tcBorders>
              <w:top w:val="single" w:sz="4" w:space="0" w:color="auto"/>
              <w:left w:val="nil"/>
              <w:bottom w:val="single" w:sz="4" w:space="0" w:color="auto"/>
              <w:right w:val="nil"/>
            </w:tcBorders>
            <w:noWrap/>
            <w:vAlign w:val="center"/>
            <w:hideMark/>
          </w:tcPr>
          <w:p w14:paraId="3B178BB4"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HR (95% CI) lag=0</w:t>
            </w:r>
          </w:p>
        </w:tc>
        <w:tc>
          <w:tcPr>
            <w:tcW w:w="1843" w:type="dxa"/>
            <w:tcBorders>
              <w:top w:val="single" w:sz="4" w:space="0" w:color="auto"/>
              <w:left w:val="nil"/>
              <w:bottom w:val="single" w:sz="4" w:space="0" w:color="auto"/>
              <w:right w:val="nil"/>
            </w:tcBorders>
            <w:noWrap/>
            <w:vAlign w:val="center"/>
            <w:hideMark/>
          </w:tcPr>
          <w:p w14:paraId="11575E25" w14:textId="77777777" w:rsidR="00CF1AAD" w:rsidRPr="002F1D56" w:rsidRDefault="00CF1AAD">
            <w:pPr>
              <w:spacing w:after="0" w:line="240" w:lineRule="auto"/>
              <w:jc w:val="center"/>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HR (95% CI) lag=1</w:t>
            </w:r>
          </w:p>
        </w:tc>
      </w:tr>
      <w:tr w:rsidR="00CF1AAD" w:rsidRPr="002F1D56" w14:paraId="6233F7E6" w14:textId="1DF647B4" w:rsidTr="00CF1AAD">
        <w:trPr>
          <w:trHeight w:val="300"/>
          <w:jc w:val="center"/>
        </w:trPr>
        <w:tc>
          <w:tcPr>
            <w:tcW w:w="6663" w:type="dxa"/>
            <w:tcBorders>
              <w:top w:val="single" w:sz="4" w:space="0" w:color="auto"/>
              <w:left w:val="nil"/>
              <w:bottom w:val="nil"/>
              <w:right w:val="nil"/>
            </w:tcBorders>
            <w:noWrap/>
            <w:vAlign w:val="center"/>
            <w:hideMark/>
          </w:tcPr>
          <w:p w14:paraId="69DA70D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Treatment outcome of the previous treatment</w:t>
            </w:r>
          </w:p>
        </w:tc>
        <w:tc>
          <w:tcPr>
            <w:tcW w:w="1843" w:type="dxa"/>
            <w:tcBorders>
              <w:top w:val="single" w:sz="4" w:space="0" w:color="auto"/>
              <w:left w:val="nil"/>
              <w:bottom w:val="nil"/>
              <w:right w:val="nil"/>
            </w:tcBorders>
            <w:noWrap/>
            <w:vAlign w:val="center"/>
            <w:hideMark/>
          </w:tcPr>
          <w:p w14:paraId="7C26BEF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0.65 (0.63, 0.67)</w:t>
            </w:r>
          </w:p>
        </w:tc>
        <w:tc>
          <w:tcPr>
            <w:tcW w:w="1843" w:type="dxa"/>
            <w:tcBorders>
              <w:top w:val="single" w:sz="4" w:space="0" w:color="auto"/>
              <w:left w:val="nil"/>
              <w:bottom w:val="nil"/>
              <w:right w:val="nil"/>
            </w:tcBorders>
            <w:noWrap/>
            <w:vAlign w:val="center"/>
            <w:hideMark/>
          </w:tcPr>
          <w:p w14:paraId="7579F18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1.30 (1.26, 1.34)</w:t>
            </w:r>
          </w:p>
        </w:tc>
      </w:tr>
      <w:tr w:rsidR="00CF1AAD" w:rsidRPr="002F1D56" w14:paraId="2C7541C2" w14:textId="3BD0F9F6" w:rsidTr="00CF1AAD">
        <w:trPr>
          <w:trHeight w:val="300"/>
          <w:jc w:val="center"/>
        </w:trPr>
        <w:tc>
          <w:tcPr>
            <w:tcW w:w="6663" w:type="dxa"/>
            <w:noWrap/>
            <w:vAlign w:val="center"/>
            <w:hideMark/>
          </w:tcPr>
          <w:p w14:paraId="7EBA186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Previous treatment duration (in logarithmic scaled days)</w:t>
            </w:r>
          </w:p>
        </w:tc>
        <w:tc>
          <w:tcPr>
            <w:tcW w:w="1843" w:type="dxa"/>
            <w:noWrap/>
            <w:vAlign w:val="center"/>
            <w:hideMark/>
          </w:tcPr>
          <w:p w14:paraId="44463BAC"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0.85 (0.84, 0.86)</w:t>
            </w:r>
          </w:p>
        </w:tc>
        <w:tc>
          <w:tcPr>
            <w:tcW w:w="1843" w:type="dxa"/>
            <w:noWrap/>
            <w:vAlign w:val="center"/>
            <w:hideMark/>
          </w:tcPr>
          <w:p w14:paraId="556C07D4"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1.48 (1.44, 1.53)</w:t>
            </w:r>
          </w:p>
        </w:tc>
      </w:tr>
      <w:tr w:rsidR="00CF1AAD" w:rsidRPr="002F1D56" w14:paraId="031EF634" w14:textId="22D43745" w:rsidTr="00CF1AAD">
        <w:trPr>
          <w:trHeight w:val="300"/>
          <w:jc w:val="center"/>
        </w:trPr>
        <w:tc>
          <w:tcPr>
            <w:tcW w:w="6663" w:type="dxa"/>
            <w:noWrap/>
            <w:vAlign w:val="center"/>
            <w:hideMark/>
          </w:tcPr>
          <w:p w14:paraId="29687EF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Previous treatment duration (&lt;90 days)</w:t>
            </w:r>
          </w:p>
        </w:tc>
        <w:tc>
          <w:tcPr>
            <w:tcW w:w="1843" w:type="dxa"/>
            <w:noWrap/>
            <w:vAlign w:val="center"/>
            <w:hideMark/>
          </w:tcPr>
          <w:p w14:paraId="28DC0BF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0.69 (0.67, 0.72)</w:t>
            </w:r>
          </w:p>
        </w:tc>
        <w:tc>
          <w:tcPr>
            <w:tcW w:w="1843" w:type="dxa"/>
            <w:noWrap/>
            <w:vAlign w:val="center"/>
            <w:hideMark/>
          </w:tcPr>
          <w:p w14:paraId="1CC3159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2.63 (2.52, 2.74)</w:t>
            </w:r>
          </w:p>
        </w:tc>
      </w:tr>
      <w:tr w:rsidR="00CF1AAD" w:rsidRPr="002F1D56" w14:paraId="3062B0F6" w14:textId="177853E3" w:rsidTr="00CF1AAD">
        <w:trPr>
          <w:trHeight w:val="300"/>
          <w:jc w:val="center"/>
        </w:trPr>
        <w:tc>
          <w:tcPr>
            <w:tcW w:w="6663" w:type="dxa"/>
            <w:noWrap/>
            <w:vAlign w:val="center"/>
            <w:hideMark/>
          </w:tcPr>
          <w:p w14:paraId="55D7E7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Previous biopsychosocial compromise (severe)</w:t>
            </w:r>
          </w:p>
        </w:tc>
        <w:tc>
          <w:tcPr>
            <w:tcW w:w="1843" w:type="dxa"/>
            <w:noWrap/>
            <w:vAlign w:val="center"/>
            <w:hideMark/>
          </w:tcPr>
          <w:p w14:paraId="56E87FE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 (0.85, 0.90)</w:t>
            </w:r>
          </w:p>
        </w:tc>
        <w:tc>
          <w:tcPr>
            <w:tcW w:w="1843" w:type="dxa"/>
            <w:noWrap/>
            <w:vAlign w:val="center"/>
            <w:hideMark/>
          </w:tcPr>
          <w:p w14:paraId="307FC2D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1.54 (1.50, 1.57)</w:t>
            </w:r>
          </w:p>
        </w:tc>
      </w:tr>
      <w:tr w:rsidR="00CF1AAD" w:rsidRPr="002F1D56" w14:paraId="38B6858E" w14:textId="03EC1581" w:rsidTr="00CF1AAD">
        <w:trPr>
          <w:trHeight w:val="300"/>
          <w:jc w:val="center"/>
        </w:trPr>
        <w:tc>
          <w:tcPr>
            <w:tcW w:w="6663" w:type="dxa"/>
            <w:noWrap/>
            <w:vAlign w:val="center"/>
            <w:hideMark/>
          </w:tcPr>
          <w:p w14:paraId="552B94B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Polysubstance use status of the previous treatment</w:t>
            </w:r>
          </w:p>
        </w:tc>
        <w:tc>
          <w:tcPr>
            <w:tcW w:w="1843" w:type="dxa"/>
            <w:noWrap/>
            <w:vAlign w:val="center"/>
            <w:hideMark/>
          </w:tcPr>
          <w:p w14:paraId="03F46DE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0.62 (0.61, 0.64)</w:t>
            </w:r>
          </w:p>
        </w:tc>
        <w:tc>
          <w:tcPr>
            <w:tcW w:w="1843" w:type="dxa"/>
            <w:noWrap/>
            <w:vAlign w:val="center"/>
            <w:hideMark/>
          </w:tcPr>
          <w:p w14:paraId="5327CB7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1.26 (1.22, 1.30)</w:t>
            </w:r>
          </w:p>
        </w:tc>
      </w:tr>
      <w:tr w:rsidR="00CF1AAD" w:rsidRPr="002F1D56" w14:paraId="7A7E67BE" w14:textId="7ACD990C" w:rsidTr="00CF1AAD">
        <w:trPr>
          <w:trHeight w:val="300"/>
          <w:jc w:val="center"/>
        </w:trPr>
        <w:tc>
          <w:tcPr>
            <w:tcW w:w="6663" w:type="dxa"/>
            <w:noWrap/>
            <w:vAlign w:val="center"/>
            <w:hideMark/>
          </w:tcPr>
          <w:p w14:paraId="4D2E57D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Age at admission to treatment</w:t>
            </w:r>
          </w:p>
        </w:tc>
        <w:tc>
          <w:tcPr>
            <w:tcW w:w="1843" w:type="dxa"/>
            <w:noWrap/>
            <w:vAlign w:val="center"/>
            <w:hideMark/>
          </w:tcPr>
          <w:p w14:paraId="05EC1F2F"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(1.05, 1.06)</w:t>
            </w:r>
          </w:p>
        </w:tc>
        <w:tc>
          <w:tcPr>
            <w:tcW w:w="1843" w:type="dxa"/>
            <w:noWrap/>
            <w:vAlign w:val="center"/>
            <w:hideMark/>
          </w:tcPr>
          <w:p w14:paraId="4E75064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18D267CC" w14:textId="75DEF50E" w:rsidTr="00CF1AAD">
        <w:trPr>
          <w:trHeight w:val="300"/>
          <w:jc w:val="center"/>
        </w:trPr>
        <w:tc>
          <w:tcPr>
            <w:tcW w:w="6663" w:type="dxa"/>
            <w:noWrap/>
            <w:vAlign w:val="center"/>
            <w:hideMark/>
          </w:tcPr>
          <w:p w14:paraId="5E5EECB1"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Birth year</w:t>
            </w:r>
          </w:p>
        </w:tc>
        <w:tc>
          <w:tcPr>
            <w:tcW w:w="1843" w:type="dxa"/>
            <w:noWrap/>
            <w:vAlign w:val="center"/>
            <w:hideMark/>
          </w:tcPr>
          <w:p w14:paraId="7AAB282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c>
          <w:tcPr>
            <w:tcW w:w="1843" w:type="dxa"/>
            <w:noWrap/>
            <w:vAlign w:val="center"/>
            <w:hideMark/>
          </w:tcPr>
          <w:p w14:paraId="132F4E1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1.06 (1.06, 1.06)</w:t>
            </w:r>
          </w:p>
        </w:tc>
      </w:tr>
      <w:tr w:rsidR="00CF1AAD" w:rsidRPr="002F1D56" w14:paraId="7653CF36" w14:textId="5321C0D7" w:rsidTr="00CF1AAD">
        <w:trPr>
          <w:trHeight w:val="300"/>
          <w:jc w:val="center"/>
        </w:trPr>
        <w:tc>
          <w:tcPr>
            <w:tcW w:w="6663" w:type="dxa"/>
            <w:noWrap/>
            <w:vAlign w:val="center"/>
            <w:hideMark/>
          </w:tcPr>
          <w:p w14:paraId="5AE4C87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cocaine</w:t>
            </w:r>
          </w:p>
        </w:tc>
        <w:tc>
          <w:tcPr>
            <w:tcW w:w="1843" w:type="dxa"/>
            <w:noWrap/>
            <w:vAlign w:val="center"/>
            <w:hideMark/>
          </w:tcPr>
          <w:p w14:paraId="15EC32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c>
          <w:tcPr>
            <w:tcW w:w="1843" w:type="dxa"/>
            <w:noWrap/>
            <w:vAlign w:val="center"/>
            <w:hideMark/>
          </w:tcPr>
          <w:p w14:paraId="2169E3C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r w:rsidR="00CF1AAD" w:rsidRPr="002F1D56" w14:paraId="174641F7" w14:textId="418A06DB" w:rsidTr="00CF1AAD">
        <w:trPr>
          <w:trHeight w:val="300"/>
          <w:jc w:val="center"/>
        </w:trPr>
        <w:tc>
          <w:tcPr>
            <w:tcW w:w="6663" w:type="dxa"/>
            <w:noWrap/>
            <w:vAlign w:val="center"/>
            <w:hideMark/>
          </w:tcPr>
          <w:p w14:paraId="084131DF"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(initial diagnosis), alcohol</w:t>
            </w:r>
          </w:p>
        </w:tc>
        <w:tc>
          <w:tcPr>
            <w:tcW w:w="1843" w:type="dxa"/>
            <w:noWrap/>
            <w:vAlign w:val="center"/>
            <w:hideMark/>
          </w:tcPr>
          <w:p w14:paraId="4822F72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(0.96, 1.07)</w:t>
            </w:r>
          </w:p>
        </w:tc>
        <w:tc>
          <w:tcPr>
            <w:tcW w:w="1843" w:type="dxa"/>
            <w:noWrap/>
            <w:vAlign w:val="center"/>
            <w:hideMark/>
          </w:tcPr>
          <w:p w14:paraId="007157E9"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r>
      <w:tr w:rsidR="00CF1AAD" w:rsidRPr="002F1D56" w14:paraId="2A647D93" w14:textId="438C83C4" w:rsidTr="00CF1AAD">
        <w:trPr>
          <w:trHeight w:val="300"/>
          <w:jc w:val="center"/>
        </w:trPr>
        <w:tc>
          <w:tcPr>
            <w:tcW w:w="6663" w:type="dxa"/>
            <w:noWrap/>
            <w:vAlign w:val="center"/>
            <w:hideMark/>
          </w:tcPr>
          <w:p w14:paraId="7D5D5CAC"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Primary substance (initial diagnosis), cocaine base paste</w:t>
            </w:r>
          </w:p>
        </w:tc>
        <w:tc>
          <w:tcPr>
            <w:tcW w:w="1843" w:type="dxa"/>
            <w:noWrap/>
            <w:vAlign w:val="center"/>
            <w:hideMark/>
          </w:tcPr>
          <w:p w14:paraId="01B923D1"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(0.92, 1.04)</w:t>
            </w:r>
          </w:p>
        </w:tc>
        <w:tc>
          <w:tcPr>
            <w:tcW w:w="1843" w:type="dxa"/>
            <w:noWrap/>
            <w:vAlign w:val="center"/>
            <w:hideMark/>
          </w:tcPr>
          <w:p w14:paraId="369FC565"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(0.99, 1.11)</w:t>
            </w:r>
          </w:p>
        </w:tc>
      </w:tr>
      <w:tr w:rsidR="00CF1AAD" w:rsidRPr="002F1D56" w14:paraId="57116F40" w14:textId="08482E72" w:rsidTr="00CF1AAD">
        <w:trPr>
          <w:trHeight w:val="300"/>
          <w:jc w:val="center"/>
        </w:trPr>
        <w:tc>
          <w:tcPr>
            <w:tcW w:w="6663" w:type="dxa"/>
            <w:noWrap/>
            <w:vAlign w:val="center"/>
            <w:hideMark/>
          </w:tcPr>
          <w:p w14:paraId="6C323EA0"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Primary substance (initial diagnosis), marijuana</w:t>
            </w:r>
          </w:p>
        </w:tc>
        <w:tc>
          <w:tcPr>
            <w:tcW w:w="1843" w:type="dxa"/>
            <w:noWrap/>
            <w:vAlign w:val="center"/>
            <w:hideMark/>
          </w:tcPr>
          <w:p w14:paraId="5E99723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(0.99, 1.10)</w:t>
            </w:r>
          </w:p>
        </w:tc>
        <w:tc>
          <w:tcPr>
            <w:tcW w:w="1843" w:type="dxa"/>
            <w:noWrap/>
            <w:vAlign w:val="center"/>
            <w:hideMark/>
          </w:tcPr>
          <w:p w14:paraId="3FC0809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(0.98, 1.09)</w:t>
            </w:r>
          </w:p>
        </w:tc>
      </w:tr>
      <w:tr w:rsidR="00CF1AAD" w:rsidRPr="002F1D56" w14:paraId="21E1F652" w14:textId="6E8C0FCD" w:rsidTr="00CF1AAD">
        <w:trPr>
          <w:trHeight w:val="300"/>
          <w:jc w:val="center"/>
        </w:trPr>
        <w:tc>
          <w:tcPr>
            <w:tcW w:w="6663" w:type="dxa"/>
            <w:noWrap/>
            <w:vAlign w:val="center"/>
            <w:hideMark/>
          </w:tcPr>
          <w:p w14:paraId="52E5E103"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Psychiatric comorbidity (confirmed comorbidity)</w:t>
            </w:r>
          </w:p>
        </w:tc>
        <w:tc>
          <w:tcPr>
            <w:tcW w:w="1843" w:type="dxa"/>
            <w:noWrap/>
            <w:vAlign w:val="center"/>
            <w:hideMark/>
          </w:tcPr>
          <w:p w14:paraId="57F6061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(0.99, 1.02)</w:t>
            </w:r>
          </w:p>
        </w:tc>
        <w:tc>
          <w:tcPr>
            <w:tcW w:w="1843" w:type="dxa"/>
            <w:noWrap/>
            <w:vAlign w:val="center"/>
            <w:hideMark/>
          </w:tcPr>
          <w:p w14:paraId="145527B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766F189C" w14:textId="2FD4F2F2" w:rsidTr="00CF1AAD">
        <w:trPr>
          <w:trHeight w:val="300"/>
          <w:jc w:val="center"/>
        </w:trPr>
        <w:tc>
          <w:tcPr>
            <w:tcW w:w="6663" w:type="dxa"/>
            <w:noWrap/>
            <w:vAlign w:val="center"/>
            <w:hideMark/>
          </w:tcPr>
          <w:p w14:paraId="74B362E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Psychiatric comorbidity (diagnosis unknown or under study)</w:t>
            </w:r>
          </w:p>
        </w:tc>
        <w:tc>
          <w:tcPr>
            <w:tcW w:w="1843" w:type="dxa"/>
            <w:noWrap/>
            <w:vAlign w:val="center"/>
            <w:hideMark/>
          </w:tcPr>
          <w:p w14:paraId="20E6443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 (0.98, 1.03)</w:t>
            </w:r>
          </w:p>
        </w:tc>
        <w:tc>
          <w:tcPr>
            <w:tcW w:w="1843" w:type="dxa"/>
            <w:noWrap/>
            <w:vAlign w:val="center"/>
            <w:hideMark/>
          </w:tcPr>
          <w:p w14:paraId="3CD29A1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0.74 (0.72, 0.76)</w:t>
            </w:r>
          </w:p>
        </w:tc>
      </w:tr>
      <w:tr w:rsidR="00CF1AAD" w:rsidRPr="002F1D56" w14:paraId="2255F609" w14:textId="796D5F40" w:rsidTr="00CF1AAD">
        <w:trPr>
          <w:trHeight w:val="300"/>
          <w:jc w:val="center"/>
        </w:trPr>
        <w:tc>
          <w:tcPr>
            <w:tcW w:w="6663" w:type="dxa"/>
            <w:noWrap/>
            <w:vAlign w:val="center"/>
            <w:hideMark/>
          </w:tcPr>
          <w:p w14:paraId="1F0FFCD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Daily frequence of primary substance use at admission</w:t>
            </w:r>
          </w:p>
        </w:tc>
        <w:tc>
          <w:tcPr>
            <w:tcW w:w="1843" w:type="dxa"/>
            <w:noWrap/>
            <w:vAlign w:val="center"/>
            <w:hideMark/>
          </w:tcPr>
          <w:p w14:paraId="43640B7D"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1.02 (1.01, 1.04)</w:t>
            </w:r>
          </w:p>
        </w:tc>
        <w:tc>
          <w:tcPr>
            <w:tcW w:w="1843" w:type="dxa"/>
            <w:noWrap/>
            <w:vAlign w:val="center"/>
            <w:hideMark/>
          </w:tcPr>
          <w:p w14:paraId="7019A182"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0.95 (0.94, 0.97)</w:t>
            </w:r>
          </w:p>
        </w:tc>
      </w:tr>
      <w:tr w:rsidR="00CF1AAD" w:rsidRPr="002F1D56" w14:paraId="0369C6FA" w14:textId="65EAD2ED" w:rsidTr="00CF1AAD">
        <w:trPr>
          <w:trHeight w:val="300"/>
          <w:jc w:val="center"/>
        </w:trPr>
        <w:tc>
          <w:tcPr>
            <w:tcW w:w="6663" w:type="dxa"/>
            <w:noWrap/>
            <w:vAlign w:val="center"/>
            <w:hideMark/>
          </w:tcPr>
          <w:p w14:paraId="56CC69D8"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Occupational status (inactive)</w:t>
            </w:r>
          </w:p>
        </w:tc>
        <w:tc>
          <w:tcPr>
            <w:tcW w:w="1843" w:type="dxa"/>
            <w:noWrap/>
            <w:vAlign w:val="center"/>
            <w:hideMark/>
          </w:tcPr>
          <w:p w14:paraId="7B05749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(0.96, 1.01)</w:t>
            </w:r>
          </w:p>
        </w:tc>
        <w:tc>
          <w:tcPr>
            <w:tcW w:w="1843" w:type="dxa"/>
            <w:noWrap/>
            <w:vAlign w:val="center"/>
            <w:hideMark/>
          </w:tcPr>
          <w:p w14:paraId="1B57692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0.96 (0.94, 0.99)</w:t>
            </w:r>
          </w:p>
        </w:tc>
      </w:tr>
      <w:tr w:rsidR="00CF1AAD" w:rsidRPr="002F1D56" w14:paraId="060A9C85" w14:textId="77EB2512" w:rsidTr="00CF1AAD">
        <w:trPr>
          <w:trHeight w:val="300"/>
          <w:jc w:val="center"/>
        </w:trPr>
        <w:tc>
          <w:tcPr>
            <w:tcW w:w="6663" w:type="dxa"/>
            <w:noWrap/>
            <w:vAlign w:val="center"/>
            <w:hideMark/>
          </w:tcPr>
          <w:p w14:paraId="0C031514"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Occupational status (unemployed)</w:t>
            </w:r>
          </w:p>
        </w:tc>
        <w:tc>
          <w:tcPr>
            <w:tcW w:w="1843" w:type="dxa"/>
            <w:noWrap/>
            <w:vAlign w:val="center"/>
            <w:hideMark/>
          </w:tcPr>
          <w:p w14:paraId="6D4C52D7"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(1.01, 1.05)</w:t>
            </w:r>
          </w:p>
        </w:tc>
        <w:tc>
          <w:tcPr>
            <w:tcW w:w="1843" w:type="dxa"/>
            <w:noWrap/>
            <w:vAlign w:val="center"/>
            <w:hideMark/>
          </w:tcPr>
          <w:p w14:paraId="2412F340"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0.98 (0.96, 1.00)</w:t>
            </w:r>
          </w:p>
        </w:tc>
      </w:tr>
      <w:tr w:rsidR="00CF1AAD" w:rsidRPr="002F1D56" w14:paraId="0E5042B0" w14:textId="3F41DD33" w:rsidTr="00CF1AAD">
        <w:trPr>
          <w:trHeight w:val="300"/>
          <w:jc w:val="center"/>
        </w:trPr>
        <w:tc>
          <w:tcPr>
            <w:tcW w:w="6663" w:type="dxa"/>
            <w:noWrap/>
            <w:vAlign w:val="center"/>
            <w:hideMark/>
          </w:tcPr>
          <w:p w14:paraId="60234B9E"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(alcohol)</w:t>
            </w:r>
          </w:p>
        </w:tc>
        <w:tc>
          <w:tcPr>
            <w:tcW w:w="1843" w:type="dxa"/>
            <w:noWrap/>
            <w:vAlign w:val="center"/>
            <w:hideMark/>
          </w:tcPr>
          <w:p w14:paraId="4518DA2B"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 (0.93, 1.06)</w:t>
            </w:r>
          </w:p>
        </w:tc>
        <w:tc>
          <w:tcPr>
            <w:tcW w:w="1843" w:type="dxa"/>
            <w:noWrap/>
            <w:vAlign w:val="center"/>
            <w:hideMark/>
          </w:tcPr>
          <w:p w14:paraId="6576816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(0.96, 1.09)</w:t>
            </w:r>
          </w:p>
        </w:tc>
      </w:tr>
      <w:tr w:rsidR="00CF1AAD" w:rsidRPr="002F1D56" w14:paraId="09909D4B" w14:textId="2C3E7957" w:rsidTr="00CF1AAD">
        <w:trPr>
          <w:trHeight w:val="300"/>
          <w:jc w:val="center"/>
        </w:trPr>
        <w:tc>
          <w:tcPr>
            <w:tcW w:w="6663" w:type="dxa"/>
            <w:noWrap/>
            <w:vAlign w:val="center"/>
            <w:hideMark/>
          </w:tcPr>
          <w:p w14:paraId="381B18BA"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hydrochloride)</w:t>
            </w:r>
          </w:p>
        </w:tc>
        <w:tc>
          <w:tcPr>
            <w:tcW w:w="1843" w:type="dxa"/>
            <w:noWrap/>
            <w:vAlign w:val="center"/>
            <w:hideMark/>
          </w:tcPr>
          <w:p w14:paraId="029079A8"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1.11 (1.04, 1.19)</w:t>
            </w:r>
          </w:p>
        </w:tc>
        <w:tc>
          <w:tcPr>
            <w:tcW w:w="1843" w:type="dxa"/>
            <w:noWrap/>
            <w:vAlign w:val="center"/>
            <w:hideMark/>
          </w:tcPr>
          <w:p w14:paraId="7B97CC96"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1.03 (0.97, 1.10)</w:t>
            </w:r>
          </w:p>
        </w:tc>
      </w:tr>
      <w:tr w:rsidR="00CF1AAD" w:rsidRPr="002F1D56" w14:paraId="370F2AD1" w14:textId="272FB7AE" w:rsidTr="00CF1AAD">
        <w:trPr>
          <w:trHeight w:val="300"/>
          <w:jc w:val="center"/>
        </w:trPr>
        <w:tc>
          <w:tcPr>
            <w:tcW w:w="6663" w:type="dxa"/>
            <w:noWrap/>
            <w:vAlign w:val="center"/>
            <w:hideMark/>
          </w:tcPr>
          <w:p w14:paraId="0BEF07F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(cocaine base paste)</w:t>
            </w:r>
          </w:p>
        </w:tc>
        <w:tc>
          <w:tcPr>
            <w:tcW w:w="1843" w:type="dxa"/>
            <w:noWrap/>
            <w:vAlign w:val="center"/>
            <w:hideMark/>
          </w:tcPr>
          <w:p w14:paraId="6C11274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1.14 (1.07, 1.22)</w:t>
            </w:r>
          </w:p>
        </w:tc>
        <w:tc>
          <w:tcPr>
            <w:tcW w:w="1843" w:type="dxa"/>
            <w:noWrap/>
            <w:vAlign w:val="center"/>
            <w:hideMark/>
          </w:tcPr>
          <w:p w14:paraId="691DCB5A"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1.01 (0.95, 1.08)</w:t>
            </w:r>
          </w:p>
        </w:tc>
      </w:tr>
      <w:tr w:rsidR="00CF1AAD" w:rsidRPr="002F1D56" w14:paraId="4D5DEF57" w14:textId="56F4D718" w:rsidTr="00CF1AAD">
        <w:trPr>
          <w:trHeight w:val="300"/>
          <w:jc w:val="center"/>
        </w:trPr>
        <w:tc>
          <w:tcPr>
            <w:tcW w:w="6663" w:type="dxa"/>
            <w:tcBorders>
              <w:top w:val="nil"/>
              <w:left w:val="nil"/>
              <w:bottom w:val="single" w:sz="4" w:space="0" w:color="auto"/>
              <w:right w:val="nil"/>
            </w:tcBorders>
            <w:noWrap/>
            <w:vAlign w:val="center"/>
            <w:hideMark/>
          </w:tcPr>
          <w:p w14:paraId="5BEA55B6" w14:textId="77777777" w:rsidR="00CF1AAD" w:rsidRPr="002F1D56" w:rsidRDefault="00CF1AAD" w:rsidP="00CF1AAD">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Primary substance at admission to treatment (marijuana)</w:t>
            </w:r>
          </w:p>
        </w:tc>
        <w:tc>
          <w:tcPr>
            <w:tcW w:w="1843" w:type="dxa"/>
            <w:tcBorders>
              <w:top w:val="nil"/>
              <w:left w:val="nil"/>
              <w:bottom w:val="single" w:sz="4" w:space="0" w:color="auto"/>
              <w:right w:val="nil"/>
            </w:tcBorders>
            <w:noWrap/>
            <w:vAlign w:val="center"/>
            <w:hideMark/>
          </w:tcPr>
          <w:p w14:paraId="47E71363"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1.04 (0.96, 1.12)</w:t>
            </w:r>
          </w:p>
        </w:tc>
        <w:tc>
          <w:tcPr>
            <w:tcW w:w="1843" w:type="dxa"/>
            <w:tcBorders>
              <w:top w:val="nil"/>
              <w:left w:val="nil"/>
              <w:bottom w:val="single" w:sz="4" w:space="0" w:color="auto"/>
              <w:right w:val="nil"/>
            </w:tcBorders>
            <w:noWrap/>
            <w:vAlign w:val="center"/>
            <w:hideMark/>
          </w:tcPr>
          <w:p w14:paraId="06DFA8DE" w14:textId="77777777" w:rsidR="00CF1AAD" w:rsidRPr="002F1D56" w:rsidRDefault="00CF1AAD" w:rsidP="00CF1AAD">
            <w:pPr>
              <w:spacing w:after="0" w:line="240" w:lineRule="auto"/>
              <w:jc w:val="righ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1.05 (0.98, 1.12)</w:t>
            </w:r>
          </w:p>
        </w:tc>
      </w:tr>
    </w:tbl>
    <w:p w14:paraId="27B3BA45"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 xml:space="preserve">Note. 95%CI= 95% confidence intervals in parenthesis; Intensity model, in Andersen-Gill format, </w:t>
      </w:r>
    </w:p>
    <w:p w14:paraId="34FD9E7E" w14:textId="77777777" w:rsidR="008340E2" w:rsidRPr="0065310D" w:rsidRDefault="008340E2" w:rsidP="0065310D">
      <w:pPr>
        <w:spacing w:after="0" w:line="240" w:lineRule="auto"/>
        <w:ind w:left="709"/>
        <w:jc w:val="left"/>
        <w:rPr>
          <w:rFonts w:ascii="Times New Roman" w:hAnsi="Times New Roman" w:cs="Times New Roman"/>
          <w:shd w:val="clear" w:color="auto" w:fill="FFFFFF"/>
        </w:rPr>
      </w:pPr>
      <w:r w:rsidRPr="0065310D">
        <w:rPr>
          <w:rFonts w:ascii="Times New Roman" w:hAnsi="Times New Roman" w:cs="Times New Roman"/>
          <w:shd w:val="clear" w:color="auto" w:fill="FFFFFF"/>
        </w:rPr>
        <w:t>lag=0: Lagged covariates were fixed to 0 for binary variables and natural logarithm of 45 days in a hypothetical previous treatment stay for the first treatment; lag=1: Lagged covariates were fixed to 1 for binary variables and natural logarithm of 90 days in a hypothetical previous treatment stay for the first treatment.</w:t>
      </w:r>
    </w:p>
    <w:p w14:paraId="28ADB863" w14:textId="16191206" w:rsidR="008340E2" w:rsidRPr="002F1D56" w:rsidRDefault="008340E2">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41E7861D" w14:textId="2E40BF2E" w:rsidR="008340E2" w:rsidRPr="002F1D56" w:rsidRDefault="008340E2" w:rsidP="00B05733">
      <w:pPr>
        <w:spacing w:line="259" w:lineRule="auto"/>
        <w:ind w:firstLine="709"/>
        <w:jc w:val="left"/>
        <w:rPr>
          <w:rFonts w:ascii="Times New Roman" w:hAnsi="Times New Roman" w:cs="Times New Roman"/>
          <w:b/>
          <w:bCs/>
          <w:sz w:val="24"/>
          <w:szCs w:val="28"/>
          <w:shd w:val="clear" w:color="auto" w:fill="FFFFFF"/>
        </w:rPr>
      </w:pPr>
      <w:r w:rsidRPr="002F1D56">
        <w:rPr>
          <w:rFonts w:ascii="Times New Roman" w:hAnsi="Times New Roman" w:cs="Times New Roman"/>
          <w:b/>
          <w:bCs/>
          <w:sz w:val="24"/>
          <w:szCs w:val="28"/>
          <w:shd w:val="clear" w:color="auto" w:fill="FFFFFF"/>
        </w:rPr>
        <w:lastRenderedPageBreak/>
        <w:t>Table S</w:t>
      </w:r>
      <w:r w:rsidR="0065310D">
        <w:rPr>
          <w:rFonts w:ascii="Times New Roman" w:hAnsi="Times New Roman" w:cs="Times New Roman"/>
          <w:b/>
          <w:bCs/>
          <w:sz w:val="24"/>
          <w:szCs w:val="28"/>
          <w:shd w:val="clear" w:color="auto" w:fill="FFFFFF"/>
        </w:rPr>
        <w:t>4</w:t>
      </w:r>
      <w:r w:rsidRPr="002F1D56">
        <w:rPr>
          <w:rFonts w:ascii="Times New Roman" w:hAnsi="Times New Roman" w:cs="Times New Roman"/>
          <w:b/>
          <w:bCs/>
          <w:sz w:val="24"/>
          <w:szCs w:val="28"/>
          <w:shd w:val="clear" w:color="auto" w:fill="FFFFFF"/>
        </w:rPr>
        <w:t xml:space="preserve">. </w:t>
      </w:r>
      <w:r w:rsidR="00435289" w:rsidRPr="002F1D56">
        <w:rPr>
          <w:rFonts w:ascii="Times New Roman" w:hAnsi="Times New Roman" w:cs="Times New Roman"/>
          <w:b/>
          <w:bCs/>
          <w:sz w:val="24"/>
          <w:szCs w:val="28"/>
          <w:shd w:val="clear" w:color="auto" w:fill="FFFFFF"/>
        </w:rPr>
        <w:t>Descriptive characterization of inverse intensity weights</w:t>
      </w:r>
    </w:p>
    <w:tbl>
      <w:tblPr>
        <w:tblW w:w="12241" w:type="dxa"/>
        <w:tblBorders>
          <w:bottom w:val="single" w:sz="4" w:space="0" w:color="auto"/>
        </w:tblBorders>
        <w:tblCellMar>
          <w:left w:w="70" w:type="dxa"/>
          <w:right w:w="70" w:type="dxa"/>
        </w:tblCellMar>
        <w:tblLook w:val="04A0" w:firstRow="1" w:lastRow="0" w:firstColumn="1" w:lastColumn="0" w:noHBand="0" w:noVBand="1"/>
      </w:tblPr>
      <w:tblGrid>
        <w:gridCol w:w="5954"/>
        <w:gridCol w:w="776"/>
        <w:gridCol w:w="1634"/>
        <w:gridCol w:w="866"/>
        <w:gridCol w:w="717"/>
        <w:gridCol w:w="1677"/>
        <w:gridCol w:w="623"/>
      </w:tblGrid>
      <w:tr w:rsidR="00435289" w:rsidRPr="002F1D56" w14:paraId="2B0FBEE0" w14:textId="77777777" w:rsidTr="005A5AE1">
        <w:trPr>
          <w:trHeight w:val="300"/>
        </w:trPr>
        <w:tc>
          <w:tcPr>
            <w:tcW w:w="5954" w:type="dxa"/>
            <w:tcBorders>
              <w:top w:val="single" w:sz="4" w:space="0" w:color="auto"/>
              <w:bottom w:val="single" w:sz="4" w:space="0" w:color="auto"/>
            </w:tcBorders>
            <w:shd w:val="clear" w:color="auto" w:fill="auto"/>
            <w:noWrap/>
            <w:vAlign w:val="bottom"/>
            <w:hideMark/>
          </w:tcPr>
          <w:p w14:paraId="033A4914" w14:textId="4FCE4B89"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Visit intensity model</w:t>
            </w:r>
          </w:p>
        </w:tc>
        <w:tc>
          <w:tcPr>
            <w:tcW w:w="776" w:type="dxa"/>
            <w:tcBorders>
              <w:top w:val="single" w:sz="4" w:space="0" w:color="auto"/>
              <w:bottom w:val="single" w:sz="4" w:space="0" w:color="auto"/>
            </w:tcBorders>
            <w:shd w:val="clear" w:color="auto" w:fill="auto"/>
            <w:noWrap/>
            <w:vAlign w:val="bottom"/>
            <w:hideMark/>
          </w:tcPr>
          <w:p w14:paraId="6E1227A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Min.</w:t>
            </w:r>
          </w:p>
        </w:tc>
        <w:tc>
          <w:tcPr>
            <w:tcW w:w="1634" w:type="dxa"/>
            <w:tcBorders>
              <w:top w:val="single" w:sz="4" w:space="0" w:color="auto"/>
              <w:bottom w:val="single" w:sz="4" w:space="0" w:color="auto"/>
            </w:tcBorders>
            <w:shd w:val="clear" w:color="auto" w:fill="auto"/>
            <w:noWrap/>
            <w:vAlign w:val="bottom"/>
            <w:hideMark/>
          </w:tcPr>
          <w:p w14:paraId="49874181"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First quartile</w:t>
            </w:r>
          </w:p>
        </w:tc>
        <w:tc>
          <w:tcPr>
            <w:tcW w:w="866" w:type="dxa"/>
            <w:tcBorders>
              <w:top w:val="single" w:sz="4" w:space="0" w:color="auto"/>
              <w:bottom w:val="single" w:sz="4" w:space="0" w:color="auto"/>
            </w:tcBorders>
            <w:shd w:val="clear" w:color="auto" w:fill="auto"/>
            <w:noWrap/>
            <w:vAlign w:val="bottom"/>
            <w:hideMark/>
          </w:tcPr>
          <w:p w14:paraId="64E8BF90"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Median</w:t>
            </w:r>
          </w:p>
        </w:tc>
        <w:tc>
          <w:tcPr>
            <w:tcW w:w="717" w:type="dxa"/>
            <w:tcBorders>
              <w:top w:val="single" w:sz="4" w:space="0" w:color="auto"/>
              <w:bottom w:val="single" w:sz="4" w:space="0" w:color="auto"/>
            </w:tcBorders>
            <w:shd w:val="clear" w:color="auto" w:fill="auto"/>
            <w:noWrap/>
            <w:vAlign w:val="bottom"/>
            <w:hideMark/>
          </w:tcPr>
          <w:p w14:paraId="5009DF03"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Mean</w:t>
            </w:r>
          </w:p>
        </w:tc>
        <w:tc>
          <w:tcPr>
            <w:tcW w:w="1677" w:type="dxa"/>
            <w:tcBorders>
              <w:top w:val="single" w:sz="4" w:space="0" w:color="auto"/>
              <w:bottom w:val="single" w:sz="4" w:space="0" w:color="auto"/>
            </w:tcBorders>
            <w:shd w:val="clear" w:color="auto" w:fill="auto"/>
            <w:noWrap/>
            <w:vAlign w:val="bottom"/>
            <w:hideMark/>
          </w:tcPr>
          <w:p w14:paraId="25BD5EEB"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Third quartile</w:t>
            </w:r>
          </w:p>
        </w:tc>
        <w:tc>
          <w:tcPr>
            <w:tcW w:w="617" w:type="dxa"/>
            <w:tcBorders>
              <w:top w:val="single" w:sz="4" w:space="0" w:color="auto"/>
              <w:bottom w:val="single" w:sz="4" w:space="0" w:color="auto"/>
            </w:tcBorders>
            <w:shd w:val="clear" w:color="auto" w:fill="auto"/>
            <w:noWrap/>
            <w:vAlign w:val="bottom"/>
            <w:hideMark/>
          </w:tcPr>
          <w:p w14:paraId="6CEF1544" w14:textId="77777777" w:rsidR="00435289" w:rsidRPr="002F1D56" w:rsidRDefault="00435289" w:rsidP="00435289">
            <w:pPr>
              <w:spacing w:after="0" w:line="240" w:lineRule="auto"/>
              <w:jc w:val="left"/>
              <w:rPr>
                <w:rFonts w:ascii="Times New Roman" w:eastAsia="Times New Roman" w:hAnsi="Times New Roman" w:cs="Times New Roman"/>
                <w:b/>
                <w:bCs/>
                <w:color w:val="000000"/>
                <w:sz w:val="22"/>
                <w:lang w:val="es-CL" w:eastAsia="es-CL"/>
              </w:rPr>
            </w:pPr>
            <w:r w:rsidRPr="002F1D56">
              <w:rPr>
                <w:rFonts w:ascii="Times New Roman" w:eastAsia="Times New Roman" w:hAnsi="Times New Roman" w:cs="Times New Roman"/>
                <w:b/>
                <w:bCs/>
                <w:color w:val="000000"/>
                <w:sz w:val="22"/>
                <w:lang w:val="es-CL" w:eastAsia="es-CL"/>
              </w:rPr>
              <w:t>Max.</w:t>
            </w:r>
          </w:p>
        </w:tc>
      </w:tr>
      <w:tr w:rsidR="00435289" w:rsidRPr="002F1D56" w14:paraId="0CA5339C" w14:textId="77777777" w:rsidTr="005A5AE1">
        <w:trPr>
          <w:trHeight w:val="300"/>
        </w:trPr>
        <w:tc>
          <w:tcPr>
            <w:tcW w:w="5954" w:type="dxa"/>
            <w:tcBorders>
              <w:top w:val="single" w:sz="4" w:space="0" w:color="auto"/>
            </w:tcBorders>
            <w:shd w:val="clear" w:color="auto" w:fill="auto"/>
            <w:noWrap/>
            <w:vAlign w:val="bottom"/>
            <w:hideMark/>
          </w:tcPr>
          <w:p w14:paraId="161A63E1" w14:textId="208B9DDC"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covariates</w:t>
            </w:r>
            <w:r w:rsidRPr="002F1D56">
              <w:rPr>
                <w:rFonts w:ascii="Times New Roman" w:eastAsia="Times New Roman" w:hAnsi="Times New Roman" w:cs="Times New Roman"/>
                <w:color w:val="000000"/>
                <w:sz w:val="22"/>
                <w:lang w:val="en-US" w:eastAsia="es-CL"/>
              </w:rPr>
              <w:t xml:space="preserve"> fixed in 0</w:t>
            </w:r>
          </w:p>
        </w:tc>
        <w:tc>
          <w:tcPr>
            <w:tcW w:w="776" w:type="dxa"/>
            <w:tcBorders>
              <w:top w:val="single" w:sz="4" w:space="0" w:color="auto"/>
            </w:tcBorders>
            <w:shd w:val="clear" w:color="auto" w:fill="auto"/>
            <w:noWrap/>
            <w:vAlign w:val="bottom"/>
            <w:hideMark/>
          </w:tcPr>
          <w:p w14:paraId="0D7673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0.21</w:t>
            </w:r>
          </w:p>
        </w:tc>
        <w:tc>
          <w:tcPr>
            <w:tcW w:w="1634" w:type="dxa"/>
            <w:tcBorders>
              <w:top w:val="single" w:sz="4" w:space="0" w:color="auto"/>
            </w:tcBorders>
            <w:shd w:val="clear" w:color="auto" w:fill="auto"/>
            <w:noWrap/>
            <w:vAlign w:val="bottom"/>
            <w:hideMark/>
          </w:tcPr>
          <w:p w14:paraId="14406B8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866" w:type="dxa"/>
            <w:tcBorders>
              <w:top w:val="single" w:sz="4" w:space="0" w:color="auto"/>
            </w:tcBorders>
            <w:shd w:val="clear" w:color="auto" w:fill="auto"/>
            <w:noWrap/>
            <w:vAlign w:val="bottom"/>
            <w:hideMark/>
          </w:tcPr>
          <w:p w14:paraId="0669A596"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1.62</w:t>
            </w:r>
          </w:p>
        </w:tc>
        <w:tc>
          <w:tcPr>
            <w:tcW w:w="717" w:type="dxa"/>
            <w:tcBorders>
              <w:top w:val="single" w:sz="4" w:space="0" w:color="auto"/>
            </w:tcBorders>
            <w:shd w:val="clear" w:color="auto" w:fill="auto"/>
            <w:noWrap/>
            <w:vAlign w:val="bottom"/>
            <w:hideMark/>
          </w:tcPr>
          <w:p w14:paraId="1E021DE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1.83</w:t>
            </w:r>
          </w:p>
        </w:tc>
        <w:tc>
          <w:tcPr>
            <w:tcW w:w="1677" w:type="dxa"/>
            <w:tcBorders>
              <w:top w:val="single" w:sz="4" w:space="0" w:color="auto"/>
            </w:tcBorders>
            <w:shd w:val="clear" w:color="auto" w:fill="auto"/>
            <w:noWrap/>
            <w:vAlign w:val="bottom"/>
            <w:hideMark/>
          </w:tcPr>
          <w:p w14:paraId="5242A39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2.56</w:t>
            </w:r>
          </w:p>
        </w:tc>
        <w:tc>
          <w:tcPr>
            <w:tcW w:w="617" w:type="dxa"/>
            <w:tcBorders>
              <w:top w:val="single" w:sz="4" w:space="0" w:color="auto"/>
            </w:tcBorders>
            <w:shd w:val="clear" w:color="auto" w:fill="auto"/>
            <w:noWrap/>
            <w:vAlign w:val="bottom"/>
            <w:hideMark/>
          </w:tcPr>
          <w:p w14:paraId="618A2B1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3.79</w:t>
            </w:r>
          </w:p>
        </w:tc>
      </w:tr>
      <w:tr w:rsidR="00435289" w:rsidRPr="002F1D56" w14:paraId="207842C1" w14:textId="77777777" w:rsidTr="005A5AE1">
        <w:trPr>
          <w:trHeight w:val="300"/>
        </w:trPr>
        <w:tc>
          <w:tcPr>
            <w:tcW w:w="5954" w:type="dxa"/>
            <w:shd w:val="clear" w:color="auto" w:fill="auto"/>
            <w:noWrap/>
            <w:vAlign w:val="bottom"/>
            <w:hideMark/>
          </w:tcPr>
          <w:p w14:paraId="38B99800" w14:textId="73D341F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No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430917E9"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0.13</w:t>
            </w:r>
          </w:p>
        </w:tc>
        <w:tc>
          <w:tcPr>
            <w:tcW w:w="1634" w:type="dxa"/>
            <w:shd w:val="clear" w:color="auto" w:fill="auto"/>
            <w:noWrap/>
            <w:vAlign w:val="bottom"/>
            <w:hideMark/>
          </w:tcPr>
          <w:p w14:paraId="4EE70C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0.42</w:t>
            </w:r>
          </w:p>
        </w:tc>
        <w:tc>
          <w:tcPr>
            <w:tcW w:w="866" w:type="dxa"/>
            <w:shd w:val="clear" w:color="auto" w:fill="auto"/>
            <w:noWrap/>
            <w:vAlign w:val="bottom"/>
            <w:hideMark/>
          </w:tcPr>
          <w:p w14:paraId="10CFCAD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0.68</w:t>
            </w:r>
          </w:p>
        </w:tc>
        <w:tc>
          <w:tcPr>
            <w:tcW w:w="717" w:type="dxa"/>
            <w:shd w:val="clear" w:color="auto" w:fill="auto"/>
            <w:noWrap/>
            <w:vAlign w:val="bottom"/>
            <w:hideMark/>
          </w:tcPr>
          <w:p w14:paraId="0EA4ED3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0.70</w:t>
            </w:r>
          </w:p>
        </w:tc>
        <w:tc>
          <w:tcPr>
            <w:tcW w:w="1677" w:type="dxa"/>
            <w:shd w:val="clear" w:color="auto" w:fill="auto"/>
            <w:noWrap/>
            <w:vAlign w:val="bottom"/>
            <w:hideMark/>
          </w:tcPr>
          <w:p w14:paraId="682D851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c>
          <w:tcPr>
            <w:tcW w:w="617" w:type="dxa"/>
            <w:shd w:val="clear" w:color="auto" w:fill="auto"/>
            <w:noWrap/>
            <w:vAlign w:val="bottom"/>
            <w:hideMark/>
          </w:tcPr>
          <w:p w14:paraId="3558887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1.00</w:t>
            </w:r>
          </w:p>
        </w:tc>
      </w:tr>
      <w:tr w:rsidR="00435289" w:rsidRPr="002F1D56" w14:paraId="5BD9CAE1" w14:textId="77777777" w:rsidTr="005A5AE1">
        <w:trPr>
          <w:trHeight w:val="300"/>
        </w:trPr>
        <w:tc>
          <w:tcPr>
            <w:tcW w:w="5954" w:type="dxa"/>
            <w:shd w:val="clear" w:color="auto" w:fill="auto"/>
            <w:noWrap/>
            <w:vAlign w:val="bottom"/>
            <w:hideMark/>
          </w:tcPr>
          <w:p w14:paraId="40A5B3D0" w14:textId="16AF3FF0"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2FF01A4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0.47</w:t>
            </w:r>
          </w:p>
        </w:tc>
        <w:tc>
          <w:tcPr>
            <w:tcW w:w="1634" w:type="dxa"/>
            <w:shd w:val="clear" w:color="auto" w:fill="auto"/>
            <w:noWrap/>
            <w:vAlign w:val="bottom"/>
            <w:hideMark/>
          </w:tcPr>
          <w:p w14:paraId="292C652B"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0.67</w:t>
            </w:r>
          </w:p>
        </w:tc>
        <w:tc>
          <w:tcPr>
            <w:tcW w:w="866" w:type="dxa"/>
            <w:shd w:val="clear" w:color="auto" w:fill="auto"/>
            <w:noWrap/>
            <w:vAlign w:val="bottom"/>
            <w:hideMark/>
          </w:tcPr>
          <w:p w14:paraId="2731DA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1.08</w:t>
            </w:r>
          </w:p>
        </w:tc>
        <w:tc>
          <w:tcPr>
            <w:tcW w:w="717" w:type="dxa"/>
            <w:shd w:val="clear" w:color="auto" w:fill="auto"/>
            <w:noWrap/>
            <w:vAlign w:val="bottom"/>
            <w:hideMark/>
          </w:tcPr>
          <w:p w14:paraId="3E98E72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1.33</w:t>
            </w:r>
          </w:p>
        </w:tc>
        <w:tc>
          <w:tcPr>
            <w:tcW w:w="1677" w:type="dxa"/>
            <w:shd w:val="clear" w:color="auto" w:fill="auto"/>
            <w:noWrap/>
            <w:vAlign w:val="bottom"/>
            <w:hideMark/>
          </w:tcPr>
          <w:p w14:paraId="0AE7830E"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1.90</w:t>
            </w:r>
          </w:p>
        </w:tc>
        <w:tc>
          <w:tcPr>
            <w:tcW w:w="617" w:type="dxa"/>
            <w:shd w:val="clear" w:color="auto" w:fill="auto"/>
            <w:noWrap/>
            <w:vAlign w:val="bottom"/>
            <w:hideMark/>
          </w:tcPr>
          <w:p w14:paraId="6E9B6E0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3.03</w:t>
            </w:r>
          </w:p>
        </w:tc>
      </w:tr>
      <w:tr w:rsidR="00435289" w:rsidRPr="002F1D56" w14:paraId="1D22CCA5" w14:textId="77777777" w:rsidTr="005A5AE1">
        <w:trPr>
          <w:trHeight w:val="300"/>
        </w:trPr>
        <w:tc>
          <w:tcPr>
            <w:tcW w:w="5954" w:type="dxa"/>
            <w:shd w:val="clear" w:color="auto" w:fill="auto"/>
            <w:noWrap/>
            <w:vAlign w:val="bottom"/>
            <w:hideMark/>
          </w:tcPr>
          <w:p w14:paraId="4D48F1C7" w14:textId="484D38E7"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With time-varying coefficients,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0270498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0.10</w:t>
            </w:r>
          </w:p>
        </w:tc>
        <w:tc>
          <w:tcPr>
            <w:tcW w:w="1634" w:type="dxa"/>
            <w:shd w:val="clear" w:color="auto" w:fill="auto"/>
            <w:noWrap/>
            <w:vAlign w:val="bottom"/>
            <w:hideMark/>
          </w:tcPr>
          <w:p w14:paraId="28C222B4"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0.17</w:t>
            </w:r>
          </w:p>
        </w:tc>
        <w:tc>
          <w:tcPr>
            <w:tcW w:w="866" w:type="dxa"/>
            <w:shd w:val="clear" w:color="auto" w:fill="auto"/>
            <w:noWrap/>
            <w:vAlign w:val="bottom"/>
            <w:hideMark/>
          </w:tcPr>
          <w:p w14:paraId="3ABA18A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0.55</w:t>
            </w:r>
          </w:p>
        </w:tc>
        <w:tc>
          <w:tcPr>
            <w:tcW w:w="717" w:type="dxa"/>
            <w:shd w:val="clear" w:color="auto" w:fill="auto"/>
            <w:noWrap/>
            <w:vAlign w:val="bottom"/>
            <w:hideMark/>
          </w:tcPr>
          <w:p w14:paraId="104F9CA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0.88</w:t>
            </w:r>
          </w:p>
        </w:tc>
        <w:tc>
          <w:tcPr>
            <w:tcW w:w="1677" w:type="dxa"/>
            <w:shd w:val="clear" w:color="auto" w:fill="auto"/>
            <w:noWrap/>
            <w:vAlign w:val="bottom"/>
            <w:hideMark/>
          </w:tcPr>
          <w:p w14:paraId="593A579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1.36</w:t>
            </w:r>
          </w:p>
        </w:tc>
        <w:tc>
          <w:tcPr>
            <w:tcW w:w="617" w:type="dxa"/>
            <w:shd w:val="clear" w:color="auto" w:fill="auto"/>
            <w:noWrap/>
            <w:vAlign w:val="bottom"/>
            <w:hideMark/>
          </w:tcPr>
          <w:p w14:paraId="2E3E0A6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3.56</w:t>
            </w:r>
          </w:p>
        </w:tc>
      </w:tr>
      <w:tr w:rsidR="00435289" w:rsidRPr="002F1D56" w14:paraId="6A5D88CC" w14:textId="77777777" w:rsidTr="005A5AE1">
        <w:trPr>
          <w:trHeight w:val="300"/>
        </w:trPr>
        <w:tc>
          <w:tcPr>
            <w:tcW w:w="5954" w:type="dxa"/>
            <w:shd w:val="clear" w:color="auto" w:fill="auto"/>
            <w:noWrap/>
            <w:vAlign w:val="bottom"/>
            <w:hideMark/>
          </w:tcPr>
          <w:p w14:paraId="5B118FA3" w14:textId="14068D11"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0</w:t>
            </w:r>
          </w:p>
        </w:tc>
        <w:tc>
          <w:tcPr>
            <w:tcW w:w="776" w:type="dxa"/>
            <w:shd w:val="clear" w:color="auto" w:fill="auto"/>
            <w:noWrap/>
            <w:vAlign w:val="bottom"/>
            <w:hideMark/>
          </w:tcPr>
          <w:p w14:paraId="4BC034C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0.29</w:t>
            </w:r>
          </w:p>
        </w:tc>
        <w:tc>
          <w:tcPr>
            <w:tcW w:w="1634" w:type="dxa"/>
            <w:shd w:val="clear" w:color="auto" w:fill="auto"/>
            <w:noWrap/>
            <w:vAlign w:val="bottom"/>
            <w:hideMark/>
          </w:tcPr>
          <w:p w14:paraId="27B6C5D0"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866" w:type="dxa"/>
            <w:shd w:val="clear" w:color="auto" w:fill="auto"/>
            <w:noWrap/>
            <w:vAlign w:val="bottom"/>
            <w:hideMark/>
          </w:tcPr>
          <w:p w14:paraId="29CF8385"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0.86</w:t>
            </w:r>
          </w:p>
        </w:tc>
        <w:tc>
          <w:tcPr>
            <w:tcW w:w="717" w:type="dxa"/>
            <w:shd w:val="clear" w:color="auto" w:fill="auto"/>
            <w:noWrap/>
            <w:vAlign w:val="bottom"/>
            <w:hideMark/>
          </w:tcPr>
          <w:p w14:paraId="18F55FAF"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0.99</w:t>
            </w:r>
          </w:p>
        </w:tc>
        <w:tc>
          <w:tcPr>
            <w:tcW w:w="1677" w:type="dxa"/>
            <w:shd w:val="clear" w:color="auto" w:fill="auto"/>
            <w:noWrap/>
            <w:vAlign w:val="bottom"/>
            <w:hideMark/>
          </w:tcPr>
          <w:p w14:paraId="1864724D"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1.18</w:t>
            </w:r>
          </w:p>
        </w:tc>
        <w:tc>
          <w:tcPr>
            <w:tcW w:w="617" w:type="dxa"/>
            <w:shd w:val="clear" w:color="auto" w:fill="auto"/>
            <w:noWrap/>
            <w:vAlign w:val="bottom"/>
            <w:hideMark/>
          </w:tcPr>
          <w:p w14:paraId="6081B083"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3.02</w:t>
            </w:r>
          </w:p>
        </w:tc>
      </w:tr>
      <w:tr w:rsidR="00435289" w:rsidRPr="002F1D56" w14:paraId="1EEE055B" w14:textId="77777777" w:rsidTr="005A5AE1">
        <w:trPr>
          <w:trHeight w:val="300"/>
        </w:trPr>
        <w:tc>
          <w:tcPr>
            <w:tcW w:w="5954" w:type="dxa"/>
            <w:shd w:val="clear" w:color="auto" w:fill="auto"/>
            <w:noWrap/>
            <w:vAlign w:val="bottom"/>
            <w:hideMark/>
          </w:tcPr>
          <w:p w14:paraId="2155F9F0" w14:textId="2EA32FEE" w:rsidR="00435289" w:rsidRPr="002F1D56" w:rsidRDefault="00435289" w:rsidP="00435289">
            <w:pPr>
              <w:spacing w:after="0" w:line="240" w:lineRule="auto"/>
              <w:jc w:val="left"/>
              <w:rPr>
                <w:rFonts w:ascii="Times New Roman" w:eastAsia="Times New Roman" w:hAnsi="Times New Roman" w:cs="Times New Roman"/>
                <w:color w:val="000000"/>
                <w:sz w:val="22"/>
                <w:lang w:val="en-US" w:eastAsia="es-CL"/>
              </w:rPr>
            </w:pPr>
            <w:r w:rsidRPr="002F1D56">
              <w:rPr>
                <w:rFonts w:ascii="Times New Roman" w:eastAsia="Times New Roman" w:hAnsi="Times New Roman" w:cs="Times New Roman"/>
                <w:color w:val="000000"/>
                <w:sz w:val="22"/>
                <w:lang w:val="en-US" w:eastAsia="es-CL"/>
              </w:rPr>
              <w:t xml:space="preserve">Stratified by follow-up intervals, lagged </w:t>
            </w:r>
            <w:r w:rsidR="005A5AE1" w:rsidRPr="002F1D56">
              <w:rPr>
                <w:rFonts w:ascii="Times New Roman" w:eastAsia="Times New Roman" w:hAnsi="Times New Roman" w:cs="Times New Roman"/>
                <w:color w:val="000000"/>
                <w:sz w:val="22"/>
                <w:lang w:val="en-US" w:eastAsia="es-CL"/>
              </w:rPr>
              <w:t xml:space="preserve">covariates </w:t>
            </w:r>
            <w:r w:rsidRPr="002F1D56">
              <w:rPr>
                <w:rFonts w:ascii="Times New Roman" w:eastAsia="Times New Roman" w:hAnsi="Times New Roman" w:cs="Times New Roman"/>
                <w:color w:val="000000"/>
                <w:sz w:val="22"/>
                <w:lang w:val="en-US" w:eastAsia="es-CL"/>
              </w:rPr>
              <w:t>fixed in 1</w:t>
            </w:r>
          </w:p>
        </w:tc>
        <w:tc>
          <w:tcPr>
            <w:tcW w:w="776" w:type="dxa"/>
            <w:shd w:val="clear" w:color="auto" w:fill="auto"/>
            <w:noWrap/>
            <w:vAlign w:val="bottom"/>
            <w:hideMark/>
          </w:tcPr>
          <w:p w14:paraId="7A624161"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1634" w:type="dxa"/>
            <w:shd w:val="clear" w:color="auto" w:fill="auto"/>
            <w:noWrap/>
            <w:vAlign w:val="bottom"/>
            <w:hideMark/>
          </w:tcPr>
          <w:p w14:paraId="2673143C"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0.12</w:t>
            </w:r>
          </w:p>
        </w:tc>
        <w:tc>
          <w:tcPr>
            <w:tcW w:w="866" w:type="dxa"/>
            <w:shd w:val="clear" w:color="auto" w:fill="auto"/>
            <w:noWrap/>
            <w:vAlign w:val="bottom"/>
            <w:hideMark/>
          </w:tcPr>
          <w:p w14:paraId="27DC0E27"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0.44</w:t>
            </w:r>
          </w:p>
        </w:tc>
        <w:tc>
          <w:tcPr>
            <w:tcW w:w="717" w:type="dxa"/>
            <w:shd w:val="clear" w:color="auto" w:fill="auto"/>
            <w:noWrap/>
            <w:vAlign w:val="bottom"/>
            <w:hideMark/>
          </w:tcPr>
          <w:p w14:paraId="4017A52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0.60</w:t>
            </w:r>
          </w:p>
        </w:tc>
        <w:tc>
          <w:tcPr>
            <w:tcW w:w="1677" w:type="dxa"/>
            <w:shd w:val="clear" w:color="auto" w:fill="auto"/>
            <w:noWrap/>
            <w:vAlign w:val="bottom"/>
            <w:hideMark/>
          </w:tcPr>
          <w:p w14:paraId="66282288"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0.76</w:t>
            </w:r>
          </w:p>
        </w:tc>
        <w:tc>
          <w:tcPr>
            <w:tcW w:w="617" w:type="dxa"/>
            <w:shd w:val="clear" w:color="auto" w:fill="auto"/>
            <w:noWrap/>
            <w:vAlign w:val="bottom"/>
            <w:hideMark/>
          </w:tcPr>
          <w:p w14:paraId="2CC1B94A" w14:textId="77777777" w:rsidR="00435289" w:rsidRPr="002F1D56" w:rsidRDefault="00435289" w:rsidP="00435289">
            <w:pPr>
              <w:spacing w:after="0" w:line="240" w:lineRule="auto"/>
              <w:jc w:val="left"/>
              <w:rPr>
                <w:rFonts w:ascii="Times New Roman" w:eastAsia="Times New Roman" w:hAnsi="Times New Roman" w:cs="Times New Roman"/>
                <w:color w:val="000000"/>
                <w:sz w:val="22"/>
                <w:lang w:val="es-CL" w:eastAsia="es-CL"/>
              </w:rPr>
            </w:pPr>
            <w:r w:rsidRPr="002F1D56">
              <w:rPr>
                <w:rFonts w:ascii="Times New Roman" w:eastAsia="Times New Roman" w:hAnsi="Times New Roman" w:cs="Times New Roman"/>
                <w:color w:val="000000"/>
                <w:sz w:val="22"/>
                <w:lang w:val="es-CL" w:eastAsia="es-CL"/>
              </w:rPr>
              <w:t>3.07</w:t>
            </w:r>
          </w:p>
        </w:tc>
      </w:tr>
    </w:tbl>
    <w:p w14:paraId="781BDD0A" w14:textId="77777777" w:rsidR="00435289" w:rsidRPr="002F1D56" w:rsidRDefault="00435289">
      <w:pPr>
        <w:spacing w:line="259" w:lineRule="auto"/>
        <w:jc w:val="left"/>
        <w:rPr>
          <w:rFonts w:ascii="Times New Roman" w:hAnsi="Times New Roman" w:cs="Times New Roman"/>
          <w:sz w:val="24"/>
          <w:szCs w:val="28"/>
        </w:rPr>
      </w:pPr>
    </w:p>
    <w:p w14:paraId="40D60605" w14:textId="77777777" w:rsidR="00435289" w:rsidRPr="002F1D56" w:rsidRDefault="00435289" w:rsidP="000D7704">
      <w:pPr>
        <w:spacing w:line="259" w:lineRule="auto"/>
        <w:ind w:firstLine="709"/>
        <w:jc w:val="left"/>
        <w:rPr>
          <w:rFonts w:ascii="Times New Roman" w:hAnsi="Times New Roman" w:cs="Times New Roman"/>
          <w:sz w:val="24"/>
          <w:szCs w:val="28"/>
        </w:rPr>
      </w:pPr>
      <w:r w:rsidRPr="002F1D56">
        <w:rPr>
          <w:rFonts w:ascii="Times New Roman" w:hAnsi="Times New Roman" w:cs="Times New Roman"/>
          <w:sz w:val="24"/>
          <w:szCs w:val="28"/>
        </w:rPr>
        <w:t>All models account for inverse intensity weights, which are crucial for adjusting the likelihood of treatment visit observations in the presence of irregular admission patterns.</w:t>
      </w:r>
    </w:p>
    <w:p w14:paraId="5AD53F3A" w14:textId="1E370C0D" w:rsidR="00410678" w:rsidRPr="002F1D56" w:rsidRDefault="00410678">
      <w:pPr>
        <w:spacing w:line="259" w:lineRule="auto"/>
        <w:jc w:val="left"/>
        <w:rPr>
          <w:rFonts w:ascii="Times New Roman" w:hAnsi="Times New Roman" w:cs="Times New Roman"/>
          <w:sz w:val="24"/>
          <w:szCs w:val="28"/>
        </w:rPr>
      </w:pPr>
      <w:r w:rsidRPr="002F1D56">
        <w:rPr>
          <w:rFonts w:ascii="Times New Roman" w:hAnsi="Times New Roman" w:cs="Times New Roman"/>
          <w:sz w:val="24"/>
          <w:szCs w:val="28"/>
        </w:rPr>
        <w:br w:type="page"/>
      </w:r>
    </w:p>
    <w:p w14:paraId="3FAE026D" w14:textId="61698B8F" w:rsidR="00410678" w:rsidRPr="002F1D56" w:rsidRDefault="00410678" w:rsidP="002264FE">
      <w:pPr>
        <w:pStyle w:val="Ttulo2"/>
      </w:pPr>
      <w:r w:rsidRPr="002F1D56">
        <w:lastRenderedPageBreak/>
        <w:t xml:space="preserve">Supplemental Section </w:t>
      </w:r>
      <w:r w:rsidR="000D7704">
        <w:t>4</w:t>
      </w:r>
      <w:r w:rsidRPr="002F1D56">
        <w:t>. Model selection, alternatives accounting for overdispersion</w:t>
      </w:r>
    </w:p>
    <w:p w14:paraId="01CD6526" w14:textId="345FD1F3" w:rsidR="00FC391E" w:rsidRPr="002F1D56" w:rsidRDefault="00410678" w:rsidP="000D7704">
      <w:pPr>
        <w:ind w:right="-2" w:firstLine="709"/>
        <w:rPr>
          <w:rFonts w:ascii="Times New Roman" w:hAnsi="Times New Roman" w:cs="Times New Roman"/>
          <w:sz w:val="24"/>
          <w:szCs w:val="28"/>
        </w:rPr>
      </w:pPr>
      <w:r w:rsidRPr="002F1D56">
        <w:rPr>
          <w:rFonts w:ascii="Times New Roman" w:hAnsi="Times New Roman" w:cs="Times New Roman"/>
          <w:sz w:val="24"/>
          <w:szCs w:val="28"/>
        </w:rPr>
        <w:t xml:space="preserve">In Poisson distribution, the variance equals the mean, implying that the theta value serves as the denominator of the squared mean and provides an indication of the degree of overdispersion present in the data. To evaluate the appropriate model for the data, a sequence of theta values ranging from 0.1 to </w:t>
      </w:r>
      <m:oMath>
        <m:r>
          <w:rPr>
            <w:rFonts w:ascii="Cambria Math" w:hAnsi="Cambria Math" w:cs="Times New Roman"/>
            <w:sz w:val="24"/>
            <w:szCs w:val="28"/>
          </w:rPr>
          <m:t>16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5</m:t>
            </m:r>
          </m:sup>
        </m:sSup>
      </m:oMath>
      <w:r w:rsidRPr="002F1D56">
        <w:rPr>
          <w:rFonts w:ascii="Times New Roman" w:eastAsiaTheme="minorEastAsia" w:hAnsi="Times New Roman" w:cs="Times New Roman"/>
          <w:sz w:val="24"/>
          <w:szCs w:val="28"/>
        </w:rPr>
        <w:t xml:space="preserve"> and incrementing by 1,000. After finding an optimal value</w:t>
      </w:r>
      <w:r w:rsidRPr="002F1D56">
        <w:rPr>
          <w:rFonts w:ascii="Times New Roman" w:hAnsi="Times New Roman" w:cs="Times New Roman"/>
          <w:sz w:val="24"/>
          <w:szCs w:val="28"/>
        </w:rPr>
        <w:t xml:space="preserve">, a range of values from </w:t>
      </w:r>
      <m:oMath>
        <m:r>
          <w:rPr>
            <w:rFonts w:ascii="Cambria Math" w:hAnsi="Cambria Math" w:cs="Times New Roman"/>
            <w:sz w:val="24"/>
            <w:szCs w:val="28"/>
          </w:rPr>
          <m:t>158 ×</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hAnsi="Times New Roman" w:cs="Times New Roman"/>
          <w:sz w:val="24"/>
          <w:szCs w:val="28"/>
        </w:rPr>
        <w:t xml:space="preserve"> to </w:t>
      </w:r>
      <m:oMath>
        <m:r>
          <w:rPr>
            <w:rFonts w:ascii="Cambria Math" w:hAnsi="Cambria Math" w:cs="Times New Roman"/>
            <w:sz w:val="24"/>
            <w:szCs w:val="28"/>
          </w:rPr>
          <m:t>159×</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4</m:t>
            </m:r>
          </m:sup>
        </m:sSup>
      </m:oMath>
      <w:r w:rsidRPr="002F1D56">
        <w:rPr>
          <w:rFonts w:ascii="Times New Roman" w:eastAsiaTheme="minorEastAsia" w:hAnsi="Times New Roman" w:cs="Times New Roman"/>
          <w:sz w:val="24"/>
          <w:szCs w:val="28"/>
        </w:rPr>
        <w:t xml:space="preserve"> </w:t>
      </w:r>
      <w:r w:rsidRPr="002F1D56">
        <w:rPr>
          <w:rFonts w:ascii="Times New Roman" w:hAnsi="Times New Roman" w:cs="Times New Roman"/>
          <w:sz w:val="24"/>
          <w:szCs w:val="28"/>
        </w:rPr>
        <w:t>incrementing by 100 were tested. Both Poisson and negative binomial models were compared using Quasi-likelihood Information criterion (QIC), a measure similar to Akaike Information Criterion for generalized estimating equations. The model that best fit the data (lowest QIC values) was selected based on this comparison. This approach highlights the methodology used to ascertain the presence of overdispersion and to determine the most suitable statistical model for handling such data deviations</w:t>
      </w:r>
      <w:commentRangeStart w:id="10"/>
      <w:r w:rsidRPr="002F1D56">
        <w:rPr>
          <w:rFonts w:ascii="Times New Roman" w:hAnsi="Times New Roman" w:cs="Times New Roman"/>
          <w:sz w:val="24"/>
          <w:szCs w:val="28"/>
        </w:rPr>
        <w:t>.</w:t>
      </w:r>
      <w:commentRangeEnd w:id="10"/>
      <w:r w:rsidRPr="002F1D56">
        <w:rPr>
          <w:rStyle w:val="Refdecomentario"/>
          <w:rFonts w:ascii="Times New Roman" w:eastAsia="Times New Roman" w:hAnsi="Times New Roman" w:cs="Times New Roman"/>
          <w:sz w:val="20"/>
          <w:szCs w:val="20"/>
          <w:lang w:val="es-CL" w:eastAsia="es-ES_tradnl"/>
        </w:rPr>
        <w:commentReference w:id="10"/>
      </w:r>
    </w:p>
    <w:p w14:paraId="75636DDD" w14:textId="381B93FF" w:rsidR="00C45C3D" w:rsidRPr="002F1D56" w:rsidRDefault="00C45C3D" w:rsidP="00F33019">
      <w:pPr>
        <w:spacing w:after="0"/>
        <w:ind w:left="709" w:right="-2"/>
        <w:rPr>
          <w:rFonts w:ascii="Times New Roman" w:hAnsi="Times New Roman" w:cs="Times New Roman"/>
          <w:b/>
          <w:bCs/>
          <w:sz w:val="24"/>
          <w:szCs w:val="28"/>
        </w:rPr>
      </w:pPr>
      <w:r w:rsidRPr="002F1D56">
        <w:rPr>
          <w:rFonts w:ascii="Times New Roman" w:hAnsi="Times New Roman" w:cs="Times New Roman"/>
          <w:b/>
          <w:bCs/>
          <w:sz w:val="24"/>
          <w:szCs w:val="28"/>
        </w:rPr>
        <w:t>Table S</w:t>
      </w:r>
      <w:r w:rsidR="0065310D">
        <w:rPr>
          <w:rFonts w:ascii="Times New Roman" w:hAnsi="Times New Roman" w:cs="Times New Roman"/>
          <w:b/>
          <w:bCs/>
          <w:sz w:val="24"/>
          <w:szCs w:val="28"/>
        </w:rPr>
        <w:t>5</w:t>
      </w:r>
      <w:r w:rsidRPr="002F1D56">
        <w:rPr>
          <w:rFonts w:ascii="Times New Roman" w:hAnsi="Times New Roman" w:cs="Times New Roman"/>
          <w:b/>
          <w:bCs/>
          <w:sz w:val="24"/>
          <w:szCs w:val="28"/>
        </w:rPr>
        <w:t xml:space="preserve">. </w:t>
      </w:r>
      <w:r w:rsidR="005A5AE1" w:rsidRPr="002F1D56">
        <w:rPr>
          <w:rFonts w:ascii="Times New Roman" w:hAnsi="Times New Roman" w:cs="Times New Roman"/>
          <w:b/>
          <w:bCs/>
          <w:sz w:val="24"/>
          <w:szCs w:val="28"/>
        </w:rPr>
        <w:t>Relative risk of treatment non</w:t>
      </w:r>
      <w:r w:rsidR="001C5629">
        <w:rPr>
          <w:rFonts w:ascii="Times New Roman" w:hAnsi="Times New Roman" w:cs="Times New Roman"/>
          <w:b/>
          <w:bCs/>
          <w:sz w:val="24"/>
          <w:szCs w:val="28"/>
        </w:rPr>
        <w:t>-</w:t>
      </w:r>
      <w:r w:rsidR="005A5AE1" w:rsidRPr="002F1D56">
        <w:rPr>
          <w:rFonts w:ascii="Times New Roman" w:hAnsi="Times New Roman" w:cs="Times New Roman"/>
          <w:b/>
          <w:bCs/>
          <w:sz w:val="24"/>
          <w:szCs w:val="28"/>
        </w:rPr>
        <w:t>completion</w:t>
      </w:r>
      <w:r w:rsidR="005A5AE1" w:rsidRPr="002F1D56">
        <w:rPr>
          <w:rFonts w:ascii="Times New Roman" w:hAnsi="Times New Roman" w:cs="Times New Roman"/>
          <w:b/>
          <w:bCs/>
          <w:sz w:val="24"/>
          <w:szCs w:val="28"/>
          <w:shd w:val="clear" w:color="auto" w:fill="FFFFFF"/>
        </w:rPr>
        <w:t xml:space="preserve"> </w:t>
      </w:r>
      <w:r w:rsidR="005A5AE1" w:rsidRPr="002F1D56">
        <w:rPr>
          <w:rFonts w:ascii="Times New Roman" w:hAnsi="Times New Roman" w:cs="Times New Roman"/>
          <w:b/>
          <w:bCs/>
          <w:sz w:val="24"/>
          <w:szCs w:val="28"/>
        </w:rPr>
        <w:t xml:space="preserve">status by reported polysubstance use </w:t>
      </w:r>
    </w:p>
    <w:tbl>
      <w:tblPr>
        <w:tblStyle w:val="Tablaconcuadrcula"/>
        <w:tblW w:w="12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35"/>
        <w:gridCol w:w="1020"/>
        <w:gridCol w:w="1814"/>
        <w:gridCol w:w="854"/>
      </w:tblGrid>
      <w:tr w:rsidR="00F33019" w:rsidRPr="00CC1970" w14:paraId="1122BD6E" w14:textId="77777777" w:rsidTr="00801D0D">
        <w:trPr>
          <w:trHeight w:val="57"/>
        </w:trPr>
        <w:tc>
          <w:tcPr>
            <w:tcW w:w="4678" w:type="dxa"/>
            <w:tcBorders>
              <w:top w:val="single" w:sz="4" w:space="0" w:color="auto"/>
              <w:bottom w:val="single" w:sz="4" w:space="0" w:color="auto"/>
            </w:tcBorders>
            <w:noWrap/>
            <w:vAlign w:val="center"/>
            <w:hideMark/>
          </w:tcPr>
          <w:p w14:paraId="22B3C337" w14:textId="174F423A" w:rsidR="001974E4" w:rsidRPr="00CC1970" w:rsidRDefault="001974E4" w:rsidP="00F33019">
            <w:pPr>
              <w:ind w:right="-2"/>
              <w:jc w:val="center"/>
              <w:rPr>
                <w:rFonts w:ascii="Times New Roman" w:hAnsi="Times New Roman" w:cs="Times New Roman"/>
                <w:b/>
                <w:bCs/>
                <w:sz w:val="22"/>
                <w:lang w:val="es-CL"/>
              </w:rPr>
            </w:pPr>
            <w:r w:rsidRPr="00CC1970">
              <w:rPr>
                <w:rFonts w:ascii="Times New Roman" w:hAnsi="Times New Roman" w:cs="Times New Roman"/>
                <w:b/>
                <w:bCs/>
                <w:sz w:val="22"/>
              </w:rPr>
              <w:t>Treatment setting</w:t>
            </w:r>
          </w:p>
        </w:tc>
        <w:tc>
          <w:tcPr>
            <w:tcW w:w="4535" w:type="dxa"/>
            <w:tcBorders>
              <w:top w:val="single" w:sz="4" w:space="0" w:color="auto"/>
              <w:bottom w:val="single" w:sz="4" w:space="0" w:color="auto"/>
            </w:tcBorders>
            <w:noWrap/>
            <w:vAlign w:val="center"/>
            <w:hideMark/>
          </w:tcPr>
          <w:p w14:paraId="6554E381" w14:textId="37836DB3" w:rsidR="001974E4" w:rsidRPr="00CC1970" w:rsidRDefault="00F33019" w:rsidP="00F33019">
            <w:pPr>
              <w:ind w:right="-2"/>
              <w:jc w:val="center"/>
              <w:rPr>
                <w:rFonts w:ascii="Times New Roman" w:hAnsi="Times New Roman" w:cs="Times New Roman"/>
                <w:b/>
                <w:bCs/>
                <w:sz w:val="22"/>
              </w:rPr>
            </w:pPr>
            <w:r w:rsidRPr="00CC1970">
              <w:rPr>
                <w:rFonts w:ascii="Times New Roman" w:hAnsi="Times New Roman" w:cs="Times New Roman"/>
                <w:b/>
                <w:bCs/>
                <w:sz w:val="22"/>
              </w:rPr>
              <w:t>M</w:t>
            </w:r>
            <w:r w:rsidR="001974E4" w:rsidRPr="00CC1970">
              <w:rPr>
                <w:rFonts w:ascii="Times New Roman" w:hAnsi="Times New Roman" w:cs="Times New Roman"/>
                <w:b/>
                <w:bCs/>
                <w:sz w:val="22"/>
              </w:rPr>
              <w:t>odel</w:t>
            </w:r>
          </w:p>
        </w:tc>
        <w:tc>
          <w:tcPr>
            <w:tcW w:w="1020" w:type="dxa"/>
            <w:tcBorders>
              <w:top w:val="single" w:sz="4" w:space="0" w:color="auto"/>
              <w:bottom w:val="single" w:sz="4" w:space="0" w:color="auto"/>
            </w:tcBorders>
            <w:noWrap/>
            <w:vAlign w:val="center"/>
            <w:hideMark/>
          </w:tcPr>
          <w:p w14:paraId="04A8B37E"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QIC</w:t>
            </w:r>
          </w:p>
        </w:tc>
        <w:tc>
          <w:tcPr>
            <w:tcW w:w="1814" w:type="dxa"/>
            <w:tcBorders>
              <w:top w:val="single" w:sz="4" w:space="0" w:color="auto"/>
              <w:bottom w:val="single" w:sz="4" w:space="0" w:color="auto"/>
            </w:tcBorders>
            <w:noWrap/>
            <w:vAlign w:val="center"/>
            <w:hideMark/>
          </w:tcPr>
          <w:p w14:paraId="56FAA444"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RR</w:t>
            </w:r>
          </w:p>
        </w:tc>
        <w:tc>
          <w:tcPr>
            <w:tcW w:w="854" w:type="dxa"/>
            <w:tcBorders>
              <w:top w:val="single" w:sz="4" w:space="0" w:color="auto"/>
              <w:bottom w:val="single" w:sz="4" w:space="0" w:color="auto"/>
            </w:tcBorders>
            <w:noWrap/>
            <w:vAlign w:val="center"/>
            <w:hideMark/>
          </w:tcPr>
          <w:p w14:paraId="687CA715" w14:textId="77777777" w:rsidR="001974E4" w:rsidRPr="00CC1970" w:rsidRDefault="001974E4" w:rsidP="00F33019">
            <w:pPr>
              <w:ind w:right="-2"/>
              <w:jc w:val="center"/>
              <w:rPr>
                <w:rFonts w:ascii="Times New Roman" w:hAnsi="Times New Roman" w:cs="Times New Roman"/>
                <w:b/>
                <w:bCs/>
                <w:sz w:val="22"/>
              </w:rPr>
            </w:pPr>
            <w:r w:rsidRPr="00CC1970">
              <w:rPr>
                <w:rFonts w:ascii="Times New Roman" w:hAnsi="Times New Roman" w:cs="Times New Roman"/>
                <w:b/>
                <w:bCs/>
                <w:sz w:val="22"/>
              </w:rPr>
              <w:t>Sig</w:t>
            </w:r>
          </w:p>
        </w:tc>
      </w:tr>
      <w:tr w:rsidR="00F33019" w:rsidRPr="00CC1970" w14:paraId="2F862BF5" w14:textId="77777777" w:rsidTr="00801D0D">
        <w:trPr>
          <w:trHeight w:val="57"/>
        </w:trPr>
        <w:tc>
          <w:tcPr>
            <w:tcW w:w="4678" w:type="dxa"/>
            <w:tcBorders>
              <w:top w:val="single" w:sz="4" w:space="0" w:color="auto"/>
            </w:tcBorders>
            <w:noWrap/>
            <w:vAlign w:val="center"/>
          </w:tcPr>
          <w:p w14:paraId="55E1F7DF" w14:textId="54DF1F6D"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Basic ambulatory</w:t>
            </w:r>
          </w:p>
        </w:tc>
        <w:tc>
          <w:tcPr>
            <w:tcW w:w="4535" w:type="dxa"/>
            <w:tcBorders>
              <w:top w:val="single" w:sz="4" w:space="0" w:color="auto"/>
            </w:tcBorders>
            <w:noWrap/>
            <w:vAlign w:val="center"/>
          </w:tcPr>
          <w:p w14:paraId="58EF16DA" w14:textId="77777777" w:rsidR="001974E4" w:rsidRPr="00CC1970" w:rsidRDefault="001974E4" w:rsidP="00F33019">
            <w:pPr>
              <w:ind w:right="-2"/>
              <w:jc w:val="left"/>
              <w:rPr>
                <w:rFonts w:ascii="Times New Roman" w:hAnsi="Times New Roman" w:cs="Times New Roman"/>
                <w:b/>
                <w:bCs/>
                <w:sz w:val="22"/>
              </w:rPr>
            </w:pPr>
          </w:p>
        </w:tc>
        <w:tc>
          <w:tcPr>
            <w:tcW w:w="1020" w:type="dxa"/>
            <w:tcBorders>
              <w:top w:val="single" w:sz="4" w:space="0" w:color="auto"/>
            </w:tcBorders>
            <w:noWrap/>
            <w:vAlign w:val="center"/>
          </w:tcPr>
          <w:p w14:paraId="674C9829" w14:textId="77777777" w:rsidR="001974E4" w:rsidRPr="00CC1970" w:rsidRDefault="001974E4" w:rsidP="00F33019">
            <w:pPr>
              <w:ind w:right="-2"/>
              <w:jc w:val="right"/>
              <w:rPr>
                <w:rFonts w:ascii="Times New Roman" w:hAnsi="Times New Roman" w:cs="Times New Roman"/>
                <w:b/>
                <w:bCs/>
                <w:sz w:val="22"/>
              </w:rPr>
            </w:pPr>
          </w:p>
        </w:tc>
        <w:tc>
          <w:tcPr>
            <w:tcW w:w="1814" w:type="dxa"/>
            <w:tcBorders>
              <w:top w:val="single" w:sz="4" w:space="0" w:color="auto"/>
            </w:tcBorders>
            <w:noWrap/>
            <w:vAlign w:val="center"/>
          </w:tcPr>
          <w:p w14:paraId="00765D7A" w14:textId="77777777" w:rsidR="001974E4" w:rsidRPr="00CC1970" w:rsidRDefault="001974E4" w:rsidP="00F33019">
            <w:pPr>
              <w:ind w:right="-2"/>
              <w:jc w:val="right"/>
              <w:rPr>
                <w:rFonts w:ascii="Times New Roman" w:hAnsi="Times New Roman" w:cs="Times New Roman"/>
                <w:b/>
                <w:bCs/>
                <w:sz w:val="22"/>
              </w:rPr>
            </w:pPr>
          </w:p>
        </w:tc>
        <w:tc>
          <w:tcPr>
            <w:tcW w:w="854" w:type="dxa"/>
            <w:tcBorders>
              <w:top w:val="single" w:sz="4" w:space="0" w:color="auto"/>
            </w:tcBorders>
            <w:noWrap/>
            <w:vAlign w:val="center"/>
          </w:tcPr>
          <w:p w14:paraId="57ECB91B" w14:textId="77777777" w:rsidR="001974E4" w:rsidRPr="00CC1970" w:rsidRDefault="001974E4" w:rsidP="00F33019">
            <w:pPr>
              <w:ind w:right="-2"/>
              <w:jc w:val="right"/>
              <w:rPr>
                <w:rFonts w:ascii="Times New Roman" w:hAnsi="Times New Roman" w:cs="Times New Roman"/>
                <w:b/>
                <w:bCs/>
                <w:sz w:val="22"/>
              </w:rPr>
            </w:pPr>
          </w:p>
        </w:tc>
      </w:tr>
      <w:tr w:rsidR="00F33019" w:rsidRPr="00CC1970" w14:paraId="5D29B572" w14:textId="77777777" w:rsidTr="00801D0D">
        <w:trPr>
          <w:trHeight w:val="57"/>
        </w:trPr>
        <w:tc>
          <w:tcPr>
            <w:tcW w:w="4678" w:type="dxa"/>
            <w:noWrap/>
            <w:vAlign w:val="center"/>
          </w:tcPr>
          <w:p w14:paraId="7CC9CE8B" w14:textId="0EC58D6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5A36E" w14:textId="69AE88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w:t>
            </w:r>
          </w:p>
        </w:tc>
        <w:tc>
          <w:tcPr>
            <w:tcW w:w="1020" w:type="dxa"/>
            <w:tcBorders>
              <w:top w:val="nil"/>
              <w:left w:val="nil"/>
              <w:bottom w:val="nil"/>
              <w:right w:val="nil"/>
            </w:tcBorders>
            <w:shd w:val="clear" w:color="auto" w:fill="auto"/>
            <w:noWrap/>
            <w:vAlign w:val="center"/>
            <w:hideMark/>
          </w:tcPr>
          <w:p w14:paraId="245B9365" w14:textId="0D87E9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68325A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ED0D9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989169B" w14:textId="77777777" w:rsidTr="00801D0D">
        <w:trPr>
          <w:trHeight w:val="57"/>
        </w:trPr>
        <w:tc>
          <w:tcPr>
            <w:tcW w:w="4678" w:type="dxa"/>
            <w:noWrap/>
            <w:vAlign w:val="center"/>
          </w:tcPr>
          <w:p w14:paraId="2422C589" w14:textId="4BCED5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0DA8E" w14:textId="19CBD5B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no weight, NB</w:t>
            </w:r>
          </w:p>
        </w:tc>
        <w:tc>
          <w:tcPr>
            <w:tcW w:w="1020" w:type="dxa"/>
            <w:tcBorders>
              <w:top w:val="nil"/>
              <w:left w:val="nil"/>
              <w:bottom w:val="nil"/>
              <w:right w:val="nil"/>
            </w:tcBorders>
            <w:shd w:val="clear" w:color="auto" w:fill="auto"/>
            <w:noWrap/>
            <w:vAlign w:val="center"/>
            <w:hideMark/>
          </w:tcPr>
          <w:p w14:paraId="6CCD65DB" w14:textId="60CCA83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1EC96E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09F478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198E45ED" w14:textId="77777777" w:rsidTr="00801D0D">
        <w:trPr>
          <w:trHeight w:val="57"/>
        </w:trPr>
        <w:tc>
          <w:tcPr>
            <w:tcW w:w="4678" w:type="dxa"/>
            <w:noWrap/>
            <w:vAlign w:val="center"/>
          </w:tcPr>
          <w:p w14:paraId="4B353A75" w14:textId="58ECFF7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087E6" w14:textId="7822191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w:t>
            </w:r>
          </w:p>
        </w:tc>
        <w:tc>
          <w:tcPr>
            <w:tcW w:w="1020" w:type="dxa"/>
            <w:tcBorders>
              <w:top w:val="nil"/>
              <w:left w:val="nil"/>
              <w:bottom w:val="nil"/>
              <w:right w:val="nil"/>
            </w:tcBorders>
            <w:shd w:val="clear" w:color="auto" w:fill="auto"/>
            <w:noWrap/>
            <w:vAlign w:val="center"/>
            <w:hideMark/>
          </w:tcPr>
          <w:p w14:paraId="193A63E4" w14:textId="029BBC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7016D3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6BA063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22F20620" w14:textId="77777777" w:rsidTr="00801D0D">
        <w:trPr>
          <w:trHeight w:val="57"/>
        </w:trPr>
        <w:tc>
          <w:tcPr>
            <w:tcW w:w="4678" w:type="dxa"/>
            <w:noWrap/>
            <w:vAlign w:val="center"/>
          </w:tcPr>
          <w:p w14:paraId="021D60EE" w14:textId="1710C0C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1C370B" w14:textId="683C03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lag=0, NB</w:t>
            </w:r>
          </w:p>
        </w:tc>
        <w:tc>
          <w:tcPr>
            <w:tcW w:w="1020" w:type="dxa"/>
            <w:tcBorders>
              <w:top w:val="nil"/>
              <w:left w:val="nil"/>
              <w:bottom w:val="nil"/>
              <w:right w:val="nil"/>
            </w:tcBorders>
            <w:shd w:val="clear" w:color="auto" w:fill="auto"/>
            <w:noWrap/>
            <w:vAlign w:val="center"/>
            <w:hideMark/>
          </w:tcPr>
          <w:p w14:paraId="21787DC3" w14:textId="21E4022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63.5</w:t>
            </w:r>
          </w:p>
        </w:tc>
        <w:tc>
          <w:tcPr>
            <w:tcW w:w="1814" w:type="dxa"/>
            <w:noWrap/>
            <w:vAlign w:val="center"/>
            <w:hideMark/>
          </w:tcPr>
          <w:p w14:paraId="267D676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33F396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0.1665</w:t>
            </w:r>
          </w:p>
        </w:tc>
      </w:tr>
      <w:tr w:rsidR="00F33019" w:rsidRPr="00CC1970" w14:paraId="4A7719A5" w14:textId="77777777" w:rsidTr="00801D0D">
        <w:trPr>
          <w:trHeight w:val="57"/>
        </w:trPr>
        <w:tc>
          <w:tcPr>
            <w:tcW w:w="4678" w:type="dxa"/>
            <w:noWrap/>
            <w:vAlign w:val="center"/>
          </w:tcPr>
          <w:p w14:paraId="39E1AF0D" w14:textId="78C0A8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054CC2" w14:textId="4F0D710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w:t>
            </w:r>
          </w:p>
        </w:tc>
        <w:tc>
          <w:tcPr>
            <w:tcW w:w="1020" w:type="dxa"/>
            <w:tcBorders>
              <w:top w:val="nil"/>
              <w:left w:val="nil"/>
              <w:bottom w:val="nil"/>
              <w:right w:val="nil"/>
            </w:tcBorders>
            <w:shd w:val="clear" w:color="auto" w:fill="auto"/>
            <w:noWrap/>
            <w:vAlign w:val="center"/>
            <w:hideMark/>
          </w:tcPr>
          <w:p w14:paraId="405E6972" w14:textId="3FB67B0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010012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ACDF68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363927F3" w14:textId="77777777" w:rsidTr="00801D0D">
        <w:trPr>
          <w:trHeight w:val="57"/>
        </w:trPr>
        <w:tc>
          <w:tcPr>
            <w:tcW w:w="4678" w:type="dxa"/>
            <w:noWrap/>
            <w:vAlign w:val="center"/>
          </w:tcPr>
          <w:p w14:paraId="561F9F57" w14:textId="121F3D0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30A2A0" w14:textId="55A591E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time-varying coefficients, lag=1, NB</w:t>
            </w:r>
          </w:p>
        </w:tc>
        <w:tc>
          <w:tcPr>
            <w:tcW w:w="1020" w:type="dxa"/>
            <w:tcBorders>
              <w:top w:val="nil"/>
              <w:left w:val="nil"/>
              <w:bottom w:val="nil"/>
              <w:right w:val="nil"/>
            </w:tcBorders>
            <w:shd w:val="clear" w:color="auto" w:fill="auto"/>
            <w:noWrap/>
            <w:vAlign w:val="center"/>
            <w:hideMark/>
          </w:tcPr>
          <w:p w14:paraId="62DB9BAE" w14:textId="10960A3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57.6</w:t>
            </w:r>
          </w:p>
        </w:tc>
        <w:tc>
          <w:tcPr>
            <w:tcW w:w="1814" w:type="dxa"/>
            <w:noWrap/>
            <w:vAlign w:val="center"/>
            <w:hideMark/>
          </w:tcPr>
          <w:p w14:paraId="1DF04DF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6EB91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0.0838</w:t>
            </w:r>
          </w:p>
        </w:tc>
      </w:tr>
      <w:tr w:rsidR="00F33019" w:rsidRPr="00CC1970" w14:paraId="270B0A48" w14:textId="77777777" w:rsidTr="00801D0D">
        <w:trPr>
          <w:trHeight w:val="57"/>
        </w:trPr>
        <w:tc>
          <w:tcPr>
            <w:tcW w:w="4678" w:type="dxa"/>
            <w:noWrap/>
            <w:vAlign w:val="center"/>
          </w:tcPr>
          <w:p w14:paraId="49BE7051" w14:textId="53746C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E7A181" w14:textId="067225F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362B8FAE" w14:textId="2A3D24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033DA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204F8E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680351C3" w14:textId="77777777" w:rsidTr="00801D0D">
        <w:trPr>
          <w:trHeight w:val="57"/>
        </w:trPr>
        <w:tc>
          <w:tcPr>
            <w:tcW w:w="4678" w:type="dxa"/>
            <w:noWrap/>
            <w:vAlign w:val="center"/>
          </w:tcPr>
          <w:p w14:paraId="6D9644A5" w14:textId="34840CA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D45BA3" w14:textId="484AA3F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45CC530F" w14:textId="108B92B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A9B2DE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3E3DE8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56BEB67F" w14:textId="77777777" w:rsidTr="00801D0D">
        <w:trPr>
          <w:trHeight w:val="57"/>
        </w:trPr>
        <w:tc>
          <w:tcPr>
            <w:tcW w:w="4678" w:type="dxa"/>
            <w:noWrap/>
            <w:vAlign w:val="center"/>
          </w:tcPr>
          <w:p w14:paraId="62648B5E" w14:textId="48E637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4373B5" w14:textId="7C38FD6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24BAC970" w14:textId="5BBA0A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2CCE89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0A82CB5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1780DEFF" w14:textId="77777777" w:rsidTr="00801D0D">
        <w:trPr>
          <w:trHeight w:val="57"/>
        </w:trPr>
        <w:tc>
          <w:tcPr>
            <w:tcW w:w="4678" w:type="dxa"/>
            <w:noWrap/>
            <w:vAlign w:val="center"/>
          </w:tcPr>
          <w:p w14:paraId="6D6BF855" w14:textId="42F9E0E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222B8AE" w14:textId="6539360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913E950" w14:textId="40B4C49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77.3</w:t>
            </w:r>
          </w:p>
        </w:tc>
        <w:tc>
          <w:tcPr>
            <w:tcW w:w="1814" w:type="dxa"/>
            <w:noWrap/>
            <w:vAlign w:val="center"/>
            <w:hideMark/>
          </w:tcPr>
          <w:p w14:paraId="3BEA96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1.06)</w:t>
            </w:r>
          </w:p>
        </w:tc>
        <w:tc>
          <w:tcPr>
            <w:tcW w:w="854" w:type="dxa"/>
            <w:noWrap/>
            <w:vAlign w:val="center"/>
            <w:hideMark/>
          </w:tcPr>
          <w:p w14:paraId="31A8102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0.1328</w:t>
            </w:r>
          </w:p>
        </w:tc>
      </w:tr>
      <w:tr w:rsidR="00F33019" w:rsidRPr="00CC1970" w14:paraId="2BA2DA20" w14:textId="77777777" w:rsidTr="00801D0D">
        <w:trPr>
          <w:trHeight w:val="57"/>
        </w:trPr>
        <w:tc>
          <w:tcPr>
            <w:tcW w:w="4678" w:type="dxa"/>
            <w:noWrap/>
            <w:vAlign w:val="center"/>
          </w:tcPr>
          <w:p w14:paraId="45F797E8" w14:textId="073663B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8B6CC2" w14:textId="59EDE2C6"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6DD82145" w14:textId="2F09969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178149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55E41F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7F200789" w14:textId="77777777" w:rsidTr="00801D0D">
        <w:trPr>
          <w:trHeight w:val="57"/>
        </w:trPr>
        <w:tc>
          <w:tcPr>
            <w:tcW w:w="4678" w:type="dxa"/>
            <w:noWrap/>
            <w:vAlign w:val="center"/>
          </w:tcPr>
          <w:p w14:paraId="2196BB25" w14:textId="4C9C8D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E9632CA" w14:textId="2317D8F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32739A3" w14:textId="1DE3F56E"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514.7</w:t>
            </w:r>
          </w:p>
        </w:tc>
        <w:tc>
          <w:tcPr>
            <w:tcW w:w="1814" w:type="dxa"/>
            <w:noWrap/>
            <w:vAlign w:val="center"/>
            <w:hideMark/>
          </w:tcPr>
          <w:p w14:paraId="22DAFC4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(0.98, 1.07)</w:t>
            </w:r>
          </w:p>
        </w:tc>
        <w:tc>
          <w:tcPr>
            <w:tcW w:w="854" w:type="dxa"/>
            <w:noWrap/>
            <w:vAlign w:val="center"/>
            <w:hideMark/>
          </w:tcPr>
          <w:p w14:paraId="460D165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0.2209</w:t>
            </w:r>
          </w:p>
        </w:tc>
      </w:tr>
      <w:tr w:rsidR="00F33019" w:rsidRPr="00CC1970" w14:paraId="4104A1FE" w14:textId="77777777" w:rsidTr="00801D0D">
        <w:trPr>
          <w:trHeight w:val="57"/>
        </w:trPr>
        <w:tc>
          <w:tcPr>
            <w:tcW w:w="4678" w:type="dxa"/>
            <w:noWrap/>
            <w:vAlign w:val="center"/>
          </w:tcPr>
          <w:p w14:paraId="0ACE087C" w14:textId="2CEFD9F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D283E50" w14:textId="623CD63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2BEB3E8F" w14:textId="578A1D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7ACBAF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732A838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070C9FD6" w14:textId="77777777" w:rsidTr="00801D0D">
        <w:trPr>
          <w:trHeight w:val="57"/>
        </w:trPr>
        <w:tc>
          <w:tcPr>
            <w:tcW w:w="4678" w:type="dxa"/>
            <w:noWrap/>
            <w:vAlign w:val="center"/>
          </w:tcPr>
          <w:p w14:paraId="69C75FEB" w14:textId="08893D2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B7A1A0" w14:textId="50D530D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FC03624" w14:textId="40D5EE6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52.9</w:t>
            </w:r>
          </w:p>
        </w:tc>
        <w:tc>
          <w:tcPr>
            <w:tcW w:w="1814" w:type="dxa"/>
            <w:noWrap/>
            <w:vAlign w:val="center"/>
            <w:hideMark/>
          </w:tcPr>
          <w:p w14:paraId="4BE9D3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(1.00, 1.05)</w:t>
            </w:r>
          </w:p>
        </w:tc>
        <w:tc>
          <w:tcPr>
            <w:tcW w:w="854" w:type="dxa"/>
            <w:noWrap/>
            <w:vAlign w:val="center"/>
            <w:hideMark/>
          </w:tcPr>
          <w:p w14:paraId="646B64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0.0750</w:t>
            </w:r>
          </w:p>
        </w:tc>
      </w:tr>
      <w:tr w:rsidR="00F33019" w:rsidRPr="00CC1970" w14:paraId="3EFFC0C2" w14:textId="77777777" w:rsidTr="00801D0D">
        <w:trPr>
          <w:trHeight w:val="57"/>
        </w:trPr>
        <w:tc>
          <w:tcPr>
            <w:tcW w:w="4678" w:type="dxa"/>
            <w:noWrap/>
            <w:vAlign w:val="center"/>
          </w:tcPr>
          <w:p w14:paraId="1689A18E" w14:textId="6A96DA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9078C5E" w14:textId="602191A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1A0CC6F" w14:textId="19C2FDD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40CFB9C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7C17FA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27EB1849" w14:textId="77777777" w:rsidTr="00801D0D">
        <w:trPr>
          <w:trHeight w:val="57"/>
        </w:trPr>
        <w:tc>
          <w:tcPr>
            <w:tcW w:w="4678" w:type="dxa"/>
            <w:noWrap/>
            <w:vAlign w:val="center"/>
          </w:tcPr>
          <w:p w14:paraId="7492AF9C" w14:textId="38518AA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A67EB68" w14:textId="1C61C16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FBED8D0" w14:textId="3D09763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19,4</w:t>
            </w:r>
            <w:r w:rsidR="00F33019" w:rsidRPr="00CC1970">
              <w:rPr>
                <w:rFonts w:ascii="Times New Roman" w:hAnsi="Times New Roman" w:cs="Times New Roman"/>
                <w:sz w:val="22"/>
              </w:rPr>
              <w:t>65.3</w:t>
            </w:r>
          </w:p>
        </w:tc>
        <w:tc>
          <w:tcPr>
            <w:tcW w:w="1814" w:type="dxa"/>
            <w:noWrap/>
            <w:vAlign w:val="center"/>
            <w:hideMark/>
          </w:tcPr>
          <w:p w14:paraId="179069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A396B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0.0202</w:t>
            </w:r>
          </w:p>
        </w:tc>
      </w:tr>
      <w:tr w:rsidR="00F33019" w:rsidRPr="00CC1970" w14:paraId="4CE68A3D" w14:textId="77777777" w:rsidTr="00801D0D">
        <w:trPr>
          <w:trHeight w:val="57"/>
        </w:trPr>
        <w:tc>
          <w:tcPr>
            <w:tcW w:w="4678" w:type="dxa"/>
            <w:noWrap/>
            <w:vAlign w:val="center"/>
          </w:tcPr>
          <w:p w14:paraId="010F61B2" w14:textId="2B41F3C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6238D7B" w14:textId="6D4486B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CF77AC7" w14:textId="4D4B421F"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1D2E1A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0CB9BF2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07647743" w14:textId="77777777" w:rsidTr="00801D0D">
        <w:trPr>
          <w:trHeight w:val="57"/>
        </w:trPr>
        <w:tc>
          <w:tcPr>
            <w:tcW w:w="4678" w:type="dxa"/>
            <w:noWrap/>
            <w:vAlign w:val="center"/>
          </w:tcPr>
          <w:p w14:paraId="43522EE9" w14:textId="1C31E679"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DE77F0" w14:textId="78F23C6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6BABFD1D" w14:textId="5B346BD6"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19</w:t>
            </w:r>
            <w:r w:rsidR="00C17B82" w:rsidRPr="00CC1970">
              <w:rPr>
                <w:rFonts w:ascii="Times New Roman" w:hAnsi="Times New Roman" w:cs="Times New Roman"/>
                <w:sz w:val="22"/>
              </w:rPr>
              <w:t>,</w:t>
            </w:r>
            <w:r w:rsidRPr="00CC1970">
              <w:rPr>
                <w:rFonts w:ascii="Times New Roman" w:hAnsi="Times New Roman" w:cs="Times New Roman"/>
                <w:sz w:val="22"/>
              </w:rPr>
              <w:t>502.8</w:t>
            </w:r>
          </w:p>
        </w:tc>
        <w:tc>
          <w:tcPr>
            <w:tcW w:w="1814" w:type="dxa"/>
            <w:noWrap/>
            <w:vAlign w:val="center"/>
            <w:hideMark/>
          </w:tcPr>
          <w:p w14:paraId="401A33F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1.03 (0.99, 1.07)</w:t>
            </w:r>
          </w:p>
        </w:tc>
        <w:tc>
          <w:tcPr>
            <w:tcW w:w="854" w:type="dxa"/>
            <w:noWrap/>
            <w:vAlign w:val="center"/>
            <w:hideMark/>
          </w:tcPr>
          <w:p w14:paraId="4847D93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0.1613</w:t>
            </w:r>
          </w:p>
        </w:tc>
      </w:tr>
      <w:tr w:rsidR="00F33019" w:rsidRPr="00CC1970" w14:paraId="66CDB4ED" w14:textId="77777777" w:rsidTr="00801D0D">
        <w:trPr>
          <w:trHeight w:val="57"/>
        </w:trPr>
        <w:tc>
          <w:tcPr>
            <w:tcW w:w="4678" w:type="dxa"/>
            <w:noWrap/>
            <w:vAlign w:val="center"/>
          </w:tcPr>
          <w:p w14:paraId="2A368C77" w14:textId="44C838D4"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 xml:space="preserve">General-population, </w:t>
            </w:r>
            <w:r w:rsidR="00F46817" w:rsidRPr="00CC1970">
              <w:rPr>
                <w:rFonts w:ascii="Times New Roman" w:hAnsi="Times New Roman" w:cs="Times New Roman"/>
                <w:sz w:val="22"/>
              </w:rPr>
              <w:t>intensive</w:t>
            </w:r>
            <w:r w:rsidRPr="00CC1970">
              <w:rPr>
                <w:rFonts w:ascii="Times New Roman" w:hAnsi="Times New Roman" w:cs="Times New Roman"/>
                <w:sz w:val="22"/>
              </w:rPr>
              <w:t xml:space="preserve"> ambulatory</w:t>
            </w:r>
          </w:p>
        </w:tc>
        <w:tc>
          <w:tcPr>
            <w:tcW w:w="4535" w:type="dxa"/>
            <w:noWrap/>
            <w:vAlign w:val="center"/>
          </w:tcPr>
          <w:p w14:paraId="09B78C32" w14:textId="77777777" w:rsidR="001974E4" w:rsidRPr="00CC1970" w:rsidRDefault="001974E4" w:rsidP="00F33019">
            <w:pPr>
              <w:ind w:right="-2"/>
              <w:jc w:val="left"/>
              <w:rPr>
                <w:rFonts w:ascii="Times New Roman" w:hAnsi="Times New Roman" w:cs="Times New Roman"/>
                <w:sz w:val="22"/>
              </w:rPr>
            </w:pPr>
          </w:p>
        </w:tc>
        <w:tc>
          <w:tcPr>
            <w:tcW w:w="1020" w:type="dxa"/>
            <w:noWrap/>
            <w:vAlign w:val="center"/>
          </w:tcPr>
          <w:p w14:paraId="618A214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B2B3C5F"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14B7B5FF" w14:textId="77777777" w:rsidR="001974E4" w:rsidRPr="00CC1970" w:rsidRDefault="001974E4" w:rsidP="00F33019">
            <w:pPr>
              <w:ind w:right="-2"/>
              <w:jc w:val="right"/>
              <w:rPr>
                <w:rFonts w:ascii="Times New Roman" w:hAnsi="Times New Roman" w:cs="Times New Roman"/>
                <w:sz w:val="22"/>
              </w:rPr>
            </w:pPr>
          </w:p>
        </w:tc>
      </w:tr>
      <w:tr w:rsidR="00F33019" w:rsidRPr="00CC1970" w14:paraId="6C051668" w14:textId="77777777" w:rsidTr="00801D0D">
        <w:trPr>
          <w:trHeight w:val="57"/>
        </w:trPr>
        <w:tc>
          <w:tcPr>
            <w:tcW w:w="4678" w:type="dxa"/>
            <w:noWrap/>
            <w:vAlign w:val="center"/>
          </w:tcPr>
          <w:p w14:paraId="343FF0E0" w14:textId="15F6269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408894F"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26885D90" w14:textId="47C3C79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587A2A3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1B15B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6DBC82B" w14:textId="77777777" w:rsidTr="00801D0D">
        <w:trPr>
          <w:trHeight w:val="57"/>
        </w:trPr>
        <w:tc>
          <w:tcPr>
            <w:tcW w:w="4678" w:type="dxa"/>
            <w:noWrap/>
            <w:vAlign w:val="center"/>
          </w:tcPr>
          <w:p w14:paraId="1A399449" w14:textId="1F3456A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DFA7BC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7D6B512A" w14:textId="46762A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1915AA3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F3031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97A75F9" w14:textId="77777777" w:rsidTr="00801D0D">
        <w:trPr>
          <w:trHeight w:val="57"/>
        </w:trPr>
        <w:tc>
          <w:tcPr>
            <w:tcW w:w="4678" w:type="dxa"/>
            <w:noWrap/>
            <w:vAlign w:val="center"/>
          </w:tcPr>
          <w:p w14:paraId="589AE945" w14:textId="35ED746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3D921" w14:textId="54EB06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2ADD9165" w14:textId="7E10650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111F91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031721D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07F3788B" w14:textId="77777777" w:rsidTr="00801D0D">
        <w:trPr>
          <w:trHeight w:val="57"/>
        </w:trPr>
        <w:tc>
          <w:tcPr>
            <w:tcW w:w="4678" w:type="dxa"/>
            <w:noWrap/>
            <w:vAlign w:val="center"/>
          </w:tcPr>
          <w:p w14:paraId="5A0C99C4" w14:textId="71965E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073C98C" w14:textId="323F74A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6507D56D" w14:textId="693367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72.1</w:t>
            </w:r>
          </w:p>
        </w:tc>
        <w:tc>
          <w:tcPr>
            <w:tcW w:w="1814" w:type="dxa"/>
            <w:noWrap/>
            <w:vAlign w:val="center"/>
            <w:hideMark/>
          </w:tcPr>
          <w:p w14:paraId="7893A11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1.08)</w:t>
            </w:r>
          </w:p>
        </w:tc>
        <w:tc>
          <w:tcPr>
            <w:tcW w:w="854" w:type="dxa"/>
            <w:noWrap/>
            <w:vAlign w:val="center"/>
            <w:hideMark/>
          </w:tcPr>
          <w:p w14:paraId="52970DA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0.0112</w:t>
            </w:r>
          </w:p>
        </w:tc>
      </w:tr>
      <w:tr w:rsidR="00F33019" w:rsidRPr="00CC1970" w14:paraId="2C3661FB" w14:textId="77777777" w:rsidTr="00801D0D">
        <w:trPr>
          <w:trHeight w:val="57"/>
        </w:trPr>
        <w:tc>
          <w:tcPr>
            <w:tcW w:w="4678" w:type="dxa"/>
            <w:noWrap/>
            <w:vAlign w:val="center"/>
          </w:tcPr>
          <w:p w14:paraId="22641ACE" w14:textId="30BB81A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650E0D" w14:textId="56C50E9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40D8F1EC" w14:textId="4702D46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5DC5C5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07358B8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0DBD3273" w14:textId="77777777" w:rsidTr="00801D0D">
        <w:trPr>
          <w:trHeight w:val="57"/>
        </w:trPr>
        <w:tc>
          <w:tcPr>
            <w:tcW w:w="4678" w:type="dxa"/>
            <w:noWrap/>
            <w:vAlign w:val="center"/>
          </w:tcPr>
          <w:p w14:paraId="3D59ACE8" w14:textId="24696C9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44B0823" w14:textId="28BBC4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3D8407F9" w14:textId="1FD7AE6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68.1</w:t>
            </w:r>
          </w:p>
        </w:tc>
        <w:tc>
          <w:tcPr>
            <w:tcW w:w="1814" w:type="dxa"/>
            <w:noWrap/>
            <w:vAlign w:val="center"/>
            <w:hideMark/>
          </w:tcPr>
          <w:p w14:paraId="0D32AC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C0EC5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0.0127</w:t>
            </w:r>
          </w:p>
        </w:tc>
      </w:tr>
      <w:tr w:rsidR="00F33019" w:rsidRPr="00CC1970" w14:paraId="4CE73FFC" w14:textId="77777777" w:rsidTr="00801D0D">
        <w:trPr>
          <w:trHeight w:val="57"/>
        </w:trPr>
        <w:tc>
          <w:tcPr>
            <w:tcW w:w="4678" w:type="dxa"/>
            <w:noWrap/>
            <w:vAlign w:val="center"/>
          </w:tcPr>
          <w:p w14:paraId="2E452E3C" w14:textId="7B7781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0B8013" w14:textId="411D03E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673D2F4B" w14:textId="5271C58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314C3AA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5472A3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064C2D96" w14:textId="77777777" w:rsidTr="00801D0D">
        <w:trPr>
          <w:trHeight w:val="57"/>
        </w:trPr>
        <w:tc>
          <w:tcPr>
            <w:tcW w:w="4678" w:type="dxa"/>
            <w:noWrap/>
            <w:vAlign w:val="center"/>
          </w:tcPr>
          <w:p w14:paraId="5E8E7AD7" w14:textId="32B2980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B0B7136" w14:textId="5939E51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2102D5B3" w14:textId="3E10BB8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04CCE68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43B4B33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22A4F313" w14:textId="77777777" w:rsidTr="00801D0D">
        <w:trPr>
          <w:trHeight w:val="57"/>
        </w:trPr>
        <w:tc>
          <w:tcPr>
            <w:tcW w:w="4678" w:type="dxa"/>
            <w:noWrap/>
            <w:vAlign w:val="center"/>
          </w:tcPr>
          <w:p w14:paraId="337D767C" w14:textId="087F24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F374637" w14:textId="1BFBA1A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68D9DA6" w14:textId="100B418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71E5B1E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13E711D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5B984131" w14:textId="77777777" w:rsidTr="00801D0D">
        <w:trPr>
          <w:trHeight w:val="57"/>
        </w:trPr>
        <w:tc>
          <w:tcPr>
            <w:tcW w:w="4678" w:type="dxa"/>
            <w:noWrap/>
            <w:vAlign w:val="center"/>
          </w:tcPr>
          <w:p w14:paraId="2D0DE4B0" w14:textId="109D9D3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0B040A" w14:textId="135253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6A6ADC8" w14:textId="5177B89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80.5</w:t>
            </w:r>
          </w:p>
        </w:tc>
        <w:tc>
          <w:tcPr>
            <w:tcW w:w="1814" w:type="dxa"/>
            <w:noWrap/>
            <w:vAlign w:val="center"/>
            <w:hideMark/>
          </w:tcPr>
          <w:p w14:paraId="436583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(1.02, 1.09)</w:t>
            </w:r>
          </w:p>
        </w:tc>
        <w:tc>
          <w:tcPr>
            <w:tcW w:w="854" w:type="dxa"/>
            <w:noWrap/>
            <w:vAlign w:val="center"/>
            <w:hideMark/>
          </w:tcPr>
          <w:p w14:paraId="286C3E2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0.0035</w:t>
            </w:r>
          </w:p>
        </w:tc>
      </w:tr>
      <w:tr w:rsidR="00F33019" w:rsidRPr="00CC1970" w14:paraId="1AA0F3F1" w14:textId="77777777" w:rsidTr="00801D0D">
        <w:trPr>
          <w:trHeight w:val="57"/>
        </w:trPr>
        <w:tc>
          <w:tcPr>
            <w:tcW w:w="4678" w:type="dxa"/>
            <w:noWrap/>
            <w:vAlign w:val="center"/>
          </w:tcPr>
          <w:p w14:paraId="7B09E065" w14:textId="09A405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4F27C9A" w14:textId="2BD814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A2E7CE" w14:textId="18510FF8"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5A384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1D27CAE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0369B1E1" w14:textId="77777777" w:rsidTr="00801D0D">
        <w:trPr>
          <w:trHeight w:val="57"/>
        </w:trPr>
        <w:tc>
          <w:tcPr>
            <w:tcW w:w="4678" w:type="dxa"/>
            <w:noWrap/>
            <w:vAlign w:val="center"/>
          </w:tcPr>
          <w:p w14:paraId="2BBB121C" w14:textId="746BD3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2B2806F" w14:textId="19ADCC5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4F5E802" w14:textId="78DE5F7A"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22</w:t>
            </w:r>
            <w:r w:rsidR="00C17B82" w:rsidRPr="00CC1970">
              <w:rPr>
                <w:rFonts w:ascii="Times New Roman" w:hAnsi="Times New Roman" w:cs="Times New Roman"/>
                <w:sz w:val="22"/>
              </w:rPr>
              <w:t>,</w:t>
            </w:r>
            <w:r w:rsidRPr="00CC1970">
              <w:rPr>
                <w:rFonts w:ascii="Times New Roman" w:hAnsi="Times New Roman" w:cs="Times New Roman"/>
                <w:sz w:val="22"/>
              </w:rPr>
              <w:t>318.8</w:t>
            </w:r>
          </w:p>
        </w:tc>
        <w:tc>
          <w:tcPr>
            <w:tcW w:w="1814" w:type="dxa"/>
            <w:noWrap/>
            <w:vAlign w:val="center"/>
            <w:hideMark/>
          </w:tcPr>
          <w:p w14:paraId="78D26B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1.05 (1.00, 1.09)</w:t>
            </w:r>
          </w:p>
        </w:tc>
        <w:tc>
          <w:tcPr>
            <w:tcW w:w="854" w:type="dxa"/>
            <w:noWrap/>
            <w:vAlign w:val="center"/>
            <w:hideMark/>
          </w:tcPr>
          <w:p w14:paraId="3B7B474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0.0463</w:t>
            </w:r>
          </w:p>
        </w:tc>
      </w:tr>
      <w:tr w:rsidR="00F33019" w:rsidRPr="00CC1970" w14:paraId="594E692B" w14:textId="77777777" w:rsidTr="00801D0D">
        <w:trPr>
          <w:trHeight w:val="57"/>
        </w:trPr>
        <w:tc>
          <w:tcPr>
            <w:tcW w:w="4678" w:type="dxa"/>
            <w:noWrap/>
            <w:vAlign w:val="center"/>
          </w:tcPr>
          <w:p w14:paraId="08D9C4BB" w14:textId="6797297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55CF20F" w14:textId="36308BE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79BEDECC" w14:textId="6F68743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2A761E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107E534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33F29135" w14:textId="77777777" w:rsidTr="00801D0D">
        <w:trPr>
          <w:trHeight w:val="57"/>
        </w:trPr>
        <w:tc>
          <w:tcPr>
            <w:tcW w:w="4678" w:type="dxa"/>
            <w:noWrap/>
            <w:vAlign w:val="center"/>
          </w:tcPr>
          <w:p w14:paraId="3025794E" w14:textId="2D1F708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8AB6148" w14:textId="1BD7644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51BFC69F" w14:textId="5D1C756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59.1</w:t>
            </w:r>
          </w:p>
        </w:tc>
        <w:tc>
          <w:tcPr>
            <w:tcW w:w="1814" w:type="dxa"/>
            <w:noWrap/>
            <w:vAlign w:val="center"/>
            <w:hideMark/>
          </w:tcPr>
          <w:p w14:paraId="453395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1.04 (1.01, 1.07)</w:t>
            </w:r>
          </w:p>
        </w:tc>
        <w:tc>
          <w:tcPr>
            <w:tcW w:w="854" w:type="dxa"/>
            <w:noWrap/>
            <w:vAlign w:val="center"/>
            <w:hideMark/>
          </w:tcPr>
          <w:p w14:paraId="6707DE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0.0090</w:t>
            </w:r>
          </w:p>
        </w:tc>
      </w:tr>
      <w:tr w:rsidR="00F33019" w:rsidRPr="00CC1970" w14:paraId="517AAF80" w14:textId="77777777" w:rsidTr="00801D0D">
        <w:trPr>
          <w:trHeight w:val="57"/>
        </w:trPr>
        <w:tc>
          <w:tcPr>
            <w:tcW w:w="4678" w:type="dxa"/>
            <w:noWrap/>
            <w:vAlign w:val="center"/>
          </w:tcPr>
          <w:p w14:paraId="37C203C4" w14:textId="654BE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91750A5" w14:textId="4952C65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7E7D86A1" w14:textId="3877E4A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30A2D3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719DE58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40600552" w14:textId="77777777" w:rsidTr="00801D0D">
        <w:trPr>
          <w:trHeight w:val="57"/>
        </w:trPr>
        <w:tc>
          <w:tcPr>
            <w:tcW w:w="4678" w:type="dxa"/>
            <w:noWrap/>
            <w:vAlign w:val="center"/>
          </w:tcPr>
          <w:p w14:paraId="6AABA454" w14:textId="2B897F2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5CC1AC2" w14:textId="4C44B58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122B6211" w14:textId="0D1A0B1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65.5</w:t>
            </w:r>
          </w:p>
        </w:tc>
        <w:tc>
          <w:tcPr>
            <w:tcW w:w="1814" w:type="dxa"/>
            <w:noWrap/>
            <w:vAlign w:val="center"/>
            <w:hideMark/>
          </w:tcPr>
          <w:p w14:paraId="255DD4A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1.02 (0.99, 1.05)</w:t>
            </w:r>
          </w:p>
        </w:tc>
        <w:tc>
          <w:tcPr>
            <w:tcW w:w="854" w:type="dxa"/>
            <w:noWrap/>
            <w:vAlign w:val="center"/>
            <w:hideMark/>
          </w:tcPr>
          <w:p w14:paraId="1BB316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0.1547</w:t>
            </w:r>
          </w:p>
        </w:tc>
      </w:tr>
      <w:tr w:rsidR="00F33019" w:rsidRPr="00CC1970" w14:paraId="21746A00" w14:textId="77777777" w:rsidTr="00801D0D">
        <w:trPr>
          <w:trHeight w:val="57"/>
        </w:trPr>
        <w:tc>
          <w:tcPr>
            <w:tcW w:w="4678" w:type="dxa"/>
            <w:noWrap/>
            <w:vAlign w:val="center"/>
          </w:tcPr>
          <w:p w14:paraId="3EB8F647" w14:textId="54DEE828" w:rsidR="00F33019" w:rsidRPr="00CC1970" w:rsidRDefault="00F33019" w:rsidP="00F33019">
            <w:pPr>
              <w:ind w:right="-2"/>
              <w:jc w:val="left"/>
              <w:rPr>
                <w:rFonts w:ascii="Times New Roman" w:hAnsi="Times New Roman" w:cs="Times New Roman"/>
                <w:sz w:val="22"/>
              </w:rPr>
            </w:pPr>
            <w:bookmarkStart w:id="11" w:name="_Hlk170387411"/>
          </w:p>
        </w:tc>
        <w:tc>
          <w:tcPr>
            <w:tcW w:w="4535" w:type="dxa"/>
            <w:noWrap/>
            <w:vAlign w:val="center"/>
            <w:hideMark/>
          </w:tcPr>
          <w:p w14:paraId="58CCD350" w14:textId="494DCE8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44D395E1" w14:textId="037D6B4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429AF3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4E334F4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bookmarkEnd w:id="11"/>
      <w:tr w:rsidR="00F33019" w:rsidRPr="00CC1970" w14:paraId="74108E99" w14:textId="77777777" w:rsidTr="00801D0D">
        <w:trPr>
          <w:trHeight w:val="57"/>
        </w:trPr>
        <w:tc>
          <w:tcPr>
            <w:tcW w:w="4678" w:type="dxa"/>
            <w:noWrap/>
            <w:vAlign w:val="center"/>
          </w:tcPr>
          <w:p w14:paraId="0A133F5F" w14:textId="067D383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72C9EC" w14:textId="2767E82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11B9353C" w14:textId="05974C2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22,2</w:t>
            </w:r>
            <w:r w:rsidR="00F33019" w:rsidRPr="00CC1970">
              <w:rPr>
                <w:rFonts w:ascii="Times New Roman" w:hAnsi="Times New Roman" w:cs="Times New Roman"/>
                <w:sz w:val="22"/>
              </w:rPr>
              <w:t>76.1</w:t>
            </w:r>
          </w:p>
        </w:tc>
        <w:tc>
          <w:tcPr>
            <w:tcW w:w="1814" w:type="dxa"/>
            <w:noWrap/>
            <w:vAlign w:val="center"/>
            <w:hideMark/>
          </w:tcPr>
          <w:p w14:paraId="093BF1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(0.98, 1.05)</w:t>
            </w:r>
          </w:p>
        </w:tc>
        <w:tc>
          <w:tcPr>
            <w:tcW w:w="854" w:type="dxa"/>
            <w:noWrap/>
            <w:vAlign w:val="center"/>
            <w:hideMark/>
          </w:tcPr>
          <w:p w14:paraId="5BB61A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0.4255</w:t>
            </w:r>
          </w:p>
        </w:tc>
      </w:tr>
      <w:tr w:rsidR="00F33019" w:rsidRPr="00CC1970" w14:paraId="194EE121" w14:textId="77777777" w:rsidTr="00801D0D">
        <w:trPr>
          <w:trHeight w:val="57"/>
        </w:trPr>
        <w:tc>
          <w:tcPr>
            <w:tcW w:w="4678" w:type="dxa"/>
            <w:noWrap/>
            <w:vAlign w:val="center"/>
          </w:tcPr>
          <w:p w14:paraId="617CF282" w14:textId="1D34BED1"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General-population, residential</w:t>
            </w:r>
          </w:p>
        </w:tc>
        <w:tc>
          <w:tcPr>
            <w:tcW w:w="4535" w:type="dxa"/>
            <w:noWrap/>
            <w:vAlign w:val="center"/>
          </w:tcPr>
          <w:p w14:paraId="11705DA4"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1EC50C16"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86D619E"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674691A9" w14:textId="77777777" w:rsidR="001974E4" w:rsidRPr="00CC1970" w:rsidRDefault="001974E4" w:rsidP="00F33019">
            <w:pPr>
              <w:ind w:right="-2"/>
              <w:jc w:val="right"/>
              <w:rPr>
                <w:rFonts w:ascii="Times New Roman" w:hAnsi="Times New Roman" w:cs="Times New Roman"/>
                <w:sz w:val="22"/>
              </w:rPr>
            </w:pPr>
          </w:p>
        </w:tc>
      </w:tr>
      <w:tr w:rsidR="00F33019" w:rsidRPr="00CC1970" w14:paraId="6195C161" w14:textId="77777777" w:rsidTr="00801D0D">
        <w:trPr>
          <w:trHeight w:val="57"/>
        </w:trPr>
        <w:tc>
          <w:tcPr>
            <w:tcW w:w="4678" w:type="dxa"/>
            <w:noWrap/>
            <w:vAlign w:val="center"/>
          </w:tcPr>
          <w:p w14:paraId="3A3B758C" w14:textId="0B8908D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6196057"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6691B355" w14:textId="77DA3D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E99B9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6A7D3C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54D3970" w14:textId="77777777" w:rsidTr="00801D0D">
        <w:trPr>
          <w:trHeight w:val="57"/>
        </w:trPr>
        <w:tc>
          <w:tcPr>
            <w:tcW w:w="4678" w:type="dxa"/>
            <w:noWrap/>
            <w:vAlign w:val="center"/>
          </w:tcPr>
          <w:p w14:paraId="49289C2D" w14:textId="2325847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FC4071"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940FD94" w14:textId="1EB2503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3D4CD8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4808666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1D99C07F" w14:textId="77777777" w:rsidTr="00801D0D">
        <w:trPr>
          <w:trHeight w:val="57"/>
        </w:trPr>
        <w:tc>
          <w:tcPr>
            <w:tcW w:w="4678" w:type="dxa"/>
            <w:noWrap/>
            <w:vAlign w:val="center"/>
          </w:tcPr>
          <w:p w14:paraId="7EA1441E" w14:textId="71587B7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BBF2937" w14:textId="52231B7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F9CCF43" w14:textId="7D7F4C7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7DC82496"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2309A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7459DC99" w14:textId="77777777" w:rsidTr="00801D0D">
        <w:trPr>
          <w:trHeight w:val="57"/>
        </w:trPr>
        <w:tc>
          <w:tcPr>
            <w:tcW w:w="4678" w:type="dxa"/>
            <w:noWrap/>
            <w:vAlign w:val="center"/>
          </w:tcPr>
          <w:p w14:paraId="2E7A93AB" w14:textId="6A8545B7"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F7FD533" w14:textId="7AB4E74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5622C358" w14:textId="1929ABB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32.0</w:t>
            </w:r>
          </w:p>
        </w:tc>
        <w:tc>
          <w:tcPr>
            <w:tcW w:w="1814" w:type="dxa"/>
            <w:noWrap/>
            <w:vAlign w:val="center"/>
            <w:hideMark/>
          </w:tcPr>
          <w:p w14:paraId="0EACDB3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1861A09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0.2528</w:t>
            </w:r>
          </w:p>
        </w:tc>
      </w:tr>
      <w:tr w:rsidR="00F33019" w:rsidRPr="00CC1970" w14:paraId="22D35324" w14:textId="77777777" w:rsidTr="00801D0D">
        <w:trPr>
          <w:trHeight w:val="57"/>
        </w:trPr>
        <w:tc>
          <w:tcPr>
            <w:tcW w:w="4678" w:type="dxa"/>
            <w:noWrap/>
            <w:vAlign w:val="center"/>
          </w:tcPr>
          <w:p w14:paraId="3670D870" w14:textId="15D0746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22C0819" w14:textId="1E5F8D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E3F5E88" w14:textId="0D28EB8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301A4AC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7BB3265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0A68565E" w14:textId="77777777" w:rsidTr="00801D0D">
        <w:trPr>
          <w:trHeight w:val="57"/>
        </w:trPr>
        <w:tc>
          <w:tcPr>
            <w:tcW w:w="4678" w:type="dxa"/>
            <w:noWrap/>
            <w:vAlign w:val="center"/>
          </w:tcPr>
          <w:p w14:paraId="20295D14" w14:textId="790E04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E4894D" w14:textId="4DB2C0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73744249" w14:textId="6867577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26.1</w:t>
            </w:r>
          </w:p>
        </w:tc>
        <w:tc>
          <w:tcPr>
            <w:tcW w:w="1814" w:type="dxa"/>
            <w:noWrap/>
            <w:vAlign w:val="center"/>
            <w:hideMark/>
          </w:tcPr>
          <w:p w14:paraId="4E1FD95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0.95 (0.90, 1.01)</w:t>
            </w:r>
          </w:p>
        </w:tc>
        <w:tc>
          <w:tcPr>
            <w:tcW w:w="854" w:type="dxa"/>
            <w:noWrap/>
            <w:vAlign w:val="center"/>
            <w:hideMark/>
          </w:tcPr>
          <w:p w14:paraId="36E1AAF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0.0991</w:t>
            </w:r>
          </w:p>
        </w:tc>
      </w:tr>
      <w:tr w:rsidR="00F33019" w:rsidRPr="00CC1970" w14:paraId="3659E69A" w14:textId="77777777" w:rsidTr="00801D0D">
        <w:trPr>
          <w:trHeight w:val="57"/>
        </w:trPr>
        <w:tc>
          <w:tcPr>
            <w:tcW w:w="4678" w:type="dxa"/>
            <w:noWrap/>
            <w:vAlign w:val="center"/>
          </w:tcPr>
          <w:p w14:paraId="5FC61410" w14:textId="29C723D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FC8154" w14:textId="52D85D6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0DFA535A" w14:textId="581F1E7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575C636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E5D8F9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5C637208" w14:textId="77777777" w:rsidTr="00801D0D">
        <w:trPr>
          <w:trHeight w:val="57"/>
        </w:trPr>
        <w:tc>
          <w:tcPr>
            <w:tcW w:w="4678" w:type="dxa"/>
            <w:noWrap/>
            <w:vAlign w:val="center"/>
          </w:tcPr>
          <w:p w14:paraId="31F06083" w14:textId="57B68E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DB34EC3" w14:textId="33F3624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2E1927E" w14:textId="1141C8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72BDA4C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7067E25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0CC33C07" w14:textId="77777777" w:rsidTr="00801D0D">
        <w:trPr>
          <w:trHeight w:val="57"/>
        </w:trPr>
        <w:tc>
          <w:tcPr>
            <w:tcW w:w="4678" w:type="dxa"/>
            <w:noWrap/>
            <w:vAlign w:val="center"/>
          </w:tcPr>
          <w:p w14:paraId="6E1A86ED" w14:textId="1196E1B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AB73321" w14:textId="5287A5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3131245F" w14:textId="0D09C1F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454D30D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3D58A5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062A6F71" w14:textId="77777777" w:rsidTr="00801D0D">
        <w:trPr>
          <w:trHeight w:val="57"/>
        </w:trPr>
        <w:tc>
          <w:tcPr>
            <w:tcW w:w="4678" w:type="dxa"/>
            <w:noWrap/>
            <w:vAlign w:val="center"/>
          </w:tcPr>
          <w:p w14:paraId="38E2A100" w14:textId="645CD58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9474946" w14:textId="2E316BC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ED2FF2F" w14:textId="53A933E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28.8</w:t>
            </w:r>
          </w:p>
        </w:tc>
        <w:tc>
          <w:tcPr>
            <w:tcW w:w="1814" w:type="dxa"/>
            <w:noWrap/>
            <w:vAlign w:val="center"/>
            <w:hideMark/>
          </w:tcPr>
          <w:p w14:paraId="2F94987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(0.92, 1.03)</w:t>
            </w:r>
          </w:p>
        </w:tc>
        <w:tc>
          <w:tcPr>
            <w:tcW w:w="854" w:type="dxa"/>
            <w:noWrap/>
            <w:vAlign w:val="center"/>
            <w:hideMark/>
          </w:tcPr>
          <w:p w14:paraId="72AA311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0.4442</w:t>
            </w:r>
          </w:p>
        </w:tc>
      </w:tr>
      <w:tr w:rsidR="00F33019" w:rsidRPr="00CC1970" w14:paraId="5C7A95B8" w14:textId="77777777" w:rsidTr="00801D0D">
        <w:trPr>
          <w:trHeight w:val="57"/>
        </w:trPr>
        <w:tc>
          <w:tcPr>
            <w:tcW w:w="4678" w:type="dxa"/>
            <w:noWrap/>
            <w:vAlign w:val="center"/>
          </w:tcPr>
          <w:p w14:paraId="2501F022" w14:textId="5877BB6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661706" w14:textId="162B052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258E36BE" w14:textId="28F4EAD0"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5BD6F0A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5FDA805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42310605" w14:textId="77777777" w:rsidTr="00801D0D">
        <w:trPr>
          <w:trHeight w:val="57"/>
        </w:trPr>
        <w:tc>
          <w:tcPr>
            <w:tcW w:w="4678" w:type="dxa"/>
            <w:noWrap/>
            <w:vAlign w:val="center"/>
          </w:tcPr>
          <w:p w14:paraId="65CEA74E" w14:textId="045C92A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3F55804" w14:textId="0D87A48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363E74E2" w14:textId="102B20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65.7</w:t>
            </w:r>
          </w:p>
        </w:tc>
        <w:tc>
          <w:tcPr>
            <w:tcW w:w="1814" w:type="dxa"/>
            <w:noWrap/>
            <w:vAlign w:val="center"/>
            <w:hideMark/>
          </w:tcPr>
          <w:p w14:paraId="1516D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1.00 (0.93, 1.07)</w:t>
            </w:r>
          </w:p>
        </w:tc>
        <w:tc>
          <w:tcPr>
            <w:tcW w:w="854" w:type="dxa"/>
            <w:noWrap/>
            <w:vAlign w:val="center"/>
            <w:hideMark/>
          </w:tcPr>
          <w:p w14:paraId="29371BC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0.9636</w:t>
            </w:r>
          </w:p>
        </w:tc>
      </w:tr>
      <w:tr w:rsidR="00F33019" w:rsidRPr="00CC1970" w14:paraId="76451D8D" w14:textId="77777777" w:rsidTr="00801D0D">
        <w:trPr>
          <w:trHeight w:val="57"/>
        </w:trPr>
        <w:tc>
          <w:tcPr>
            <w:tcW w:w="4678" w:type="dxa"/>
            <w:noWrap/>
            <w:vAlign w:val="center"/>
          </w:tcPr>
          <w:p w14:paraId="6DC0C328" w14:textId="6E736B7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70BD177" w14:textId="3680E22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3B6F867E" w14:textId="4857996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4087557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22E6407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BE907EA" w14:textId="77777777" w:rsidTr="00801D0D">
        <w:trPr>
          <w:trHeight w:val="57"/>
        </w:trPr>
        <w:tc>
          <w:tcPr>
            <w:tcW w:w="4678" w:type="dxa"/>
            <w:noWrap/>
            <w:vAlign w:val="center"/>
          </w:tcPr>
          <w:p w14:paraId="548BAD1F" w14:textId="5CEE5054"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7D64B1" w14:textId="3022455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1E8C9965" w14:textId="2E9D33C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17.2</w:t>
            </w:r>
          </w:p>
        </w:tc>
        <w:tc>
          <w:tcPr>
            <w:tcW w:w="1814" w:type="dxa"/>
            <w:noWrap/>
            <w:vAlign w:val="center"/>
            <w:hideMark/>
          </w:tcPr>
          <w:p w14:paraId="12E568E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(0.92, 1.02)</w:t>
            </w:r>
          </w:p>
        </w:tc>
        <w:tc>
          <w:tcPr>
            <w:tcW w:w="854" w:type="dxa"/>
            <w:noWrap/>
            <w:vAlign w:val="center"/>
            <w:hideMark/>
          </w:tcPr>
          <w:p w14:paraId="05F6E62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0.1904</w:t>
            </w:r>
          </w:p>
        </w:tc>
      </w:tr>
      <w:tr w:rsidR="00F33019" w:rsidRPr="00CC1970" w14:paraId="60A72219" w14:textId="77777777" w:rsidTr="00801D0D">
        <w:trPr>
          <w:trHeight w:val="57"/>
        </w:trPr>
        <w:tc>
          <w:tcPr>
            <w:tcW w:w="4678" w:type="dxa"/>
            <w:noWrap/>
            <w:vAlign w:val="center"/>
          </w:tcPr>
          <w:p w14:paraId="1B80CF0D" w14:textId="474E54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793D5E7" w14:textId="5D29A42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D81D0E4" w14:textId="76C08BB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383789B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45AB88A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2DE77D7C" w14:textId="77777777" w:rsidTr="00801D0D">
        <w:trPr>
          <w:trHeight w:val="57"/>
        </w:trPr>
        <w:tc>
          <w:tcPr>
            <w:tcW w:w="4678" w:type="dxa"/>
            <w:noWrap/>
            <w:vAlign w:val="center"/>
          </w:tcPr>
          <w:p w14:paraId="06D3FD57" w14:textId="2316A18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DAAA76F" w14:textId="7DFFD33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66E602F9" w14:textId="71D818D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36.6</w:t>
            </w:r>
          </w:p>
        </w:tc>
        <w:tc>
          <w:tcPr>
            <w:tcW w:w="1814" w:type="dxa"/>
            <w:noWrap/>
            <w:vAlign w:val="center"/>
            <w:hideMark/>
          </w:tcPr>
          <w:p w14:paraId="210CE66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0.97 (0.91, 1.04)</w:t>
            </w:r>
          </w:p>
        </w:tc>
        <w:tc>
          <w:tcPr>
            <w:tcW w:w="854" w:type="dxa"/>
            <w:noWrap/>
            <w:vAlign w:val="center"/>
            <w:hideMark/>
          </w:tcPr>
          <w:p w14:paraId="06EF85A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0.4096</w:t>
            </w:r>
          </w:p>
        </w:tc>
      </w:tr>
      <w:tr w:rsidR="00F33019" w:rsidRPr="00CC1970" w14:paraId="545B9A90" w14:textId="77777777" w:rsidTr="00801D0D">
        <w:trPr>
          <w:trHeight w:val="57"/>
        </w:trPr>
        <w:tc>
          <w:tcPr>
            <w:tcW w:w="4678" w:type="dxa"/>
            <w:noWrap/>
            <w:vAlign w:val="center"/>
          </w:tcPr>
          <w:p w14:paraId="24C5D6C4" w14:textId="36403022"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CCD313" w14:textId="611BE27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50CA70BE" w14:textId="71B219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015417F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229457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2475DEDB" w14:textId="77777777" w:rsidTr="00801D0D">
        <w:trPr>
          <w:trHeight w:val="57"/>
        </w:trPr>
        <w:tc>
          <w:tcPr>
            <w:tcW w:w="4678" w:type="dxa"/>
            <w:noWrap/>
            <w:vAlign w:val="center"/>
          </w:tcPr>
          <w:p w14:paraId="59455699" w14:textId="57834BA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4180A4A" w14:textId="2464321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394FA980" w14:textId="4AD8D4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9,8</w:t>
            </w:r>
            <w:r w:rsidR="00F33019" w:rsidRPr="00CC1970">
              <w:rPr>
                <w:rFonts w:ascii="Times New Roman" w:hAnsi="Times New Roman" w:cs="Times New Roman"/>
                <w:sz w:val="22"/>
              </w:rPr>
              <w:t>83.8</w:t>
            </w:r>
          </w:p>
        </w:tc>
        <w:tc>
          <w:tcPr>
            <w:tcW w:w="1814" w:type="dxa"/>
            <w:noWrap/>
            <w:vAlign w:val="center"/>
            <w:hideMark/>
          </w:tcPr>
          <w:p w14:paraId="40266D9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D4613E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0.9098</w:t>
            </w:r>
          </w:p>
        </w:tc>
      </w:tr>
      <w:tr w:rsidR="00F33019" w:rsidRPr="00CC1970" w14:paraId="4B2CBAEF" w14:textId="77777777" w:rsidTr="00801D0D">
        <w:trPr>
          <w:trHeight w:val="57"/>
        </w:trPr>
        <w:tc>
          <w:tcPr>
            <w:tcW w:w="4678" w:type="dxa"/>
            <w:noWrap/>
            <w:vAlign w:val="center"/>
          </w:tcPr>
          <w:p w14:paraId="4F7E808A" w14:textId="6825E6F0"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intensive ambulatory</w:t>
            </w:r>
          </w:p>
        </w:tc>
        <w:tc>
          <w:tcPr>
            <w:tcW w:w="4535" w:type="dxa"/>
            <w:noWrap/>
            <w:vAlign w:val="center"/>
          </w:tcPr>
          <w:p w14:paraId="43160892"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3F53AC18"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07FDF382"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34736D16" w14:textId="77777777" w:rsidR="001974E4" w:rsidRPr="00CC1970" w:rsidRDefault="001974E4" w:rsidP="00F33019">
            <w:pPr>
              <w:ind w:right="-2"/>
              <w:jc w:val="right"/>
              <w:rPr>
                <w:rFonts w:ascii="Times New Roman" w:hAnsi="Times New Roman" w:cs="Times New Roman"/>
                <w:sz w:val="22"/>
              </w:rPr>
            </w:pPr>
          </w:p>
        </w:tc>
      </w:tr>
      <w:tr w:rsidR="00F33019" w:rsidRPr="00CC1970" w14:paraId="07CCA189" w14:textId="77777777" w:rsidTr="00801D0D">
        <w:trPr>
          <w:trHeight w:val="57"/>
        </w:trPr>
        <w:tc>
          <w:tcPr>
            <w:tcW w:w="4678" w:type="dxa"/>
            <w:noWrap/>
            <w:vAlign w:val="center"/>
          </w:tcPr>
          <w:p w14:paraId="58F346E8" w14:textId="111968F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7F419D6"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3A8FDB45" w14:textId="54448E29"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3BDBA63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7484054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926D67D" w14:textId="77777777" w:rsidTr="00801D0D">
        <w:trPr>
          <w:trHeight w:val="57"/>
        </w:trPr>
        <w:tc>
          <w:tcPr>
            <w:tcW w:w="4678" w:type="dxa"/>
            <w:noWrap/>
            <w:vAlign w:val="center"/>
          </w:tcPr>
          <w:p w14:paraId="505DC5BB" w14:textId="16DC40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8778348"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5BF42DA8" w14:textId="7B5B82BE"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188715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A70818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7C75E91" w14:textId="77777777" w:rsidTr="00801D0D">
        <w:trPr>
          <w:trHeight w:val="57"/>
        </w:trPr>
        <w:tc>
          <w:tcPr>
            <w:tcW w:w="4678" w:type="dxa"/>
            <w:noWrap/>
            <w:vAlign w:val="center"/>
          </w:tcPr>
          <w:p w14:paraId="21FF5234" w14:textId="1A91B2F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B0151BB" w14:textId="5248600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5CA95FA7" w14:textId="06D3222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68C7790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477A3E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3C564991" w14:textId="77777777" w:rsidTr="00801D0D">
        <w:trPr>
          <w:trHeight w:val="57"/>
        </w:trPr>
        <w:tc>
          <w:tcPr>
            <w:tcW w:w="4678" w:type="dxa"/>
            <w:noWrap/>
            <w:vAlign w:val="center"/>
          </w:tcPr>
          <w:p w14:paraId="7683A755" w14:textId="628ADCA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3B74CBC" w14:textId="562B86F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1A078EA8" w14:textId="30BE9B02"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31.1</w:t>
            </w:r>
          </w:p>
        </w:tc>
        <w:tc>
          <w:tcPr>
            <w:tcW w:w="1814" w:type="dxa"/>
            <w:noWrap/>
            <w:vAlign w:val="center"/>
            <w:hideMark/>
          </w:tcPr>
          <w:p w14:paraId="2EF88C0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1.07)</w:t>
            </w:r>
          </w:p>
        </w:tc>
        <w:tc>
          <w:tcPr>
            <w:tcW w:w="854" w:type="dxa"/>
            <w:noWrap/>
            <w:vAlign w:val="center"/>
            <w:hideMark/>
          </w:tcPr>
          <w:p w14:paraId="102025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0.8688</w:t>
            </w:r>
          </w:p>
        </w:tc>
      </w:tr>
      <w:tr w:rsidR="00F33019" w:rsidRPr="00CC1970" w14:paraId="5DA29C28" w14:textId="77777777" w:rsidTr="00801D0D">
        <w:trPr>
          <w:trHeight w:val="57"/>
        </w:trPr>
        <w:tc>
          <w:tcPr>
            <w:tcW w:w="4678" w:type="dxa"/>
            <w:noWrap/>
            <w:vAlign w:val="center"/>
          </w:tcPr>
          <w:p w14:paraId="55510655" w14:textId="044004B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06CCFBC" w14:textId="398E086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096A2582" w14:textId="0187FCA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82DA74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1A76E10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3FB6C9AC" w14:textId="77777777" w:rsidTr="00801D0D">
        <w:trPr>
          <w:trHeight w:val="57"/>
        </w:trPr>
        <w:tc>
          <w:tcPr>
            <w:tcW w:w="4678" w:type="dxa"/>
            <w:noWrap/>
            <w:vAlign w:val="center"/>
          </w:tcPr>
          <w:p w14:paraId="424D9E98" w14:textId="270147E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CA14EC" w14:textId="5070FA9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1916433" w14:textId="5DF2253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26.7</w:t>
            </w:r>
          </w:p>
        </w:tc>
        <w:tc>
          <w:tcPr>
            <w:tcW w:w="1814" w:type="dxa"/>
            <w:noWrap/>
            <w:vAlign w:val="center"/>
            <w:hideMark/>
          </w:tcPr>
          <w:p w14:paraId="41BDB06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1.06)</w:t>
            </w:r>
          </w:p>
        </w:tc>
        <w:tc>
          <w:tcPr>
            <w:tcW w:w="854" w:type="dxa"/>
            <w:noWrap/>
            <w:vAlign w:val="center"/>
            <w:hideMark/>
          </w:tcPr>
          <w:p w14:paraId="25260C6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0.7381</w:t>
            </w:r>
          </w:p>
        </w:tc>
      </w:tr>
      <w:tr w:rsidR="00F33019" w:rsidRPr="00CC1970" w14:paraId="679D96C1" w14:textId="77777777" w:rsidTr="00801D0D">
        <w:trPr>
          <w:trHeight w:val="57"/>
        </w:trPr>
        <w:tc>
          <w:tcPr>
            <w:tcW w:w="4678" w:type="dxa"/>
            <w:noWrap/>
            <w:vAlign w:val="center"/>
          </w:tcPr>
          <w:p w14:paraId="6263A7CB" w14:textId="773052F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4290E8F" w14:textId="563E0DC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5620486F" w14:textId="3F7A6CB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2F87A4E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01CE6FA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53F9B319" w14:textId="77777777" w:rsidTr="00801D0D">
        <w:trPr>
          <w:trHeight w:val="57"/>
        </w:trPr>
        <w:tc>
          <w:tcPr>
            <w:tcW w:w="4678" w:type="dxa"/>
            <w:noWrap/>
            <w:vAlign w:val="center"/>
          </w:tcPr>
          <w:p w14:paraId="23AD6274" w14:textId="13EAC23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DA6BBAE" w14:textId="71FC5D6A"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107ADD41" w14:textId="28454678"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5486AE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4DDA8A5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4DCF46A1" w14:textId="77777777" w:rsidTr="00801D0D">
        <w:trPr>
          <w:trHeight w:val="57"/>
        </w:trPr>
        <w:tc>
          <w:tcPr>
            <w:tcW w:w="4678" w:type="dxa"/>
            <w:noWrap/>
            <w:vAlign w:val="center"/>
          </w:tcPr>
          <w:p w14:paraId="2D58A637" w14:textId="302989B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CED678B" w14:textId="542C0B3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AAA17FC" w14:textId="04997B2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6A670C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0E4D7D5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49F5631C" w14:textId="77777777" w:rsidTr="00801D0D">
        <w:trPr>
          <w:trHeight w:val="57"/>
        </w:trPr>
        <w:tc>
          <w:tcPr>
            <w:tcW w:w="4678" w:type="dxa"/>
            <w:noWrap/>
            <w:vAlign w:val="center"/>
          </w:tcPr>
          <w:p w14:paraId="23D57345" w14:textId="449584E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EB3DD4E" w14:textId="0D1D025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653DDEDD" w14:textId="76781B6B"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41.0</w:t>
            </w:r>
          </w:p>
        </w:tc>
        <w:tc>
          <w:tcPr>
            <w:tcW w:w="1814" w:type="dxa"/>
            <w:noWrap/>
            <w:vAlign w:val="center"/>
            <w:hideMark/>
          </w:tcPr>
          <w:p w14:paraId="119BA2D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(0.92, 1.10)</w:t>
            </w:r>
          </w:p>
        </w:tc>
        <w:tc>
          <w:tcPr>
            <w:tcW w:w="854" w:type="dxa"/>
            <w:noWrap/>
            <w:vAlign w:val="center"/>
            <w:hideMark/>
          </w:tcPr>
          <w:p w14:paraId="1AC31B2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0.8228</w:t>
            </w:r>
          </w:p>
        </w:tc>
      </w:tr>
      <w:tr w:rsidR="00F33019" w:rsidRPr="00CC1970" w14:paraId="2650C3D0" w14:textId="77777777" w:rsidTr="00801D0D">
        <w:trPr>
          <w:trHeight w:val="57"/>
        </w:trPr>
        <w:tc>
          <w:tcPr>
            <w:tcW w:w="4678" w:type="dxa"/>
            <w:noWrap/>
            <w:vAlign w:val="center"/>
          </w:tcPr>
          <w:p w14:paraId="65E80EFF" w14:textId="3719689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2944713" w14:textId="51000AC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5D774FBC" w14:textId="19CC3B9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453AC31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7A5B942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5769A45C" w14:textId="77777777" w:rsidTr="00801D0D">
        <w:trPr>
          <w:trHeight w:val="57"/>
        </w:trPr>
        <w:tc>
          <w:tcPr>
            <w:tcW w:w="4678" w:type="dxa"/>
            <w:noWrap/>
            <w:vAlign w:val="center"/>
          </w:tcPr>
          <w:p w14:paraId="0374DC68" w14:textId="64CD4ECD"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5382D17" w14:textId="4C66015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4726A4BF" w14:textId="685E3AC6"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63.6</w:t>
            </w:r>
          </w:p>
        </w:tc>
        <w:tc>
          <w:tcPr>
            <w:tcW w:w="1814" w:type="dxa"/>
            <w:noWrap/>
            <w:vAlign w:val="center"/>
            <w:hideMark/>
          </w:tcPr>
          <w:p w14:paraId="308B019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1.01 (0.91, 1.12)</w:t>
            </w:r>
          </w:p>
        </w:tc>
        <w:tc>
          <w:tcPr>
            <w:tcW w:w="854" w:type="dxa"/>
            <w:noWrap/>
            <w:vAlign w:val="center"/>
            <w:hideMark/>
          </w:tcPr>
          <w:p w14:paraId="5FC9AFC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0.8719</w:t>
            </w:r>
          </w:p>
        </w:tc>
      </w:tr>
      <w:tr w:rsidR="00F33019" w:rsidRPr="00CC1970" w14:paraId="2791E350" w14:textId="77777777" w:rsidTr="00801D0D">
        <w:trPr>
          <w:trHeight w:val="57"/>
        </w:trPr>
        <w:tc>
          <w:tcPr>
            <w:tcW w:w="4678" w:type="dxa"/>
            <w:noWrap/>
            <w:vAlign w:val="center"/>
          </w:tcPr>
          <w:p w14:paraId="0AD33E4F" w14:textId="3354FD4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50A0ADA" w14:textId="3A2D91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D4F4933" w14:textId="1502516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75B81AF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32EF761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3CADB503" w14:textId="77777777" w:rsidTr="00801D0D">
        <w:trPr>
          <w:trHeight w:val="57"/>
        </w:trPr>
        <w:tc>
          <w:tcPr>
            <w:tcW w:w="4678" w:type="dxa"/>
            <w:noWrap/>
            <w:vAlign w:val="center"/>
          </w:tcPr>
          <w:p w14:paraId="22CA4C2E" w14:textId="5E85F28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5D94B90" w14:textId="6B7EAC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3C34BEC3" w14:textId="37DDC4F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20.7</w:t>
            </w:r>
          </w:p>
        </w:tc>
        <w:tc>
          <w:tcPr>
            <w:tcW w:w="1814" w:type="dxa"/>
            <w:noWrap/>
            <w:vAlign w:val="center"/>
            <w:hideMark/>
          </w:tcPr>
          <w:p w14:paraId="4E87047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0.99 (0.92, 1.05)</w:t>
            </w:r>
          </w:p>
        </w:tc>
        <w:tc>
          <w:tcPr>
            <w:tcW w:w="854" w:type="dxa"/>
            <w:noWrap/>
            <w:vAlign w:val="center"/>
            <w:hideMark/>
          </w:tcPr>
          <w:p w14:paraId="2CC27FC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0.7075</w:t>
            </w:r>
          </w:p>
        </w:tc>
      </w:tr>
      <w:tr w:rsidR="00F33019" w:rsidRPr="00CC1970" w14:paraId="7668D19D" w14:textId="77777777" w:rsidTr="00801D0D">
        <w:trPr>
          <w:trHeight w:val="57"/>
        </w:trPr>
        <w:tc>
          <w:tcPr>
            <w:tcW w:w="4678" w:type="dxa"/>
            <w:noWrap/>
            <w:vAlign w:val="center"/>
          </w:tcPr>
          <w:p w14:paraId="2F6BD409" w14:textId="2409B75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6B237EF" w14:textId="538063C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0E189D6D" w14:textId="1610018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615C0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2311A16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088123C3" w14:textId="77777777" w:rsidTr="00801D0D">
        <w:trPr>
          <w:trHeight w:val="57"/>
        </w:trPr>
        <w:tc>
          <w:tcPr>
            <w:tcW w:w="4678" w:type="dxa"/>
            <w:noWrap/>
            <w:vAlign w:val="center"/>
          </w:tcPr>
          <w:p w14:paraId="2E3E69E6" w14:textId="23CAF4E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2B716BC1" w14:textId="149D8D2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 NB</w:t>
            </w:r>
          </w:p>
        </w:tc>
        <w:tc>
          <w:tcPr>
            <w:tcW w:w="1020" w:type="dxa"/>
            <w:tcBorders>
              <w:top w:val="nil"/>
              <w:left w:val="nil"/>
              <w:bottom w:val="nil"/>
              <w:right w:val="nil"/>
            </w:tcBorders>
            <w:shd w:val="clear" w:color="auto" w:fill="auto"/>
            <w:noWrap/>
            <w:vAlign w:val="center"/>
            <w:hideMark/>
          </w:tcPr>
          <w:p w14:paraId="393FA4BA" w14:textId="7F183F5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3,434</w:t>
            </w:r>
            <w:r w:rsidR="00F33019" w:rsidRPr="00CC1970">
              <w:rPr>
                <w:rFonts w:ascii="Times New Roman" w:hAnsi="Times New Roman" w:cs="Times New Roman"/>
                <w:sz w:val="22"/>
              </w:rPr>
              <w:t>.3</w:t>
            </w:r>
          </w:p>
        </w:tc>
        <w:tc>
          <w:tcPr>
            <w:tcW w:w="1814" w:type="dxa"/>
            <w:noWrap/>
            <w:vAlign w:val="center"/>
            <w:hideMark/>
          </w:tcPr>
          <w:p w14:paraId="599F56B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0.98 (0.91, 1.05)</w:t>
            </w:r>
          </w:p>
        </w:tc>
        <w:tc>
          <w:tcPr>
            <w:tcW w:w="854" w:type="dxa"/>
            <w:noWrap/>
            <w:vAlign w:val="center"/>
            <w:hideMark/>
          </w:tcPr>
          <w:p w14:paraId="50CDF6C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0.5343</w:t>
            </w:r>
          </w:p>
        </w:tc>
      </w:tr>
      <w:tr w:rsidR="00F33019" w:rsidRPr="00CC1970" w14:paraId="220B5A64" w14:textId="77777777" w:rsidTr="00801D0D">
        <w:trPr>
          <w:trHeight w:val="57"/>
        </w:trPr>
        <w:tc>
          <w:tcPr>
            <w:tcW w:w="4678" w:type="dxa"/>
            <w:noWrap/>
            <w:vAlign w:val="center"/>
          </w:tcPr>
          <w:p w14:paraId="5D459FCB" w14:textId="3C20FA4F"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310122D" w14:textId="099CA00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2A96239D" w14:textId="04C3520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5CE0FAA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3DFCB07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131C9305" w14:textId="77777777" w:rsidTr="00801D0D">
        <w:trPr>
          <w:trHeight w:val="57"/>
        </w:trPr>
        <w:tc>
          <w:tcPr>
            <w:tcW w:w="4678" w:type="dxa"/>
            <w:noWrap/>
            <w:vAlign w:val="center"/>
          </w:tcPr>
          <w:p w14:paraId="289783E6" w14:textId="582F86B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57ABD2AA" w14:textId="63DFCD85"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75BDA1DD" w14:textId="010E20E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3,4</w:t>
            </w:r>
            <w:r w:rsidR="00F33019" w:rsidRPr="00CC1970">
              <w:rPr>
                <w:rFonts w:ascii="Times New Roman" w:hAnsi="Times New Roman" w:cs="Times New Roman"/>
                <w:sz w:val="22"/>
              </w:rPr>
              <w:t>65.0</w:t>
            </w:r>
          </w:p>
        </w:tc>
        <w:tc>
          <w:tcPr>
            <w:tcW w:w="1814" w:type="dxa"/>
            <w:noWrap/>
            <w:vAlign w:val="center"/>
            <w:hideMark/>
          </w:tcPr>
          <w:p w14:paraId="06F7A0E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0.94 (0.87, 1.02)</w:t>
            </w:r>
          </w:p>
        </w:tc>
        <w:tc>
          <w:tcPr>
            <w:tcW w:w="854" w:type="dxa"/>
            <w:noWrap/>
            <w:vAlign w:val="center"/>
            <w:hideMark/>
          </w:tcPr>
          <w:p w14:paraId="64E3D2D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0.1571</w:t>
            </w:r>
          </w:p>
        </w:tc>
      </w:tr>
      <w:tr w:rsidR="00F33019" w:rsidRPr="00CC1970" w14:paraId="422F5BE3" w14:textId="77777777" w:rsidTr="00801D0D">
        <w:trPr>
          <w:trHeight w:val="57"/>
        </w:trPr>
        <w:tc>
          <w:tcPr>
            <w:tcW w:w="4678" w:type="dxa"/>
            <w:noWrap/>
            <w:vAlign w:val="center"/>
          </w:tcPr>
          <w:p w14:paraId="18C5D03F" w14:textId="4C929186" w:rsidR="001974E4" w:rsidRPr="00CC1970" w:rsidRDefault="001974E4" w:rsidP="00F33019">
            <w:pPr>
              <w:ind w:right="-2"/>
              <w:jc w:val="left"/>
              <w:rPr>
                <w:rFonts w:ascii="Times New Roman" w:hAnsi="Times New Roman" w:cs="Times New Roman"/>
                <w:sz w:val="22"/>
              </w:rPr>
            </w:pPr>
            <w:r w:rsidRPr="00CC1970">
              <w:rPr>
                <w:rFonts w:ascii="Times New Roman" w:hAnsi="Times New Roman" w:cs="Times New Roman"/>
                <w:sz w:val="22"/>
              </w:rPr>
              <w:t>Women-only, residential</w:t>
            </w:r>
          </w:p>
        </w:tc>
        <w:tc>
          <w:tcPr>
            <w:tcW w:w="4535" w:type="dxa"/>
            <w:noWrap/>
            <w:vAlign w:val="center"/>
          </w:tcPr>
          <w:p w14:paraId="77D2B675" w14:textId="77777777" w:rsidR="001974E4" w:rsidRPr="00CC1970" w:rsidRDefault="001974E4" w:rsidP="00F33019">
            <w:pPr>
              <w:ind w:right="-2"/>
              <w:jc w:val="left"/>
              <w:rPr>
                <w:rFonts w:ascii="Times New Roman" w:hAnsi="Times New Roman" w:cs="Times New Roman"/>
                <w:sz w:val="22"/>
              </w:rPr>
            </w:pPr>
          </w:p>
        </w:tc>
        <w:tc>
          <w:tcPr>
            <w:tcW w:w="1020" w:type="dxa"/>
            <w:shd w:val="clear" w:color="auto" w:fill="auto"/>
            <w:noWrap/>
            <w:vAlign w:val="center"/>
          </w:tcPr>
          <w:p w14:paraId="69AEA1D5" w14:textId="77777777" w:rsidR="001974E4" w:rsidRPr="00CC1970" w:rsidRDefault="001974E4" w:rsidP="00F33019">
            <w:pPr>
              <w:ind w:right="-2"/>
              <w:jc w:val="right"/>
              <w:rPr>
                <w:rFonts w:ascii="Times New Roman" w:hAnsi="Times New Roman" w:cs="Times New Roman"/>
                <w:sz w:val="22"/>
              </w:rPr>
            </w:pPr>
          </w:p>
        </w:tc>
        <w:tc>
          <w:tcPr>
            <w:tcW w:w="1814" w:type="dxa"/>
            <w:noWrap/>
            <w:vAlign w:val="center"/>
          </w:tcPr>
          <w:p w14:paraId="6B8367FB" w14:textId="77777777" w:rsidR="001974E4" w:rsidRPr="00CC1970" w:rsidRDefault="001974E4" w:rsidP="00F33019">
            <w:pPr>
              <w:ind w:right="-2"/>
              <w:jc w:val="right"/>
              <w:rPr>
                <w:rFonts w:ascii="Times New Roman" w:hAnsi="Times New Roman" w:cs="Times New Roman"/>
                <w:sz w:val="22"/>
              </w:rPr>
            </w:pPr>
          </w:p>
        </w:tc>
        <w:tc>
          <w:tcPr>
            <w:tcW w:w="854" w:type="dxa"/>
            <w:noWrap/>
            <w:vAlign w:val="center"/>
          </w:tcPr>
          <w:p w14:paraId="2B38EED6" w14:textId="77777777" w:rsidR="001974E4" w:rsidRPr="00CC1970" w:rsidRDefault="001974E4" w:rsidP="00F33019">
            <w:pPr>
              <w:ind w:right="-2"/>
              <w:jc w:val="right"/>
              <w:rPr>
                <w:rFonts w:ascii="Times New Roman" w:hAnsi="Times New Roman" w:cs="Times New Roman"/>
                <w:sz w:val="22"/>
              </w:rPr>
            </w:pPr>
          </w:p>
        </w:tc>
      </w:tr>
      <w:tr w:rsidR="00F33019" w:rsidRPr="00CC1970" w14:paraId="11A01426" w14:textId="77777777" w:rsidTr="00801D0D">
        <w:trPr>
          <w:trHeight w:val="57"/>
        </w:trPr>
        <w:tc>
          <w:tcPr>
            <w:tcW w:w="4678" w:type="dxa"/>
            <w:noWrap/>
            <w:vAlign w:val="center"/>
          </w:tcPr>
          <w:p w14:paraId="4A40E588" w14:textId="2DE58D5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6B26D85"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w:t>
            </w:r>
          </w:p>
        </w:tc>
        <w:tc>
          <w:tcPr>
            <w:tcW w:w="1020" w:type="dxa"/>
            <w:tcBorders>
              <w:top w:val="nil"/>
              <w:left w:val="nil"/>
              <w:bottom w:val="nil"/>
              <w:right w:val="nil"/>
            </w:tcBorders>
            <w:shd w:val="clear" w:color="auto" w:fill="auto"/>
            <w:noWrap/>
            <w:vAlign w:val="center"/>
            <w:hideMark/>
          </w:tcPr>
          <w:p w14:paraId="76205C5B" w14:textId="6FB0ED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28415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038E46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781C0A1" w14:textId="77777777" w:rsidTr="00801D0D">
        <w:trPr>
          <w:trHeight w:val="57"/>
        </w:trPr>
        <w:tc>
          <w:tcPr>
            <w:tcW w:w="4678" w:type="dxa"/>
            <w:noWrap/>
            <w:vAlign w:val="center"/>
          </w:tcPr>
          <w:p w14:paraId="4531B485" w14:textId="5A6CC76E"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EE72D6E" w14:textId="77777777"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NB</w:t>
            </w:r>
          </w:p>
        </w:tc>
        <w:tc>
          <w:tcPr>
            <w:tcW w:w="1020" w:type="dxa"/>
            <w:tcBorders>
              <w:top w:val="nil"/>
              <w:left w:val="nil"/>
              <w:bottom w:val="nil"/>
              <w:right w:val="nil"/>
            </w:tcBorders>
            <w:shd w:val="clear" w:color="auto" w:fill="auto"/>
            <w:noWrap/>
            <w:vAlign w:val="center"/>
            <w:hideMark/>
          </w:tcPr>
          <w:p w14:paraId="25C6AA02" w14:textId="790235C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174C86C"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839ABD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4408488" w14:textId="77777777" w:rsidTr="00801D0D">
        <w:trPr>
          <w:trHeight w:val="57"/>
        </w:trPr>
        <w:tc>
          <w:tcPr>
            <w:tcW w:w="4678" w:type="dxa"/>
            <w:noWrap/>
            <w:vAlign w:val="center"/>
          </w:tcPr>
          <w:p w14:paraId="37C7A772" w14:textId="1A2BABF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16F9AC8" w14:textId="0E5FC130"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w:t>
            </w:r>
          </w:p>
        </w:tc>
        <w:tc>
          <w:tcPr>
            <w:tcW w:w="1020" w:type="dxa"/>
            <w:tcBorders>
              <w:top w:val="nil"/>
              <w:left w:val="nil"/>
              <w:bottom w:val="nil"/>
              <w:right w:val="nil"/>
            </w:tcBorders>
            <w:shd w:val="clear" w:color="auto" w:fill="auto"/>
            <w:noWrap/>
            <w:vAlign w:val="center"/>
            <w:hideMark/>
          </w:tcPr>
          <w:p w14:paraId="3191A062" w14:textId="0160DBC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3AC28C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48743C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02454151" w14:textId="77777777" w:rsidTr="00801D0D">
        <w:trPr>
          <w:trHeight w:val="57"/>
        </w:trPr>
        <w:tc>
          <w:tcPr>
            <w:tcW w:w="4678" w:type="dxa"/>
            <w:noWrap/>
            <w:vAlign w:val="center"/>
          </w:tcPr>
          <w:p w14:paraId="1A2941AE" w14:textId="1870F6E1"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BC975BF" w14:textId="5D1B94A1"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lag=0, NB</w:t>
            </w:r>
          </w:p>
        </w:tc>
        <w:tc>
          <w:tcPr>
            <w:tcW w:w="1020" w:type="dxa"/>
            <w:tcBorders>
              <w:top w:val="nil"/>
              <w:left w:val="nil"/>
              <w:bottom w:val="nil"/>
              <w:right w:val="nil"/>
            </w:tcBorders>
            <w:shd w:val="clear" w:color="auto" w:fill="auto"/>
            <w:noWrap/>
            <w:vAlign w:val="center"/>
            <w:hideMark/>
          </w:tcPr>
          <w:p w14:paraId="3AB6E971" w14:textId="538914C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36.4</w:t>
            </w:r>
          </w:p>
        </w:tc>
        <w:tc>
          <w:tcPr>
            <w:tcW w:w="1814" w:type="dxa"/>
            <w:noWrap/>
            <w:vAlign w:val="center"/>
            <w:hideMark/>
          </w:tcPr>
          <w:p w14:paraId="162671B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1.15 (1.06, 1.26)</w:t>
            </w:r>
          </w:p>
        </w:tc>
        <w:tc>
          <w:tcPr>
            <w:tcW w:w="854" w:type="dxa"/>
            <w:noWrap/>
            <w:vAlign w:val="center"/>
            <w:hideMark/>
          </w:tcPr>
          <w:p w14:paraId="5BE52EE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0.0009</w:t>
            </w:r>
          </w:p>
        </w:tc>
      </w:tr>
      <w:tr w:rsidR="00F33019" w:rsidRPr="00CC1970" w14:paraId="683836C0" w14:textId="77777777" w:rsidTr="00801D0D">
        <w:trPr>
          <w:trHeight w:val="57"/>
        </w:trPr>
        <w:tc>
          <w:tcPr>
            <w:tcW w:w="4678" w:type="dxa"/>
            <w:noWrap/>
            <w:vAlign w:val="center"/>
          </w:tcPr>
          <w:p w14:paraId="35E77B65" w14:textId="40BBC88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C75A9AA" w14:textId="1A8A477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w:t>
            </w:r>
          </w:p>
        </w:tc>
        <w:tc>
          <w:tcPr>
            <w:tcW w:w="1020" w:type="dxa"/>
            <w:tcBorders>
              <w:top w:val="nil"/>
              <w:left w:val="nil"/>
              <w:bottom w:val="nil"/>
              <w:right w:val="nil"/>
            </w:tcBorders>
            <w:shd w:val="clear" w:color="auto" w:fill="auto"/>
            <w:noWrap/>
            <w:vAlign w:val="center"/>
            <w:hideMark/>
          </w:tcPr>
          <w:p w14:paraId="18FA8C51" w14:textId="22774C5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5EE5C3A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F90FC9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680B4DE1" w14:textId="77777777" w:rsidTr="00801D0D">
        <w:trPr>
          <w:trHeight w:val="57"/>
        </w:trPr>
        <w:tc>
          <w:tcPr>
            <w:tcW w:w="4678" w:type="dxa"/>
            <w:noWrap/>
            <w:vAlign w:val="center"/>
          </w:tcPr>
          <w:p w14:paraId="4F995F88" w14:textId="7F0935D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9F2C0F1" w14:textId="0B70CB83"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No correction, lag=1, NB</w:t>
            </w:r>
          </w:p>
        </w:tc>
        <w:tc>
          <w:tcPr>
            <w:tcW w:w="1020" w:type="dxa"/>
            <w:tcBorders>
              <w:top w:val="nil"/>
              <w:left w:val="nil"/>
              <w:bottom w:val="nil"/>
              <w:right w:val="nil"/>
            </w:tcBorders>
            <w:shd w:val="clear" w:color="auto" w:fill="auto"/>
            <w:noWrap/>
            <w:vAlign w:val="center"/>
            <w:hideMark/>
          </w:tcPr>
          <w:p w14:paraId="00E0C3E8" w14:textId="4390C767"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31.9</w:t>
            </w:r>
          </w:p>
        </w:tc>
        <w:tc>
          <w:tcPr>
            <w:tcW w:w="1814" w:type="dxa"/>
            <w:noWrap/>
            <w:vAlign w:val="center"/>
            <w:hideMark/>
          </w:tcPr>
          <w:p w14:paraId="49C8536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(1.04, 1.22)</w:t>
            </w:r>
          </w:p>
        </w:tc>
        <w:tc>
          <w:tcPr>
            <w:tcW w:w="854" w:type="dxa"/>
            <w:noWrap/>
            <w:vAlign w:val="center"/>
            <w:hideMark/>
          </w:tcPr>
          <w:p w14:paraId="2534722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0.0027</w:t>
            </w:r>
          </w:p>
        </w:tc>
      </w:tr>
      <w:tr w:rsidR="00F33019" w:rsidRPr="00CC1970" w14:paraId="2CD07B88" w14:textId="77777777" w:rsidTr="00801D0D">
        <w:trPr>
          <w:trHeight w:val="57"/>
        </w:trPr>
        <w:tc>
          <w:tcPr>
            <w:tcW w:w="4678" w:type="dxa"/>
            <w:noWrap/>
            <w:vAlign w:val="center"/>
          </w:tcPr>
          <w:p w14:paraId="14B78E2D" w14:textId="1F626B0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60D61B3A" w14:textId="5A6D90D8"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w:t>
            </w:r>
          </w:p>
        </w:tc>
        <w:tc>
          <w:tcPr>
            <w:tcW w:w="1020" w:type="dxa"/>
            <w:tcBorders>
              <w:top w:val="nil"/>
              <w:left w:val="nil"/>
              <w:bottom w:val="nil"/>
              <w:right w:val="nil"/>
            </w:tcBorders>
            <w:shd w:val="clear" w:color="auto" w:fill="auto"/>
            <w:noWrap/>
            <w:vAlign w:val="center"/>
            <w:hideMark/>
          </w:tcPr>
          <w:p w14:paraId="10DF79D5" w14:textId="0E9F87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68519A3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1D965F3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611A95B6" w14:textId="77777777" w:rsidTr="00801D0D">
        <w:trPr>
          <w:trHeight w:val="57"/>
        </w:trPr>
        <w:tc>
          <w:tcPr>
            <w:tcW w:w="4678" w:type="dxa"/>
            <w:noWrap/>
            <w:vAlign w:val="center"/>
          </w:tcPr>
          <w:p w14:paraId="551FD81D" w14:textId="1DB14FDA"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1B2A3DB" w14:textId="08596044"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no weight, NB</w:t>
            </w:r>
          </w:p>
        </w:tc>
        <w:tc>
          <w:tcPr>
            <w:tcW w:w="1020" w:type="dxa"/>
            <w:tcBorders>
              <w:top w:val="nil"/>
              <w:left w:val="nil"/>
              <w:bottom w:val="nil"/>
              <w:right w:val="nil"/>
            </w:tcBorders>
            <w:shd w:val="clear" w:color="auto" w:fill="auto"/>
            <w:noWrap/>
            <w:vAlign w:val="center"/>
            <w:hideMark/>
          </w:tcPr>
          <w:p w14:paraId="7D44E1CB" w14:textId="629F1BCD"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569735C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01F64DFD"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42C26075" w14:textId="77777777" w:rsidTr="00801D0D">
        <w:trPr>
          <w:trHeight w:val="57"/>
        </w:trPr>
        <w:tc>
          <w:tcPr>
            <w:tcW w:w="4678" w:type="dxa"/>
            <w:noWrap/>
            <w:vAlign w:val="center"/>
          </w:tcPr>
          <w:p w14:paraId="53EE46CD" w14:textId="36512348"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71F1597" w14:textId="59CE5452"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w:t>
            </w:r>
          </w:p>
        </w:tc>
        <w:tc>
          <w:tcPr>
            <w:tcW w:w="1020" w:type="dxa"/>
            <w:tcBorders>
              <w:top w:val="nil"/>
              <w:left w:val="nil"/>
              <w:bottom w:val="nil"/>
              <w:right w:val="nil"/>
            </w:tcBorders>
            <w:shd w:val="clear" w:color="auto" w:fill="auto"/>
            <w:noWrap/>
            <w:vAlign w:val="center"/>
            <w:hideMark/>
          </w:tcPr>
          <w:p w14:paraId="7E8C2A01" w14:textId="7D7C7FD5"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623454C8"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0CA5769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0158AE3D" w14:textId="77777777" w:rsidTr="00801D0D">
        <w:trPr>
          <w:trHeight w:val="57"/>
        </w:trPr>
        <w:tc>
          <w:tcPr>
            <w:tcW w:w="4678" w:type="dxa"/>
            <w:noWrap/>
            <w:vAlign w:val="center"/>
          </w:tcPr>
          <w:p w14:paraId="35FB42CB" w14:textId="61C346C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33E3ADE" w14:textId="34623BCC"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lag=0, NB</w:t>
            </w:r>
          </w:p>
        </w:tc>
        <w:tc>
          <w:tcPr>
            <w:tcW w:w="1020" w:type="dxa"/>
            <w:tcBorders>
              <w:top w:val="nil"/>
              <w:left w:val="nil"/>
              <w:bottom w:val="nil"/>
              <w:right w:val="nil"/>
            </w:tcBorders>
            <w:shd w:val="clear" w:color="auto" w:fill="auto"/>
            <w:noWrap/>
            <w:vAlign w:val="center"/>
            <w:hideMark/>
          </w:tcPr>
          <w:p w14:paraId="05651751" w14:textId="577474E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37.1</w:t>
            </w:r>
          </w:p>
        </w:tc>
        <w:tc>
          <w:tcPr>
            <w:tcW w:w="1814" w:type="dxa"/>
            <w:noWrap/>
            <w:vAlign w:val="center"/>
            <w:hideMark/>
          </w:tcPr>
          <w:p w14:paraId="123C288A"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1.21)</w:t>
            </w:r>
          </w:p>
        </w:tc>
        <w:tc>
          <w:tcPr>
            <w:tcW w:w="854" w:type="dxa"/>
            <w:noWrap/>
            <w:vAlign w:val="center"/>
            <w:hideMark/>
          </w:tcPr>
          <w:p w14:paraId="28EC03C0"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0.0125</w:t>
            </w:r>
          </w:p>
        </w:tc>
      </w:tr>
      <w:tr w:rsidR="00F33019" w:rsidRPr="00CC1970" w14:paraId="3102F2E5" w14:textId="77777777" w:rsidTr="00801D0D">
        <w:trPr>
          <w:trHeight w:val="57"/>
        </w:trPr>
        <w:tc>
          <w:tcPr>
            <w:tcW w:w="4678" w:type="dxa"/>
            <w:noWrap/>
            <w:vAlign w:val="center"/>
          </w:tcPr>
          <w:p w14:paraId="42210EF3" w14:textId="1B7E9D3B"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094745A1" w14:textId="79A3D8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w:t>
            </w:r>
          </w:p>
        </w:tc>
        <w:tc>
          <w:tcPr>
            <w:tcW w:w="1020" w:type="dxa"/>
            <w:tcBorders>
              <w:top w:val="nil"/>
              <w:left w:val="nil"/>
              <w:bottom w:val="nil"/>
              <w:right w:val="nil"/>
            </w:tcBorders>
            <w:shd w:val="clear" w:color="auto" w:fill="auto"/>
            <w:noWrap/>
            <w:vAlign w:val="center"/>
            <w:hideMark/>
          </w:tcPr>
          <w:p w14:paraId="0E46E172" w14:textId="2805415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50438F7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AE43CF2"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38313EF0" w14:textId="77777777" w:rsidTr="00801D0D">
        <w:trPr>
          <w:trHeight w:val="57"/>
        </w:trPr>
        <w:tc>
          <w:tcPr>
            <w:tcW w:w="4678" w:type="dxa"/>
            <w:noWrap/>
            <w:vAlign w:val="center"/>
          </w:tcPr>
          <w:p w14:paraId="592D1302" w14:textId="6362939C"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313F0912" w14:textId="08E7E1B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With time-varying coefficients, lag=1, NB</w:t>
            </w:r>
          </w:p>
        </w:tc>
        <w:tc>
          <w:tcPr>
            <w:tcW w:w="1020" w:type="dxa"/>
            <w:tcBorders>
              <w:top w:val="nil"/>
              <w:left w:val="nil"/>
              <w:bottom w:val="nil"/>
              <w:right w:val="nil"/>
            </w:tcBorders>
            <w:shd w:val="clear" w:color="auto" w:fill="auto"/>
            <w:noWrap/>
            <w:vAlign w:val="center"/>
            <w:hideMark/>
          </w:tcPr>
          <w:p w14:paraId="5A4BCD1B" w14:textId="26C4D544"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57.5</w:t>
            </w:r>
          </w:p>
        </w:tc>
        <w:tc>
          <w:tcPr>
            <w:tcW w:w="1814" w:type="dxa"/>
            <w:noWrap/>
            <w:vAlign w:val="center"/>
            <w:hideMark/>
          </w:tcPr>
          <w:p w14:paraId="29086F49"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1.13 (1.03, 1.25)</w:t>
            </w:r>
          </w:p>
        </w:tc>
        <w:tc>
          <w:tcPr>
            <w:tcW w:w="854" w:type="dxa"/>
            <w:noWrap/>
            <w:vAlign w:val="center"/>
            <w:hideMark/>
          </w:tcPr>
          <w:p w14:paraId="43A1FB4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0.0115</w:t>
            </w:r>
          </w:p>
        </w:tc>
      </w:tr>
      <w:tr w:rsidR="00F33019" w:rsidRPr="00CC1970" w14:paraId="6E6FA1F0" w14:textId="77777777" w:rsidTr="00801D0D">
        <w:trPr>
          <w:trHeight w:val="57"/>
        </w:trPr>
        <w:tc>
          <w:tcPr>
            <w:tcW w:w="4678" w:type="dxa"/>
            <w:noWrap/>
            <w:vAlign w:val="center"/>
          </w:tcPr>
          <w:p w14:paraId="544851DB" w14:textId="57C5A3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5792223" w14:textId="6A678729"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w:t>
            </w:r>
          </w:p>
        </w:tc>
        <w:tc>
          <w:tcPr>
            <w:tcW w:w="1020" w:type="dxa"/>
            <w:tcBorders>
              <w:top w:val="nil"/>
              <w:left w:val="nil"/>
              <w:bottom w:val="nil"/>
              <w:right w:val="nil"/>
            </w:tcBorders>
            <w:shd w:val="clear" w:color="auto" w:fill="auto"/>
            <w:noWrap/>
            <w:vAlign w:val="center"/>
            <w:hideMark/>
          </w:tcPr>
          <w:p w14:paraId="431F81EA" w14:textId="06AC7481"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2AC7C8BF"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4D6D1FF4"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8A73C42" w14:textId="77777777" w:rsidTr="00801D0D">
        <w:trPr>
          <w:trHeight w:val="57"/>
        </w:trPr>
        <w:tc>
          <w:tcPr>
            <w:tcW w:w="4678" w:type="dxa"/>
            <w:noWrap/>
            <w:vAlign w:val="center"/>
          </w:tcPr>
          <w:p w14:paraId="4BA46D45" w14:textId="542B0C40"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E00DE48" w14:textId="7B7FA05D"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no weight, NB</w:t>
            </w:r>
          </w:p>
        </w:tc>
        <w:tc>
          <w:tcPr>
            <w:tcW w:w="1020" w:type="dxa"/>
            <w:tcBorders>
              <w:top w:val="nil"/>
              <w:left w:val="nil"/>
              <w:bottom w:val="nil"/>
              <w:right w:val="nil"/>
            </w:tcBorders>
            <w:shd w:val="clear" w:color="auto" w:fill="auto"/>
            <w:noWrap/>
            <w:vAlign w:val="center"/>
            <w:hideMark/>
          </w:tcPr>
          <w:p w14:paraId="025C77C8" w14:textId="53B8431A"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23.9</w:t>
            </w:r>
          </w:p>
        </w:tc>
        <w:tc>
          <w:tcPr>
            <w:tcW w:w="1814" w:type="dxa"/>
            <w:noWrap/>
            <w:vAlign w:val="center"/>
            <w:hideMark/>
          </w:tcPr>
          <w:p w14:paraId="306BDE7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1.14 (1.06, 1.23)</w:t>
            </w:r>
          </w:p>
        </w:tc>
        <w:tc>
          <w:tcPr>
            <w:tcW w:w="854" w:type="dxa"/>
            <w:noWrap/>
            <w:vAlign w:val="center"/>
            <w:hideMark/>
          </w:tcPr>
          <w:p w14:paraId="35416407"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0.0006</w:t>
            </w:r>
          </w:p>
        </w:tc>
      </w:tr>
      <w:tr w:rsidR="00F33019" w:rsidRPr="00CC1970" w14:paraId="226C1C27" w14:textId="77777777" w:rsidTr="00801D0D">
        <w:trPr>
          <w:trHeight w:val="57"/>
        </w:trPr>
        <w:tc>
          <w:tcPr>
            <w:tcW w:w="4678" w:type="dxa"/>
            <w:noWrap/>
            <w:vAlign w:val="center"/>
          </w:tcPr>
          <w:p w14:paraId="443425A5" w14:textId="5402F416"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1F950D8D" w14:textId="4BD3A52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lag=0</w:t>
            </w:r>
          </w:p>
        </w:tc>
        <w:tc>
          <w:tcPr>
            <w:tcW w:w="1020" w:type="dxa"/>
            <w:tcBorders>
              <w:top w:val="nil"/>
              <w:left w:val="nil"/>
              <w:bottom w:val="nil"/>
              <w:right w:val="nil"/>
            </w:tcBorders>
            <w:shd w:val="clear" w:color="auto" w:fill="auto"/>
            <w:noWrap/>
            <w:vAlign w:val="center"/>
            <w:hideMark/>
          </w:tcPr>
          <w:p w14:paraId="34358F33" w14:textId="2FFDF0EF"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5C35B1E"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328B3B3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6BCA307A" w14:textId="77777777" w:rsidTr="00801D0D">
        <w:trPr>
          <w:trHeight w:val="57"/>
        </w:trPr>
        <w:tc>
          <w:tcPr>
            <w:tcW w:w="4678" w:type="dxa"/>
            <w:noWrap/>
            <w:vAlign w:val="center"/>
          </w:tcPr>
          <w:p w14:paraId="2880D637" w14:textId="105AC963"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71A6D1D8" w14:textId="32043C8F"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nil"/>
              <w:right w:val="nil"/>
            </w:tcBorders>
            <w:shd w:val="clear" w:color="auto" w:fill="auto"/>
            <w:noWrap/>
            <w:vAlign w:val="center"/>
            <w:hideMark/>
          </w:tcPr>
          <w:p w14:paraId="27CD51D1" w14:textId="69ADAAF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39.3</w:t>
            </w:r>
          </w:p>
        </w:tc>
        <w:tc>
          <w:tcPr>
            <w:tcW w:w="1814" w:type="dxa"/>
            <w:noWrap/>
            <w:vAlign w:val="center"/>
            <w:hideMark/>
          </w:tcPr>
          <w:p w14:paraId="0AC88CA1"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1.11 (1.02, 1.20)</w:t>
            </w:r>
          </w:p>
        </w:tc>
        <w:tc>
          <w:tcPr>
            <w:tcW w:w="854" w:type="dxa"/>
            <w:noWrap/>
            <w:vAlign w:val="center"/>
            <w:hideMark/>
          </w:tcPr>
          <w:p w14:paraId="4AC7BDD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0.0108</w:t>
            </w:r>
          </w:p>
        </w:tc>
      </w:tr>
      <w:tr w:rsidR="00F33019" w:rsidRPr="00CC1970" w14:paraId="71B75B0C" w14:textId="77777777" w:rsidTr="00801D0D">
        <w:trPr>
          <w:trHeight w:val="57"/>
        </w:trPr>
        <w:tc>
          <w:tcPr>
            <w:tcW w:w="4678" w:type="dxa"/>
            <w:noWrap/>
            <w:vAlign w:val="center"/>
          </w:tcPr>
          <w:p w14:paraId="46B29694" w14:textId="05EC82D5" w:rsidR="00F33019" w:rsidRPr="00CC1970" w:rsidRDefault="00F33019" w:rsidP="00F33019">
            <w:pPr>
              <w:ind w:right="-2"/>
              <w:jc w:val="left"/>
              <w:rPr>
                <w:rFonts w:ascii="Times New Roman" w:hAnsi="Times New Roman" w:cs="Times New Roman"/>
                <w:sz w:val="22"/>
              </w:rPr>
            </w:pPr>
          </w:p>
        </w:tc>
        <w:tc>
          <w:tcPr>
            <w:tcW w:w="4535" w:type="dxa"/>
            <w:noWrap/>
            <w:vAlign w:val="center"/>
            <w:hideMark/>
          </w:tcPr>
          <w:p w14:paraId="4C479916" w14:textId="6D155DAE"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w:t>
            </w:r>
          </w:p>
        </w:tc>
        <w:tc>
          <w:tcPr>
            <w:tcW w:w="1020" w:type="dxa"/>
            <w:tcBorders>
              <w:top w:val="nil"/>
              <w:left w:val="nil"/>
              <w:bottom w:val="nil"/>
              <w:right w:val="nil"/>
            </w:tcBorders>
            <w:shd w:val="clear" w:color="auto" w:fill="auto"/>
            <w:noWrap/>
            <w:vAlign w:val="center"/>
            <w:hideMark/>
          </w:tcPr>
          <w:p w14:paraId="71C8BB5A" w14:textId="5686098C"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noWrap/>
            <w:vAlign w:val="center"/>
            <w:hideMark/>
          </w:tcPr>
          <w:p w14:paraId="3CC86E25"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noWrap/>
            <w:vAlign w:val="center"/>
            <w:hideMark/>
          </w:tcPr>
          <w:p w14:paraId="7036646B"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r w:rsidR="00F33019" w:rsidRPr="00CC1970" w14:paraId="4CAA224D" w14:textId="77777777" w:rsidTr="00801D0D">
        <w:trPr>
          <w:trHeight w:val="57"/>
        </w:trPr>
        <w:tc>
          <w:tcPr>
            <w:tcW w:w="4678" w:type="dxa"/>
            <w:tcBorders>
              <w:bottom w:val="single" w:sz="4" w:space="0" w:color="auto"/>
            </w:tcBorders>
            <w:noWrap/>
          </w:tcPr>
          <w:p w14:paraId="222CD711" w14:textId="5D63CAC4" w:rsidR="00F33019" w:rsidRPr="00CC1970" w:rsidRDefault="00F33019" w:rsidP="00F33019">
            <w:pPr>
              <w:ind w:right="-2"/>
              <w:rPr>
                <w:rFonts w:ascii="Times New Roman" w:hAnsi="Times New Roman" w:cs="Times New Roman"/>
                <w:sz w:val="22"/>
              </w:rPr>
            </w:pPr>
          </w:p>
        </w:tc>
        <w:tc>
          <w:tcPr>
            <w:tcW w:w="4535" w:type="dxa"/>
            <w:tcBorders>
              <w:bottom w:val="single" w:sz="4" w:space="0" w:color="auto"/>
            </w:tcBorders>
            <w:noWrap/>
            <w:vAlign w:val="center"/>
            <w:hideMark/>
          </w:tcPr>
          <w:p w14:paraId="2D437CD2" w14:textId="141F59CB" w:rsidR="00F33019" w:rsidRPr="00CC1970" w:rsidRDefault="00F33019" w:rsidP="00F33019">
            <w:pPr>
              <w:ind w:right="-2"/>
              <w:jc w:val="left"/>
              <w:rPr>
                <w:rFonts w:ascii="Times New Roman" w:hAnsi="Times New Roman" w:cs="Times New Roman"/>
                <w:sz w:val="22"/>
              </w:rPr>
            </w:pPr>
            <w:r w:rsidRPr="00CC1970">
              <w:rPr>
                <w:rFonts w:ascii="Times New Roman" w:hAnsi="Times New Roman" w:cs="Times New Roman"/>
                <w:sz w:val="22"/>
              </w:rPr>
              <w:t>Stratified by follow-up intervals, lag=1, NB</w:t>
            </w:r>
          </w:p>
        </w:tc>
        <w:tc>
          <w:tcPr>
            <w:tcW w:w="1020" w:type="dxa"/>
            <w:tcBorders>
              <w:top w:val="nil"/>
              <w:left w:val="nil"/>
              <w:bottom w:val="single" w:sz="4" w:space="0" w:color="auto"/>
              <w:right w:val="nil"/>
            </w:tcBorders>
            <w:shd w:val="clear" w:color="auto" w:fill="auto"/>
            <w:noWrap/>
            <w:vAlign w:val="center"/>
            <w:hideMark/>
          </w:tcPr>
          <w:p w14:paraId="11184F5F" w14:textId="167B3D53" w:rsidR="00F33019" w:rsidRPr="00CC1970" w:rsidRDefault="00C17B82" w:rsidP="00F33019">
            <w:pPr>
              <w:ind w:right="-2"/>
              <w:jc w:val="right"/>
              <w:rPr>
                <w:rFonts w:ascii="Times New Roman" w:hAnsi="Times New Roman" w:cs="Times New Roman"/>
                <w:sz w:val="22"/>
              </w:rPr>
            </w:pPr>
            <w:r w:rsidRPr="00CC1970">
              <w:rPr>
                <w:rFonts w:ascii="Times New Roman" w:hAnsi="Times New Roman" w:cs="Times New Roman"/>
                <w:sz w:val="22"/>
              </w:rPr>
              <w:t>4,8</w:t>
            </w:r>
            <w:r w:rsidR="00F33019" w:rsidRPr="00CC1970">
              <w:rPr>
                <w:rFonts w:ascii="Times New Roman" w:hAnsi="Times New Roman" w:cs="Times New Roman"/>
                <w:sz w:val="22"/>
              </w:rPr>
              <w:t>70.0</w:t>
            </w:r>
          </w:p>
        </w:tc>
        <w:tc>
          <w:tcPr>
            <w:tcW w:w="1814" w:type="dxa"/>
            <w:tcBorders>
              <w:bottom w:val="single" w:sz="4" w:space="0" w:color="auto"/>
            </w:tcBorders>
            <w:noWrap/>
            <w:vAlign w:val="center"/>
            <w:hideMark/>
          </w:tcPr>
          <w:p w14:paraId="6CA9A32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1.09 (0.99, 1.20)</w:t>
            </w:r>
          </w:p>
        </w:tc>
        <w:tc>
          <w:tcPr>
            <w:tcW w:w="854" w:type="dxa"/>
            <w:tcBorders>
              <w:bottom w:val="single" w:sz="4" w:space="0" w:color="auto"/>
            </w:tcBorders>
            <w:noWrap/>
            <w:vAlign w:val="center"/>
            <w:hideMark/>
          </w:tcPr>
          <w:p w14:paraId="42E45553" w14:textId="77777777" w:rsidR="00F33019" w:rsidRPr="00CC1970" w:rsidRDefault="00F33019" w:rsidP="00F33019">
            <w:pPr>
              <w:ind w:right="-2"/>
              <w:jc w:val="right"/>
              <w:rPr>
                <w:rFonts w:ascii="Times New Roman" w:hAnsi="Times New Roman" w:cs="Times New Roman"/>
                <w:sz w:val="22"/>
              </w:rPr>
            </w:pPr>
            <w:r w:rsidRPr="00CC1970">
              <w:rPr>
                <w:rFonts w:ascii="Times New Roman" w:hAnsi="Times New Roman" w:cs="Times New Roman"/>
                <w:sz w:val="22"/>
              </w:rPr>
              <w:t>0.0718</w:t>
            </w:r>
          </w:p>
        </w:tc>
      </w:tr>
    </w:tbl>
    <w:p w14:paraId="72C40FBE" w14:textId="45025146" w:rsidR="00C45C3D" w:rsidRPr="002F1D56" w:rsidRDefault="00F33019" w:rsidP="00F33019">
      <w:pPr>
        <w:spacing w:after="0"/>
        <w:ind w:left="709" w:right="-2"/>
        <w:rPr>
          <w:rFonts w:ascii="Times New Roman" w:hAnsi="Times New Roman" w:cs="Times New Roman"/>
          <w:sz w:val="24"/>
          <w:szCs w:val="28"/>
          <w:shd w:val="clear" w:color="auto" w:fill="FFFFFF"/>
        </w:rPr>
      </w:pPr>
      <w:r w:rsidRPr="002F1D56">
        <w:rPr>
          <w:rFonts w:ascii="Times New Roman" w:hAnsi="Times New Roman" w:cs="Times New Roman"/>
          <w:sz w:val="24"/>
          <w:szCs w:val="28"/>
        </w:rPr>
        <w:t xml:space="preserve">Note. </w:t>
      </w:r>
      <w:r w:rsidR="005A5AE1" w:rsidRPr="002F1D56">
        <w:rPr>
          <w:rFonts w:ascii="Times New Roman" w:hAnsi="Times New Roman" w:cs="Times New Roman"/>
          <w:sz w:val="24"/>
          <w:szCs w:val="28"/>
        </w:rPr>
        <w:t xml:space="preserve">NB= Negative binomial; QIC= Quasi-likelihood information criteria; </w:t>
      </w:r>
      <w:r w:rsidRPr="002F1D56">
        <w:rPr>
          <w:rFonts w:ascii="Times New Roman" w:hAnsi="Times New Roman" w:cs="Times New Roman"/>
          <w:sz w:val="24"/>
          <w:szCs w:val="28"/>
          <w:shd w:val="clear" w:color="auto" w:fill="FFFFFF"/>
        </w:rPr>
        <w:t>lag=0: Lagged covariates were fixed to 0 for binary variables and natural logarithm of 45 days; lag=1: Lagged covariates were fixed to 1 for binary variables and natural logarithm of 90 days.</w:t>
      </w:r>
    </w:p>
    <w:p w14:paraId="49B93957" w14:textId="480F1B24" w:rsidR="00F33019" w:rsidRDefault="00F33019" w:rsidP="00BE70D4">
      <w:pPr>
        <w:spacing w:after="0" w:line="240" w:lineRule="auto"/>
        <w:ind w:left="720"/>
        <w:jc w:val="left"/>
        <w:rPr>
          <w:rFonts w:ascii="Times New Roman" w:hAnsi="Times New Roman" w:cs="Times New Roman"/>
          <w:sz w:val="24"/>
          <w:szCs w:val="28"/>
          <w:lang w:val="en-US"/>
        </w:rPr>
      </w:pPr>
      <w:r w:rsidRPr="002F1D56">
        <w:rPr>
          <w:rFonts w:ascii="Times New Roman" w:hAnsi="Times New Roman" w:cs="Times New Roman"/>
          <w:sz w:val="24"/>
          <w:szCs w:val="28"/>
          <w:shd w:val="clear" w:color="auto" w:fill="FFFFFF"/>
        </w:rPr>
        <w:t>All models adjusted for the following covariates:</w:t>
      </w:r>
      <w:r w:rsidRPr="002F1D56">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w:t>
      </w:r>
      <w:r w:rsidR="00037A43">
        <w:rPr>
          <w:rFonts w:ascii="Times New Roman" w:hAnsi="Times New Roman" w:cs="Times New Roman"/>
          <w:sz w:val="24"/>
          <w:szCs w:val="28"/>
          <w:lang w:val="en-US"/>
        </w:rPr>
        <w:t>, other substances</w:t>
      </w:r>
      <w:r w:rsidRPr="002F1D56">
        <w:rPr>
          <w:rFonts w:ascii="Times New Roman" w:hAnsi="Times New Roman" w:cs="Times New Roman"/>
          <w:sz w:val="24"/>
          <w:szCs w:val="28"/>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037A43">
        <w:rPr>
          <w:rFonts w:ascii="Times New Roman" w:hAnsi="Times New Roman" w:cs="Times New Roman"/>
          <w:sz w:val="24"/>
          <w:szCs w:val="28"/>
          <w:lang w:val="en-US"/>
        </w:rPr>
        <w:t>other substances</w:t>
      </w:r>
      <w:r w:rsidRPr="002F1D56">
        <w:rPr>
          <w:rFonts w:ascii="Times New Roman" w:hAnsi="Times New Roman" w:cs="Times New Roman"/>
          <w:sz w:val="24"/>
          <w:szCs w:val="28"/>
          <w:lang w:val="en-US"/>
        </w:rPr>
        <w:t>).</w:t>
      </w:r>
    </w:p>
    <w:p w14:paraId="13CAAA46" w14:textId="77777777" w:rsidR="000D7704" w:rsidRDefault="000D7704" w:rsidP="000D7704">
      <w:pPr>
        <w:spacing w:after="0" w:line="240" w:lineRule="auto"/>
        <w:jc w:val="left"/>
        <w:rPr>
          <w:rFonts w:ascii="Times New Roman" w:hAnsi="Times New Roman" w:cs="Times New Roman"/>
          <w:sz w:val="24"/>
          <w:szCs w:val="28"/>
          <w:lang w:val="en-US"/>
        </w:rPr>
      </w:pPr>
    </w:p>
    <w:p w14:paraId="13CA6664" w14:textId="2D4A1225" w:rsidR="002264FE" w:rsidRDefault="00BA06BB" w:rsidP="002264FE">
      <w:pPr>
        <w:spacing w:after="0" w:line="257" w:lineRule="auto"/>
        <w:ind w:firstLine="709"/>
        <w:rPr>
          <w:rFonts w:ascii="Times New Roman" w:hAnsi="Times New Roman" w:cs="Times New Roman"/>
          <w:sz w:val="24"/>
          <w:szCs w:val="24"/>
        </w:rPr>
      </w:pPr>
      <w:r w:rsidRPr="00381B89">
        <w:rPr>
          <w:rFonts w:ascii="Times New Roman" w:hAnsi="Times New Roman" w:cs="Times New Roman"/>
          <w:sz w:val="24"/>
          <w:szCs w:val="24"/>
        </w:rPr>
        <w:t xml:space="preserve">The magnitude and direction of the associations presented in the main analysis remained stable despite different weighting schemes and different distributions used, with intervals including the null across </w:t>
      </w:r>
      <w:r w:rsidR="00A96BE4" w:rsidRPr="00381B89">
        <w:rPr>
          <w:rFonts w:ascii="Times New Roman" w:hAnsi="Times New Roman" w:cs="Times New Roman"/>
          <w:sz w:val="24"/>
          <w:szCs w:val="24"/>
        </w:rPr>
        <w:t>all</w:t>
      </w:r>
      <w:r w:rsidRPr="00381B89">
        <w:rPr>
          <w:rFonts w:ascii="Times New Roman" w:hAnsi="Times New Roman" w:cs="Times New Roman"/>
          <w:sz w:val="24"/>
          <w:szCs w:val="24"/>
        </w:rPr>
        <w:t xml:space="preserve"> of the models and scenarios of lagged variables for intensive ambulatory settings </w:t>
      </w:r>
      <w:r w:rsidR="00A96BE4" w:rsidRPr="00381B89">
        <w:rPr>
          <w:rFonts w:ascii="Times New Roman" w:hAnsi="Times New Roman" w:cs="Times New Roman"/>
          <w:sz w:val="24"/>
          <w:szCs w:val="24"/>
        </w:rPr>
        <w:t xml:space="preserve">specific for women and residential settings for the </w:t>
      </w:r>
      <w:r w:rsidRPr="00381B89">
        <w:rPr>
          <w:rFonts w:ascii="Times New Roman" w:hAnsi="Times New Roman" w:cs="Times New Roman"/>
          <w:sz w:val="24"/>
          <w:szCs w:val="24"/>
        </w:rPr>
        <w:t>general population</w:t>
      </w:r>
      <w:r w:rsidR="00037A43" w:rsidRPr="00381B89">
        <w:rPr>
          <w:rFonts w:ascii="Times New Roman" w:hAnsi="Times New Roman" w:cs="Times New Roman"/>
          <w:sz w:val="24"/>
          <w:szCs w:val="24"/>
        </w:rPr>
        <w:t xml:space="preserve">. </w:t>
      </w:r>
      <w:r w:rsidR="00A96BE4" w:rsidRPr="00381B89">
        <w:rPr>
          <w:rFonts w:ascii="Times New Roman" w:hAnsi="Times New Roman" w:cs="Times New Roman"/>
          <w:sz w:val="24"/>
          <w:szCs w:val="24"/>
        </w:rPr>
        <w:t xml:space="preserve">However, we observe that for the basic ambulatory settings, the model with stratified times of follow-up with lagged time-varying covariates fixed in 0 showed a non-overlapped association between PSU and treatment non-completion </w:t>
      </w:r>
      <w:r w:rsidR="00037A43" w:rsidRPr="00381B89">
        <w:rPr>
          <w:rFonts w:ascii="Times New Roman" w:hAnsi="Times New Roman" w:cs="Times New Roman"/>
          <w:sz w:val="24"/>
          <w:szCs w:val="24"/>
        </w:rPr>
        <w:t>(</w:t>
      </w:r>
      <w:r w:rsidR="00A96BE4" w:rsidRPr="00381B89">
        <w:rPr>
          <w:rFonts w:ascii="Times New Roman" w:hAnsi="Times New Roman" w:cs="Times New Roman"/>
          <w:sz w:val="24"/>
          <w:szCs w:val="24"/>
        </w:rPr>
        <w:t>RR 1.04 95% CI 1.01, 1.07)</w:t>
      </w:r>
      <w:r w:rsidR="00DA0996" w:rsidRPr="00381B89">
        <w:rPr>
          <w:rFonts w:ascii="Times New Roman" w:hAnsi="Times New Roman" w:cs="Times New Roman"/>
          <w:sz w:val="24"/>
          <w:szCs w:val="24"/>
        </w:rPr>
        <w:t xml:space="preserve">, although very modest. In contrast, </w:t>
      </w:r>
      <w:r w:rsidR="00526359" w:rsidRPr="00381B89">
        <w:rPr>
          <w:rFonts w:ascii="Times New Roman" w:hAnsi="Times New Roman" w:cs="Times New Roman"/>
          <w:sz w:val="24"/>
          <w:szCs w:val="24"/>
        </w:rPr>
        <w:t>in intensive ambulatory settings for the general population, the association lose its strength, particularly among models where follow-up times were stratified by follow-up intervals, with its lower strength among lagged scenarios of time-varying covariates fixed in 1 (RR 1.01 95% CI 0.98, 1.05). For residential settings exclusive to women, the only model that overlapped with the null was the stratified by follow-up intervals, where lagged time-varying covariates were fixed at 1 (RR 1.09 95% CI 0.99, 1.20). However, both settings conserve its positive direction.</w:t>
      </w:r>
    </w:p>
    <w:p w14:paraId="0DA6DC67" w14:textId="77777777" w:rsidR="002264FE" w:rsidRDefault="002264FE">
      <w:pPr>
        <w:spacing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4529866A" w14:textId="7E896104" w:rsidR="002264FE" w:rsidRPr="002F1D56" w:rsidRDefault="002264FE" w:rsidP="002264FE">
      <w:pPr>
        <w:pStyle w:val="Ttulo2"/>
      </w:pPr>
      <w:r w:rsidRPr="002F1D56">
        <w:lastRenderedPageBreak/>
        <w:t xml:space="preserve">Supplemental Section </w:t>
      </w:r>
      <w:r>
        <w:t>5. The role of reporting PSU with and without alcohol as a secondary substance in treatment non-completion</w:t>
      </w:r>
    </w:p>
    <w:p w14:paraId="73E57795" w14:textId="3263A8EC" w:rsidR="002264FE" w:rsidRDefault="009B341B" w:rsidP="00C07227">
      <w:pPr>
        <w:spacing w:after="0" w:line="257" w:lineRule="auto"/>
        <w:ind w:firstLine="709"/>
        <w:rPr>
          <w:rFonts w:ascii="Times New Roman" w:hAnsi="Times New Roman" w:cs="Times New Roman"/>
          <w:sz w:val="24"/>
          <w:szCs w:val="24"/>
        </w:rPr>
      </w:pPr>
      <w:r w:rsidRPr="009B341B">
        <w:rPr>
          <w:rFonts w:ascii="Times New Roman" w:hAnsi="Times New Roman" w:cs="Times New Roman"/>
          <w:sz w:val="24"/>
          <w:szCs w:val="24"/>
        </w:rPr>
        <w:t>A GEE model with a Poisson distribution was conducted to elucidate the association between reporting PSU with alcohol as a secondary substance, PSU without alcohol as a secondary substance, and reporting single substance use as the reference category, and the risk of treatment non-completion.</w:t>
      </w:r>
    </w:p>
    <w:p w14:paraId="583CA006" w14:textId="77777777" w:rsidR="00F06BA4" w:rsidRDefault="00F06BA4" w:rsidP="009B341B">
      <w:pPr>
        <w:spacing w:after="0" w:line="257" w:lineRule="auto"/>
        <w:rPr>
          <w:rFonts w:ascii="Times New Roman" w:hAnsi="Times New Roman" w:cs="Times New Roman"/>
          <w:sz w:val="24"/>
          <w:szCs w:val="24"/>
        </w:rPr>
      </w:pPr>
    </w:p>
    <w:p w14:paraId="041BB2BB" w14:textId="18F458D5" w:rsidR="00F06BA4" w:rsidRPr="008B5A07" w:rsidRDefault="00F06BA4" w:rsidP="00F06BA4">
      <w:pPr>
        <w:spacing w:after="0" w:line="240" w:lineRule="auto"/>
        <w:ind w:left="720"/>
        <w:jc w:val="left"/>
        <w:rPr>
          <w:rFonts w:ascii="Times New Roman" w:hAnsi="Times New Roman" w:cs="Times New Roman"/>
          <w:b/>
          <w:bCs/>
          <w:sz w:val="24"/>
          <w:szCs w:val="28"/>
          <w:shd w:val="clear" w:color="auto" w:fill="FFFFFF"/>
        </w:rPr>
      </w:pPr>
      <w:r w:rsidRPr="008B5A07">
        <w:rPr>
          <w:rFonts w:ascii="Times New Roman" w:hAnsi="Times New Roman" w:cs="Times New Roman"/>
          <w:b/>
          <w:bCs/>
          <w:sz w:val="24"/>
          <w:szCs w:val="28"/>
          <w:shd w:val="clear" w:color="auto" w:fill="FFFFFF"/>
        </w:rPr>
        <w:t xml:space="preserve">Table </w:t>
      </w:r>
      <w:r w:rsidR="008B5A07" w:rsidRPr="008B5A07">
        <w:rPr>
          <w:rFonts w:ascii="Times New Roman" w:hAnsi="Times New Roman" w:cs="Times New Roman"/>
          <w:b/>
          <w:bCs/>
          <w:sz w:val="24"/>
          <w:szCs w:val="28"/>
          <w:shd w:val="clear" w:color="auto" w:fill="FFFFFF"/>
        </w:rPr>
        <w:t>S6</w:t>
      </w:r>
      <w:r w:rsidRPr="008B5A07">
        <w:rPr>
          <w:rFonts w:ascii="Times New Roman" w:hAnsi="Times New Roman" w:cs="Times New Roman"/>
          <w:b/>
          <w:bCs/>
          <w:sz w:val="24"/>
          <w:szCs w:val="28"/>
          <w:shd w:val="clear" w:color="auto" w:fill="FFFFFF"/>
        </w:rPr>
        <w:t xml:space="preserve">. Association between </w:t>
      </w:r>
      <w:r w:rsidR="00226EBE" w:rsidRPr="008B5A07">
        <w:rPr>
          <w:rFonts w:ascii="Times New Roman" w:hAnsi="Times New Roman" w:cs="Times New Roman"/>
          <w:b/>
          <w:bCs/>
          <w:sz w:val="24"/>
          <w:szCs w:val="28"/>
          <w:shd w:val="clear" w:color="auto" w:fill="FFFFFF"/>
        </w:rPr>
        <w:t>p</w:t>
      </w:r>
      <w:r w:rsidRPr="008B5A07">
        <w:rPr>
          <w:rFonts w:ascii="Times New Roman" w:hAnsi="Times New Roman" w:cs="Times New Roman"/>
          <w:b/>
          <w:bCs/>
          <w:sz w:val="24"/>
          <w:szCs w:val="28"/>
          <w:shd w:val="clear" w:color="auto" w:fill="FFFFFF"/>
        </w:rPr>
        <w:t>olysubstance use at admission</w:t>
      </w:r>
      <w:r w:rsidR="00226EBE" w:rsidRPr="008B5A07">
        <w:rPr>
          <w:rFonts w:ascii="Times New Roman" w:hAnsi="Times New Roman" w:cs="Times New Roman"/>
          <w:b/>
          <w:bCs/>
          <w:sz w:val="24"/>
          <w:szCs w:val="28"/>
          <w:shd w:val="clear" w:color="auto" w:fill="FFFFFF"/>
        </w:rPr>
        <w:t>, with or without alcohol as a secondary substance,</w:t>
      </w:r>
      <w:r w:rsidRPr="008B5A07">
        <w:rPr>
          <w:rFonts w:ascii="Times New Roman" w:hAnsi="Times New Roman" w:cs="Times New Roman"/>
          <w:b/>
          <w:bCs/>
          <w:sz w:val="24"/>
          <w:szCs w:val="28"/>
          <w:shd w:val="clear" w:color="auto" w:fill="FFFFFF"/>
        </w:rPr>
        <w:t xml:space="preserve"> and </w:t>
      </w:r>
      <w:r w:rsidR="00226EBE" w:rsidRPr="008B5A07">
        <w:rPr>
          <w:rFonts w:ascii="Times New Roman" w:hAnsi="Times New Roman" w:cs="Times New Roman"/>
          <w:b/>
          <w:bCs/>
          <w:sz w:val="24"/>
          <w:szCs w:val="28"/>
          <w:shd w:val="clear" w:color="auto" w:fill="FFFFFF"/>
        </w:rPr>
        <w:t>t</w:t>
      </w:r>
      <w:r w:rsidRPr="008B5A07">
        <w:rPr>
          <w:rFonts w:ascii="Times New Roman" w:hAnsi="Times New Roman" w:cs="Times New Roman"/>
          <w:b/>
          <w:bCs/>
          <w:sz w:val="24"/>
          <w:szCs w:val="28"/>
          <w:shd w:val="clear" w:color="auto" w:fill="FFFFFF"/>
        </w:rPr>
        <w:t xml:space="preserve">reatment noncompletion </w:t>
      </w:r>
      <w:bookmarkStart w:id="12" w:name="_Hlk166795595"/>
      <w:r w:rsidRPr="008B5A07">
        <w:rPr>
          <w:rFonts w:ascii="Times New Roman" w:hAnsi="Times New Roman" w:cs="Times New Roman"/>
          <w:b/>
          <w:bCs/>
          <w:sz w:val="24"/>
          <w:szCs w:val="28"/>
          <w:shd w:val="clear" w:color="auto" w:fill="FFFFFF"/>
        </w:rPr>
        <w:t>status (dropout or spelled by misconduct)</w:t>
      </w:r>
      <w:bookmarkEnd w:id="12"/>
      <w:r w:rsidRPr="008B5A07">
        <w:rPr>
          <w:rFonts w:ascii="Times New Roman" w:hAnsi="Times New Roman" w:cs="Times New Roman"/>
          <w:b/>
          <w:bCs/>
          <w:sz w:val="24"/>
          <w:szCs w:val="28"/>
          <w:shd w:val="clear" w:color="auto" w:fill="FFFFFF"/>
        </w:rPr>
        <w:t xml:space="preserve"> from Poisson Regression Multivariable Model with independence structure</w:t>
      </w:r>
    </w:p>
    <w:tbl>
      <w:tblPr>
        <w:tblW w:w="9072" w:type="dxa"/>
        <w:jc w:val="center"/>
        <w:tblCellMar>
          <w:left w:w="70" w:type="dxa"/>
          <w:right w:w="70" w:type="dxa"/>
        </w:tblCellMar>
        <w:tblLook w:val="04A0" w:firstRow="1" w:lastRow="0" w:firstColumn="1" w:lastColumn="0" w:noHBand="0" w:noVBand="1"/>
      </w:tblPr>
      <w:tblGrid>
        <w:gridCol w:w="4253"/>
        <w:gridCol w:w="2835"/>
        <w:gridCol w:w="1984"/>
      </w:tblGrid>
      <w:tr w:rsidR="00226EBE" w:rsidRPr="008B5A07" w14:paraId="7B0850BF" w14:textId="77777777" w:rsidTr="008B5A07">
        <w:trPr>
          <w:trHeight w:val="300"/>
          <w:jc w:val="center"/>
        </w:trPr>
        <w:tc>
          <w:tcPr>
            <w:tcW w:w="4253" w:type="dxa"/>
            <w:tcBorders>
              <w:top w:val="single" w:sz="4" w:space="0" w:color="auto"/>
              <w:left w:val="nil"/>
              <w:bottom w:val="single" w:sz="4" w:space="0" w:color="auto"/>
              <w:right w:val="nil"/>
            </w:tcBorders>
            <w:noWrap/>
            <w:vAlign w:val="center"/>
            <w:hideMark/>
          </w:tcPr>
          <w:p w14:paraId="35A45A92" w14:textId="77777777" w:rsidR="00226EBE" w:rsidRPr="008B5A07" w:rsidRDefault="00226EBE" w:rsidP="00226EBE">
            <w:pPr>
              <w:spacing w:after="0" w:line="240" w:lineRule="auto"/>
              <w:jc w:val="center"/>
              <w:rPr>
                <w:rFonts w:ascii="Times New Roman" w:eastAsia="Times New Roman" w:hAnsi="Times New Roman" w:cs="Times New Roman"/>
                <w:b/>
                <w:bCs/>
                <w:color w:val="000000"/>
                <w:sz w:val="24"/>
                <w:szCs w:val="24"/>
                <w:lang w:val="es-CL" w:eastAsia="es-CL"/>
              </w:rPr>
            </w:pPr>
            <w:r w:rsidRPr="008B5A07">
              <w:rPr>
                <w:rFonts w:ascii="Times New Roman" w:eastAsia="Times New Roman" w:hAnsi="Times New Roman" w:cs="Times New Roman"/>
                <w:b/>
                <w:bCs/>
                <w:color w:val="000000"/>
                <w:sz w:val="24"/>
                <w:szCs w:val="24"/>
                <w:lang w:val="es-CL" w:eastAsia="es-CL"/>
              </w:rPr>
              <w:t>Treatment setting</w:t>
            </w:r>
          </w:p>
        </w:tc>
        <w:tc>
          <w:tcPr>
            <w:tcW w:w="2835" w:type="dxa"/>
            <w:tcBorders>
              <w:top w:val="single" w:sz="4" w:space="0" w:color="auto"/>
              <w:left w:val="nil"/>
              <w:bottom w:val="single" w:sz="4" w:space="0" w:color="auto"/>
              <w:right w:val="nil"/>
            </w:tcBorders>
            <w:vAlign w:val="center"/>
          </w:tcPr>
          <w:p w14:paraId="1730173B" w14:textId="5C518A46" w:rsidR="00226EBE" w:rsidRPr="008B5A07" w:rsidRDefault="00226EBE" w:rsidP="00226EBE">
            <w:pPr>
              <w:spacing w:after="0" w:line="240" w:lineRule="auto"/>
              <w:jc w:val="center"/>
              <w:rPr>
                <w:rFonts w:ascii="Times New Roman" w:eastAsia="Times New Roman" w:hAnsi="Times New Roman" w:cs="Times New Roman"/>
                <w:b/>
                <w:bCs/>
                <w:color w:val="000000"/>
                <w:sz w:val="24"/>
                <w:szCs w:val="24"/>
                <w:lang w:val="en-US" w:eastAsia="es-CL"/>
              </w:rPr>
            </w:pPr>
            <w:r w:rsidRPr="008B5A07">
              <w:rPr>
                <w:rFonts w:ascii="Times New Roman" w:eastAsia="Times New Roman" w:hAnsi="Times New Roman" w:cs="Times New Roman"/>
                <w:b/>
                <w:bCs/>
                <w:color w:val="000000"/>
                <w:sz w:val="24"/>
                <w:szCs w:val="24"/>
                <w:lang w:val="en-US" w:eastAsia="es-CL"/>
              </w:rPr>
              <w:t>PSU status (ref.= No PSU)</w:t>
            </w:r>
          </w:p>
        </w:tc>
        <w:tc>
          <w:tcPr>
            <w:tcW w:w="1984" w:type="dxa"/>
            <w:tcBorders>
              <w:top w:val="single" w:sz="4" w:space="0" w:color="auto"/>
              <w:left w:val="nil"/>
              <w:bottom w:val="single" w:sz="4" w:space="0" w:color="auto"/>
              <w:right w:val="nil"/>
            </w:tcBorders>
            <w:noWrap/>
            <w:vAlign w:val="center"/>
            <w:hideMark/>
          </w:tcPr>
          <w:p w14:paraId="7D335413" w14:textId="73BF9124" w:rsidR="00226EBE" w:rsidRPr="008B5A07" w:rsidRDefault="00226EBE" w:rsidP="00F06BA4">
            <w:pPr>
              <w:spacing w:after="0" w:line="240" w:lineRule="auto"/>
              <w:jc w:val="center"/>
              <w:rPr>
                <w:rFonts w:ascii="Times New Roman" w:eastAsia="Times New Roman" w:hAnsi="Times New Roman" w:cs="Times New Roman"/>
                <w:b/>
                <w:bCs/>
                <w:color w:val="000000"/>
                <w:sz w:val="24"/>
                <w:szCs w:val="24"/>
                <w:lang w:val="es-CL" w:eastAsia="es-CL"/>
              </w:rPr>
            </w:pPr>
            <w:r w:rsidRPr="008B5A07">
              <w:rPr>
                <w:rFonts w:ascii="Times New Roman" w:eastAsia="Times New Roman" w:hAnsi="Times New Roman" w:cs="Times New Roman"/>
                <w:b/>
                <w:bCs/>
                <w:color w:val="000000"/>
                <w:sz w:val="24"/>
                <w:szCs w:val="24"/>
                <w:lang w:val="es-CL" w:eastAsia="es-CL"/>
              </w:rPr>
              <w:t>RR (95%CI)</w:t>
            </w:r>
          </w:p>
        </w:tc>
      </w:tr>
      <w:tr w:rsidR="00226EBE" w:rsidRPr="008B5A07" w14:paraId="26BD0748" w14:textId="77777777" w:rsidTr="008B5A07">
        <w:trPr>
          <w:trHeight w:val="300"/>
          <w:jc w:val="center"/>
        </w:trPr>
        <w:tc>
          <w:tcPr>
            <w:tcW w:w="4253" w:type="dxa"/>
            <w:tcBorders>
              <w:top w:val="single" w:sz="4" w:space="0" w:color="auto"/>
              <w:left w:val="nil"/>
              <w:bottom w:val="nil"/>
              <w:right w:val="nil"/>
            </w:tcBorders>
            <w:noWrap/>
            <w:vAlign w:val="center"/>
            <w:hideMark/>
          </w:tcPr>
          <w:p w14:paraId="090EAC25"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Basic ambulatory</w:t>
            </w:r>
          </w:p>
        </w:tc>
        <w:tc>
          <w:tcPr>
            <w:tcW w:w="2835" w:type="dxa"/>
            <w:tcBorders>
              <w:top w:val="single" w:sz="4" w:space="0" w:color="auto"/>
              <w:left w:val="nil"/>
              <w:bottom w:val="nil"/>
              <w:right w:val="nil"/>
            </w:tcBorders>
            <w:vAlign w:val="center"/>
          </w:tcPr>
          <w:p w14:paraId="01F43C10" w14:textId="2A35D119"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tcBorders>
              <w:top w:val="single" w:sz="4" w:space="0" w:color="auto"/>
              <w:left w:val="nil"/>
              <w:bottom w:val="nil"/>
              <w:right w:val="nil"/>
            </w:tcBorders>
            <w:noWrap/>
            <w:vAlign w:val="center"/>
          </w:tcPr>
          <w:p w14:paraId="12EECB8E" w14:textId="2F837329" w:rsidR="00226EBE" w:rsidRPr="008B5A07" w:rsidRDefault="00226EBE" w:rsidP="005F2897">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1.01 (0.98</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1.04)</w:t>
            </w:r>
          </w:p>
        </w:tc>
      </w:tr>
      <w:tr w:rsidR="00226EBE" w:rsidRPr="008B5A07" w14:paraId="1D8D243E" w14:textId="77777777" w:rsidTr="008B5A07">
        <w:trPr>
          <w:trHeight w:val="300"/>
          <w:jc w:val="center"/>
        </w:trPr>
        <w:tc>
          <w:tcPr>
            <w:tcW w:w="4253" w:type="dxa"/>
            <w:noWrap/>
            <w:vAlign w:val="center"/>
            <w:hideMark/>
          </w:tcPr>
          <w:p w14:paraId="3CCD1957"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4BB20A0A" w14:textId="6399FE2A"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35203B0" w14:textId="1998FC76" w:rsidR="00226EBE" w:rsidRPr="008B5A07" w:rsidRDefault="00226EBE" w:rsidP="005F2897">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1.08 (1.05</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1.12)</w:t>
            </w:r>
          </w:p>
        </w:tc>
      </w:tr>
      <w:tr w:rsidR="00226EBE" w:rsidRPr="008B5A07" w14:paraId="424BB9AA" w14:textId="77777777" w:rsidTr="008B5A07">
        <w:trPr>
          <w:trHeight w:val="300"/>
          <w:jc w:val="center"/>
        </w:trPr>
        <w:tc>
          <w:tcPr>
            <w:tcW w:w="4253" w:type="dxa"/>
            <w:noWrap/>
            <w:vAlign w:val="center"/>
            <w:hideMark/>
          </w:tcPr>
          <w:p w14:paraId="4AB4331E"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General-population, intensive ambulatory</w:t>
            </w:r>
          </w:p>
        </w:tc>
        <w:tc>
          <w:tcPr>
            <w:tcW w:w="2835" w:type="dxa"/>
            <w:vAlign w:val="center"/>
          </w:tcPr>
          <w:p w14:paraId="64F996AC" w14:textId="5959CC9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noWrap/>
            <w:vAlign w:val="center"/>
          </w:tcPr>
          <w:p w14:paraId="7E19E282" w14:textId="2DDE677E"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1.02 (0.99</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1.05)</w:t>
            </w:r>
          </w:p>
        </w:tc>
      </w:tr>
      <w:tr w:rsidR="00226EBE" w:rsidRPr="008B5A07" w14:paraId="243141E1" w14:textId="77777777" w:rsidTr="008B5A07">
        <w:trPr>
          <w:trHeight w:val="300"/>
          <w:jc w:val="center"/>
        </w:trPr>
        <w:tc>
          <w:tcPr>
            <w:tcW w:w="4253" w:type="dxa"/>
            <w:noWrap/>
            <w:vAlign w:val="center"/>
            <w:hideMark/>
          </w:tcPr>
          <w:p w14:paraId="6E1E8D8A"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2D421D89" w14:textId="6509C6B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528EA2F" w14:textId="7D2F0A1E"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1.10 (1.07</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1.14)</w:t>
            </w:r>
          </w:p>
        </w:tc>
      </w:tr>
      <w:tr w:rsidR="00226EBE" w:rsidRPr="008B5A07" w14:paraId="0FB49AC1" w14:textId="77777777" w:rsidTr="008B5A07">
        <w:trPr>
          <w:trHeight w:val="300"/>
          <w:jc w:val="center"/>
        </w:trPr>
        <w:tc>
          <w:tcPr>
            <w:tcW w:w="4253" w:type="dxa"/>
            <w:noWrap/>
            <w:vAlign w:val="center"/>
            <w:hideMark/>
          </w:tcPr>
          <w:p w14:paraId="10B90E23"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General-population, residential</w:t>
            </w:r>
          </w:p>
        </w:tc>
        <w:tc>
          <w:tcPr>
            <w:tcW w:w="2835" w:type="dxa"/>
            <w:vAlign w:val="center"/>
          </w:tcPr>
          <w:p w14:paraId="65301D86" w14:textId="1DC2B2DC"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noWrap/>
            <w:vAlign w:val="center"/>
          </w:tcPr>
          <w:p w14:paraId="26600D70" w14:textId="557AC5BA"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0.99 (0.94</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1.04)</w:t>
            </w:r>
          </w:p>
        </w:tc>
      </w:tr>
      <w:tr w:rsidR="00226EBE" w:rsidRPr="008B5A07" w14:paraId="08C91918" w14:textId="77777777" w:rsidTr="008B5A07">
        <w:trPr>
          <w:trHeight w:val="300"/>
          <w:jc w:val="center"/>
        </w:trPr>
        <w:tc>
          <w:tcPr>
            <w:tcW w:w="4253" w:type="dxa"/>
            <w:noWrap/>
            <w:vAlign w:val="center"/>
            <w:hideMark/>
          </w:tcPr>
          <w:p w14:paraId="1EA19989"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7824723F" w14:textId="51545579"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388BD1D2" w14:textId="7365BA90"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0.89 (0.83</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0.94)</w:t>
            </w:r>
          </w:p>
        </w:tc>
      </w:tr>
      <w:tr w:rsidR="00226EBE" w:rsidRPr="008B5A07" w14:paraId="7C33BDCC" w14:textId="77777777" w:rsidTr="008B5A07">
        <w:trPr>
          <w:trHeight w:val="300"/>
          <w:jc w:val="center"/>
        </w:trPr>
        <w:tc>
          <w:tcPr>
            <w:tcW w:w="4253" w:type="dxa"/>
            <w:noWrap/>
            <w:vAlign w:val="center"/>
            <w:hideMark/>
          </w:tcPr>
          <w:p w14:paraId="25D455E2"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Women-only, intensive ambulatory</w:t>
            </w:r>
          </w:p>
        </w:tc>
        <w:tc>
          <w:tcPr>
            <w:tcW w:w="2835" w:type="dxa"/>
            <w:vAlign w:val="center"/>
          </w:tcPr>
          <w:p w14:paraId="12A24026" w14:textId="4384FF70"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noWrap/>
            <w:vAlign w:val="center"/>
          </w:tcPr>
          <w:p w14:paraId="5DEF805D" w14:textId="53B92CF8"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0.96 (0.89</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1.02)</w:t>
            </w:r>
          </w:p>
        </w:tc>
      </w:tr>
      <w:tr w:rsidR="00226EBE" w:rsidRPr="008B5A07" w14:paraId="4DBC6DBB" w14:textId="77777777" w:rsidTr="008B5A07">
        <w:trPr>
          <w:trHeight w:val="300"/>
          <w:jc w:val="center"/>
        </w:trPr>
        <w:tc>
          <w:tcPr>
            <w:tcW w:w="4253" w:type="dxa"/>
            <w:noWrap/>
            <w:vAlign w:val="center"/>
            <w:hideMark/>
          </w:tcPr>
          <w:p w14:paraId="6805316C" w14:textId="77777777" w:rsidR="00226EBE" w:rsidRPr="008B5A07" w:rsidRDefault="00226EBE" w:rsidP="00226EBE">
            <w:pPr>
              <w:jc w:val="left"/>
              <w:rPr>
                <w:rFonts w:ascii="Times New Roman" w:eastAsia="Times New Roman" w:hAnsi="Times New Roman" w:cs="Times New Roman"/>
                <w:color w:val="000000"/>
                <w:sz w:val="24"/>
                <w:szCs w:val="24"/>
                <w:lang w:val="es-CL" w:eastAsia="es-CL"/>
              </w:rPr>
            </w:pPr>
          </w:p>
        </w:tc>
        <w:tc>
          <w:tcPr>
            <w:tcW w:w="2835" w:type="dxa"/>
            <w:vAlign w:val="center"/>
          </w:tcPr>
          <w:p w14:paraId="5A3700FC" w14:textId="60483591"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noWrap/>
            <w:vAlign w:val="center"/>
            <w:hideMark/>
          </w:tcPr>
          <w:p w14:paraId="2A45DA6C" w14:textId="5DC74FCF" w:rsidR="00226EBE" w:rsidRPr="008B5A07" w:rsidRDefault="00226EBE" w:rsidP="00226EBE">
            <w:pPr>
              <w:spacing w:after="0" w:line="240" w:lineRule="auto"/>
              <w:jc w:val="right"/>
              <w:rPr>
                <w:rFonts w:ascii="Times New Roman" w:eastAsia="Times New Roman" w:hAnsi="Times New Roman" w:cs="Times New Roman"/>
                <w:sz w:val="24"/>
                <w:szCs w:val="24"/>
                <w:lang w:val="es-CL" w:eastAsia="es-CL"/>
              </w:rPr>
            </w:pPr>
            <w:r w:rsidRPr="008B5A07">
              <w:rPr>
                <w:rFonts w:ascii="Times New Roman" w:eastAsia="Times New Roman" w:hAnsi="Times New Roman" w:cs="Times New Roman"/>
                <w:color w:val="000000"/>
                <w:sz w:val="24"/>
                <w:szCs w:val="24"/>
                <w:lang w:val="es-CL" w:eastAsia="es-CL"/>
              </w:rPr>
              <w:t>1.07 (0.99</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1.15)</w:t>
            </w:r>
          </w:p>
        </w:tc>
      </w:tr>
      <w:tr w:rsidR="00226EBE" w:rsidRPr="008B5A07" w14:paraId="2F3D7EA6" w14:textId="77777777" w:rsidTr="008B5A07">
        <w:trPr>
          <w:trHeight w:val="300"/>
          <w:jc w:val="center"/>
        </w:trPr>
        <w:tc>
          <w:tcPr>
            <w:tcW w:w="4253" w:type="dxa"/>
            <w:noWrap/>
            <w:vAlign w:val="center"/>
            <w:hideMark/>
          </w:tcPr>
          <w:p w14:paraId="50CA849C"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Women-only, residential</w:t>
            </w:r>
          </w:p>
        </w:tc>
        <w:tc>
          <w:tcPr>
            <w:tcW w:w="2835" w:type="dxa"/>
            <w:vAlign w:val="center"/>
          </w:tcPr>
          <w:p w14:paraId="7348CA9D" w14:textId="163EA188"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with alcohol</w:t>
            </w:r>
          </w:p>
        </w:tc>
        <w:tc>
          <w:tcPr>
            <w:tcW w:w="1984" w:type="dxa"/>
            <w:noWrap/>
            <w:vAlign w:val="center"/>
          </w:tcPr>
          <w:p w14:paraId="044E412C" w14:textId="69A16EE0"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1.14 (1.06</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1.23)</w:t>
            </w:r>
          </w:p>
        </w:tc>
      </w:tr>
      <w:tr w:rsidR="00226EBE" w:rsidRPr="008B5A07" w14:paraId="5BFBE7D7" w14:textId="77777777" w:rsidTr="008B5A07">
        <w:trPr>
          <w:trHeight w:val="300"/>
          <w:jc w:val="center"/>
        </w:trPr>
        <w:tc>
          <w:tcPr>
            <w:tcW w:w="4253" w:type="dxa"/>
            <w:tcBorders>
              <w:top w:val="nil"/>
              <w:left w:val="nil"/>
              <w:bottom w:val="single" w:sz="4" w:space="0" w:color="auto"/>
              <w:right w:val="nil"/>
            </w:tcBorders>
            <w:noWrap/>
            <w:vAlign w:val="center"/>
          </w:tcPr>
          <w:p w14:paraId="6530779A" w14:textId="77777777"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p>
        </w:tc>
        <w:tc>
          <w:tcPr>
            <w:tcW w:w="2835" w:type="dxa"/>
            <w:tcBorders>
              <w:top w:val="nil"/>
              <w:left w:val="nil"/>
              <w:bottom w:val="single" w:sz="4" w:space="0" w:color="auto"/>
              <w:right w:val="nil"/>
            </w:tcBorders>
            <w:vAlign w:val="center"/>
          </w:tcPr>
          <w:p w14:paraId="5743C239" w14:textId="7BC7A9DB" w:rsidR="00226EBE" w:rsidRPr="008B5A07" w:rsidRDefault="00226EBE" w:rsidP="00226EBE">
            <w:pPr>
              <w:spacing w:after="0" w:line="240" w:lineRule="auto"/>
              <w:jc w:val="lef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PSU w/o alcohol</w:t>
            </w:r>
          </w:p>
        </w:tc>
        <w:tc>
          <w:tcPr>
            <w:tcW w:w="1984" w:type="dxa"/>
            <w:tcBorders>
              <w:top w:val="nil"/>
              <w:left w:val="nil"/>
              <w:bottom w:val="single" w:sz="4" w:space="0" w:color="auto"/>
              <w:right w:val="nil"/>
            </w:tcBorders>
            <w:noWrap/>
            <w:vAlign w:val="center"/>
            <w:hideMark/>
          </w:tcPr>
          <w:p w14:paraId="0F692BDC" w14:textId="74D769C5" w:rsidR="00226EBE" w:rsidRPr="008B5A07" w:rsidRDefault="00226EBE" w:rsidP="00226EBE">
            <w:pPr>
              <w:spacing w:after="0" w:line="240" w:lineRule="auto"/>
              <w:jc w:val="right"/>
              <w:rPr>
                <w:rFonts w:ascii="Times New Roman" w:eastAsia="Times New Roman" w:hAnsi="Times New Roman" w:cs="Times New Roman"/>
                <w:color w:val="000000"/>
                <w:sz w:val="24"/>
                <w:szCs w:val="24"/>
                <w:lang w:val="es-CL" w:eastAsia="es-CL"/>
              </w:rPr>
            </w:pPr>
            <w:r w:rsidRPr="008B5A07">
              <w:rPr>
                <w:rFonts w:ascii="Times New Roman" w:eastAsia="Times New Roman" w:hAnsi="Times New Roman" w:cs="Times New Roman"/>
                <w:color w:val="000000"/>
                <w:sz w:val="24"/>
                <w:szCs w:val="24"/>
                <w:lang w:val="es-CL" w:eastAsia="es-CL"/>
              </w:rPr>
              <w:t>1.14 (1.05</w:t>
            </w:r>
            <w:r w:rsidRPr="008B5A07">
              <w:rPr>
                <w:rFonts w:ascii="Times New Roman" w:eastAsia="Times New Roman" w:hAnsi="Times New Roman" w:cs="Times New Roman"/>
                <w:color w:val="000000"/>
                <w:sz w:val="24"/>
                <w:szCs w:val="24"/>
                <w:lang w:val="es-CL" w:eastAsia="es-CL"/>
              </w:rPr>
              <w:t xml:space="preserve">, </w:t>
            </w:r>
            <w:r w:rsidRPr="008B5A07">
              <w:rPr>
                <w:rFonts w:ascii="Times New Roman" w:eastAsia="Times New Roman" w:hAnsi="Times New Roman" w:cs="Times New Roman"/>
                <w:color w:val="000000"/>
                <w:sz w:val="24"/>
                <w:szCs w:val="24"/>
                <w:lang w:val="es-CL" w:eastAsia="es-CL"/>
              </w:rPr>
              <w:t>1.24)</w:t>
            </w:r>
          </w:p>
        </w:tc>
      </w:tr>
    </w:tbl>
    <w:p w14:paraId="69F9F7EC" w14:textId="5E3E896C" w:rsidR="00F06BA4" w:rsidRPr="008B5A07" w:rsidRDefault="00F06BA4" w:rsidP="00F06BA4">
      <w:pPr>
        <w:spacing w:after="0" w:line="240" w:lineRule="auto"/>
        <w:ind w:left="720"/>
        <w:jc w:val="left"/>
        <w:rPr>
          <w:rFonts w:ascii="Times New Roman" w:hAnsi="Times New Roman" w:cs="Times New Roman"/>
          <w:sz w:val="24"/>
          <w:szCs w:val="28"/>
          <w:shd w:val="clear" w:color="auto" w:fill="FFFFFF"/>
        </w:rPr>
      </w:pPr>
      <w:r w:rsidRPr="008B5A07">
        <w:rPr>
          <w:rFonts w:ascii="Times New Roman" w:hAnsi="Times New Roman" w:cs="Times New Roman"/>
          <w:sz w:val="24"/>
          <w:szCs w:val="28"/>
          <w:shd w:val="clear" w:color="auto" w:fill="FFFFFF"/>
        </w:rPr>
        <w:t>Note. RR= Relative risk; 95%CI= 95% confidence intervals in parenthesis</w:t>
      </w:r>
      <w:bookmarkStart w:id="13" w:name="_Hlk166796550"/>
      <w:r w:rsidRPr="008B5A07">
        <w:rPr>
          <w:rFonts w:ascii="Times New Roman" w:hAnsi="Times New Roman" w:cs="Times New Roman"/>
          <w:sz w:val="24"/>
          <w:szCs w:val="28"/>
          <w:shd w:val="clear" w:color="auto" w:fill="FFFFFF"/>
        </w:rPr>
        <w:t>.</w:t>
      </w:r>
      <w:bookmarkEnd w:id="13"/>
    </w:p>
    <w:p w14:paraId="35A90A40" w14:textId="098EC7FD" w:rsidR="00F06BA4" w:rsidRPr="008B5A07" w:rsidRDefault="00F06BA4" w:rsidP="00F06BA4">
      <w:pPr>
        <w:spacing w:after="0" w:line="240" w:lineRule="auto"/>
        <w:ind w:left="720"/>
        <w:jc w:val="left"/>
        <w:rPr>
          <w:rFonts w:ascii="Times New Roman" w:hAnsi="Times New Roman" w:cs="Times New Roman"/>
          <w:sz w:val="24"/>
          <w:szCs w:val="28"/>
          <w:lang w:val="en-US"/>
        </w:rPr>
      </w:pPr>
      <w:r w:rsidRPr="008B5A07">
        <w:rPr>
          <w:rFonts w:ascii="Times New Roman" w:hAnsi="Times New Roman" w:cs="Times New Roman"/>
          <w:sz w:val="24"/>
          <w:szCs w:val="28"/>
          <w:shd w:val="clear" w:color="auto" w:fill="FFFFFF"/>
        </w:rPr>
        <w:t>Model</w:t>
      </w:r>
      <w:r w:rsidRPr="008B5A07">
        <w:rPr>
          <w:rFonts w:ascii="Times New Roman" w:hAnsi="Times New Roman" w:cs="Times New Roman"/>
          <w:sz w:val="24"/>
          <w:szCs w:val="28"/>
          <w:shd w:val="clear" w:color="auto" w:fill="FFFFFF"/>
        </w:rPr>
        <w:t xml:space="preserve"> </w:t>
      </w:r>
      <w:r w:rsidRPr="008B5A07">
        <w:rPr>
          <w:rFonts w:ascii="Times New Roman" w:hAnsi="Times New Roman" w:cs="Times New Roman"/>
          <w:sz w:val="24"/>
          <w:szCs w:val="28"/>
          <w:shd w:val="clear" w:color="auto" w:fill="FFFFFF"/>
        </w:rPr>
        <w:t xml:space="preserve">was </w:t>
      </w:r>
      <w:r w:rsidRPr="008B5A07">
        <w:rPr>
          <w:rFonts w:ascii="Times New Roman" w:hAnsi="Times New Roman" w:cs="Times New Roman"/>
          <w:sz w:val="24"/>
          <w:szCs w:val="28"/>
          <w:shd w:val="clear" w:color="auto" w:fill="FFFFFF"/>
        </w:rPr>
        <w:t>adjusted for the following covariates:</w:t>
      </w:r>
      <w:r w:rsidRPr="008B5A07">
        <w:rPr>
          <w:rFonts w:ascii="Times New Roman" w:hAnsi="Times New Roman" w:cs="Times New Roman"/>
          <w:sz w:val="24"/>
          <w:szCs w:val="28"/>
          <w:lang w:val="en-US"/>
        </w:rPr>
        <w:t xml:space="preserve"> biopsychosocial compromise (severe status) at admission to treatment, Age at admission to treatment, Birth year, Primary substance of the initial diagnosis (cocaine hydrochloride, cocaine base paste, marijuana, and other substances), Psychiatric comorbidity (in study and with comorbidity), Daily frequence of primary substance use at admission, Occupational status (inactive and unemployed), Primary substance at admission to treatment (Cocaine hydrochloride, cocaine base paste, marijuana, and other substances).</w:t>
      </w:r>
    </w:p>
    <w:p w14:paraId="06A9EB68" w14:textId="7E27232D" w:rsidR="00C07227" w:rsidRPr="00C07227" w:rsidRDefault="00023AE9" w:rsidP="00C07227">
      <w:pPr>
        <w:spacing w:after="0" w:line="257"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lastRenderedPageBreak/>
        <w:t>As seen in</w:t>
      </w:r>
      <w:r w:rsidR="00C07227" w:rsidRPr="00C07227">
        <w:rPr>
          <w:rFonts w:ascii="Times New Roman" w:hAnsi="Times New Roman" w:cs="Times New Roman"/>
          <w:sz w:val="24"/>
          <w:szCs w:val="24"/>
          <w:lang w:val="en-US"/>
        </w:rPr>
        <w:t xml:space="preserve"> Table S6</w:t>
      </w:r>
      <w:r>
        <w:rPr>
          <w:rFonts w:ascii="Times New Roman" w:hAnsi="Times New Roman" w:cs="Times New Roman"/>
          <w:sz w:val="24"/>
          <w:szCs w:val="24"/>
          <w:lang w:val="en-US"/>
        </w:rPr>
        <w:t>, p</w:t>
      </w:r>
      <w:r w:rsidR="00C07227" w:rsidRPr="00C07227">
        <w:rPr>
          <w:rFonts w:ascii="Times New Roman" w:hAnsi="Times New Roman" w:cs="Times New Roman"/>
          <w:sz w:val="24"/>
          <w:szCs w:val="24"/>
          <w:lang w:val="en-US"/>
        </w:rPr>
        <w:t xml:space="preserve">atients in </w:t>
      </w:r>
      <w:r w:rsidR="00C07227" w:rsidRPr="00C07227">
        <w:rPr>
          <w:rFonts w:ascii="Times New Roman" w:hAnsi="Times New Roman" w:cs="Times New Roman"/>
          <w:sz w:val="24"/>
          <w:szCs w:val="24"/>
        </w:rPr>
        <w:t>residential settings exclusive to women showed associations for both patients reporting PSU with (RR= 1.14 95% CI 1.06</w:t>
      </w:r>
      <w:r w:rsidR="00536D59">
        <w:rPr>
          <w:rFonts w:ascii="Times New Roman" w:hAnsi="Times New Roman" w:cs="Times New Roman"/>
          <w:sz w:val="24"/>
          <w:szCs w:val="24"/>
        </w:rPr>
        <w:t xml:space="preserve">, </w:t>
      </w:r>
      <w:r w:rsidR="00C07227" w:rsidRPr="00C07227">
        <w:rPr>
          <w:rFonts w:ascii="Times New Roman" w:hAnsi="Times New Roman" w:cs="Times New Roman"/>
          <w:sz w:val="24"/>
          <w:szCs w:val="24"/>
        </w:rPr>
        <w:t xml:space="preserve">1.23) and without (RR= 1.14 95% CI 1.05-1.24) alcohol. </w:t>
      </w:r>
      <w:r w:rsidR="00C07227" w:rsidRPr="00C07227">
        <w:rPr>
          <w:rFonts w:ascii="Times New Roman" w:hAnsi="Times New Roman" w:cs="Times New Roman"/>
          <w:sz w:val="24"/>
          <w:szCs w:val="24"/>
          <w:lang w:val="en-US"/>
        </w:rPr>
        <w:t>However, patients in intensive ambulatory settings for the general population only showed associations among people with alcohol use as a secondary substance (RR= 1.10 95% CI 1.07</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1.14)</w:t>
      </w:r>
      <w:r w:rsidR="00DD31E4">
        <w:rPr>
          <w:rFonts w:ascii="Times New Roman" w:hAnsi="Times New Roman" w:cs="Times New Roman"/>
          <w:sz w:val="24"/>
          <w:szCs w:val="24"/>
          <w:lang w:val="en-US"/>
        </w:rPr>
        <w:t>. Still,</w:t>
      </w:r>
      <w:r w:rsidR="00C07227" w:rsidRPr="00C07227">
        <w:rPr>
          <w:rFonts w:ascii="Times New Roman" w:hAnsi="Times New Roman" w:cs="Times New Roman"/>
          <w:sz w:val="24"/>
          <w:szCs w:val="24"/>
          <w:lang w:val="en-US"/>
        </w:rPr>
        <w:t xml:space="preserve"> people </w:t>
      </w:r>
      <w:r w:rsidR="00F84779">
        <w:rPr>
          <w:rFonts w:ascii="Times New Roman" w:hAnsi="Times New Roman" w:cs="Times New Roman"/>
          <w:sz w:val="24"/>
          <w:szCs w:val="24"/>
          <w:lang w:val="en-US"/>
        </w:rPr>
        <w:t>who</w:t>
      </w:r>
      <w:r w:rsidR="00C07227" w:rsidRPr="00C07227">
        <w:rPr>
          <w:rFonts w:ascii="Times New Roman" w:hAnsi="Times New Roman" w:cs="Times New Roman"/>
          <w:sz w:val="24"/>
          <w:szCs w:val="24"/>
          <w:lang w:val="en-US"/>
        </w:rPr>
        <w:t xml:space="preserve"> reported PSU without alcohol showed positive associations but with confidence intervals that crossed the null (1.02 95% CI 0.99</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1.05). These associations also occurred for patients in basic ambulatory settings reporting PSU with alcohol (RR= 1.08 95% CI 1.05</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1.12) but did not occur in those without alcohol (1.01 95% CI 0.98-1.04). Interestingly, reporting PSU with alcohol as a secondary had a protective role among people in residential treatments for the general population (RR= 0.89 95% CI 0.83</w:t>
      </w:r>
      <w:r w:rsidR="00536D59">
        <w:rPr>
          <w:rFonts w:ascii="Times New Roman" w:hAnsi="Times New Roman" w:cs="Times New Roman"/>
          <w:sz w:val="24"/>
          <w:szCs w:val="24"/>
          <w:lang w:val="en-US"/>
        </w:rPr>
        <w:t xml:space="preserve">, </w:t>
      </w:r>
      <w:r w:rsidR="00C07227" w:rsidRPr="00C07227">
        <w:rPr>
          <w:rFonts w:ascii="Times New Roman" w:hAnsi="Times New Roman" w:cs="Times New Roman"/>
          <w:sz w:val="24"/>
          <w:szCs w:val="24"/>
          <w:lang w:val="en-US"/>
        </w:rPr>
        <w:t>0.94).</w:t>
      </w:r>
    </w:p>
    <w:p w14:paraId="677BE0FD" w14:textId="77777777" w:rsidR="00F06BA4" w:rsidRPr="00F06BA4" w:rsidRDefault="00F06BA4" w:rsidP="009B341B">
      <w:pPr>
        <w:spacing w:after="0" w:line="257" w:lineRule="auto"/>
        <w:rPr>
          <w:rFonts w:ascii="Times New Roman" w:hAnsi="Times New Roman" w:cs="Times New Roman"/>
          <w:sz w:val="24"/>
          <w:szCs w:val="24"/>
          <w:lang w:val="en-US"/>
        </w:rPr>
      </w:pPr>
    </w:p>
    <w:sectPr w:rsidR="00F06BA4" w:rsidRPr="00F06BA4" w:rsidSect="008340E2">
      <w:pgSz w:w="15840" w:h="1224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rés González Santa Cruz" w:date="2024-05-16T23:20:00Z" w:initials="AG">
    <w:p w14:paraId="4CD4AFB9" w14:textId="60B05B4E" w:rsidR="00C637B2" w:rsidRPr="0046604E" w:rsidRDefault="00C637B2">
      <w:pPr>
        <w:pStyle w:val="Textocomentario"/>
        <w:rPr>
          <w:lang w:val="en-US"/>
        </w:rPr>
      </w:pPr>
      <w:r>
        <w:rPr>
          <w:rStyle w:val="Refdecomentario"/>
        </w:rPr>
        <w:annotationRef/>
      </w:r>
      <w:r w:rsidRPr="0046604E">
        <w:rPr>
          <w:lang w:val="en-US"/>
        </w:rPr>
        <w:t>referenciar</w:t>
      </w:r>
    </w:p>
  </w:comment>
  <w:comment w:id="3" w:author="Andrés González Santa Cruz" w:date="2024-06-26T11:48:00Z" w:initials="AG">
    <w:p w14:paraId="3FF58044" w14:textId="2DB2602C" w:rsidR="000D7704" w:rsidRPr="0046604E" w:rsidRDefault="000D7704">
      <w:pPr>
        <w:pStyle w:val="Textocomentario"/>
        <w:rPr>
          <w:lang w:val="en-US"/>
        </w:rPr>
      </w:pPr>
      <w:r>
        <w:rPr>
          <w:rStyle w:val="Refdecomentario"/>
        </w:rPr>
        <w:annotationRef/>
      </w:r>
      <w:r w:rsidRPr="000D7704">
        <w:rPr>
          <w:lang w:val="en-US"/>
        </w:rPr>
        <w:t xml:space="preserve">Lokku, A., Lim, L. S., Birken, C. S., Pullenayegum, E. M., &amp; on behalf of the TARGet Kids! Collaboration. (2020). Summarizing the extent of visit irregularity in longitudinal data. </w:t>
      </w:r>
      <w:r w:rsidRPr="0046604E">
        <w:rPr>
          <w:lang w:val="en-US"/>
        </w:rPr>
        <w:t>BMC Medical Research Methodology, 20(1), 135. https://doi.org/10.1186/s12874-020-01023-w</w:t>
      </w:r>
    </w:p>
  </w:comment>
  <w:comment w:id="4" w:author="Andrés González Santa Cruz" w:date="2024-06-25T21:44:00Z" w:initials="AG">
    <w:p w14:paraId="62883D73" w14:textId="77777777" w:rsidR="008B6CB8" w:rsidRDefault="008B6CB8" w:rsidP="008B6CB8">
      <w:pPr>
        <w:ind w:right="-2"/>
        <w:rPr>
          <w:rFonts w:ascii="Times New Roman" w:hAnsi="Times New Roman" w:cs="Times New Roman"/>
          <w:sz w:val="24"/>
          <w:szCs w:val="28"/>
          <w:lang w:val="en-US"/>
        </w:rPr>
      </w:pPr>
      <w:r>
        <w:rPr>
          <w:rStyle w:val="Refdecomentario"/>
        </w:rPr>
        <w:annotationRef/>
      </w:r>
      <w:r w:rsidRPr="008B6CB8">
        <w:rPr>
          <w:rFonts w:ascii="Times New Roman" w:hAnsi="Times New Roman" w:cs="Times New Roman"/>
          <w:sz w:val="24"/>
          <w:szCs w:val="28"/>
          <w:lang w:val="en-US"/>
        </w:rPr>
        <w:t>Pullenayegum, E. M., Birken, C., Maguire, J., &amp; TARGet Kids! Collaboration. (2023). Causal inference with longitudinal data subject to irregular assessment times. Statistics in Medicine, 42(14), 2361–2393. https://doi.org/10.1002/sim.9727</w:t>
      </w:r>
    </w:p>
    <w:p w14:paraId="126175C6" w14:textId="1FAA5566" w:rsidR="008B6CB8" w:rsidRPr="0046604E" w:rsidRDefault="008B6CB8">
      <w:pPr>
        <w:pStyle w:val="Textocomentario"/>
        <w:rPr>
          <w:lang w:val="en-US"/>
        </w:rPr>
      </w:pPr>
    </w:p>
  </w:comment>
  <w:comment w:id="5" w:author="Andrés González Santa Cruz" w:date="2024-06-25T21:44:00Z" w:initials="AG">
    <w:p w14:paraId="7FF0ECD9" w14:textId="77777777" w:rsidR="008B6CB8" w:rsidRPr="008B6CB8" w:rsidRDefault="008B6CB8" w:rsidP="008B6CB8">
      <w:pPr>
        <w:ind w:right="-2"/>
        <w:rPr>
          <w:rFonts w:ascii="Times New Roman" w:hAnsi="Times New Roman" w:cs="Times New Roman"/>
          <w:sz w:val="24"/>
          <w:szCs w:val="28"/>
          <w:lang w:val="en-US"/>
        </w:rPr>
      </w:pPr>
      <w:r>
        <w:rPr>
          <w:rStyle w:val="Refdecomentario"/>
        </w:rPr>
        <w:annotationRef/>
      </w:r>
      <w:r w:rsidRPr="008B6CB8">
        <w:rPr>
          <w:rFonts w:ascii="Times New Roman" w:hAnsi="Times New Roman" w:cs="Times New Roman"/>
          <w:sz w:val="24"/>
          <w:szCs w:val="28"/>
          <w:lang w:val="en-US"/>
        </w:rPr>
        <w:t>Pullenayegum, E. (2022). IrregLong: Analysis of Longitudinal Data with Irregular Observation Times [Computer software]. https://cran.r-project.org/web/packages/IrregLong/index.html</w:t>
      </w:r>
    </w:p>
    <w:p w14:paraId="1FDDCC2D" w14:textId="58BB3CB0" w:rsidR="008B6CB8" w:rsidRPr="008B6CB8" w:rsidRDefault="008B6CB8">
      <w:pPr>
        <w:pStyle w:val="Textocomentario"/>
        <w:rPr>
          <w:lang w:val="en-US"/>
        </w:rPr>
      </w:pPr>
    </w:p>
  </w:comment>
  <w:comment w:id="6" w:author="Andrés González Santa Cruz" w:date="2024-05-14T12:25:00Z" w:initials="AG">
    <w:p w14:paraId="4496A22B" w14:textId="77777777" w:rsidR="00410678" w:rsidRPr="008A05C2" w:rsidRDefault="00410678" w:rsidP="00410678">
      <w:pPr>
        <w:pStyle w:val="Textocomentario"/>
        <w:rPr>
          <w:lang w:val="en-US"/>
        </w:rPr>
      </w:pPr>
      <w:r>
        <w:rPr>
          <w:rStyle w:val="Refdecomentario"/>
        </w:rPr>
        <w:annotationRef/>
      </w:r>
      <w:r w:rsidRPr="002E6CD9">
        <w:rPr>
          <w:i/>
          <w:iCs/>
          <w:lang w:val="en-AU"/>
        </w:rPr>
        <w:t>Putter, H., M. Sasako, H. H. Hartgrink, C. J. H. van de Velde, and J. C. van Houwelin gen. 2005. Long-term survival with non-proportional hazards: Results from the Dutch  Gastric Cancer Trial. Statistics in Medicine 24: 2807–2821</w:t>
      </w:r>
      <w:r w:rsidRPr="002E6CD9">
        <w:rPr>
          <w:lang w:val="en-AU"/>
        </w:rPr>
        <w:t>)</w:t>
      </w:r>
    </w:p>
  </w:comment>
  <w:comment w:id="8" w:author="Andrés González Santa Cruz" w:date="2024-05-14T12:57:00Z" w:initials="AG">
    <w:p w14:paraId="61D82981" w14:textId="77777777" w:rsidR="00410678" w:rsidRPr="00C17B82" w:rsidRDefault="00410678" w:rsidP="00410678">
      <w:pPr>
        <w:pStyle w:val="Textocomentario"/>
        <w:rPr>
          <w:lang w:val="en-US"/>
        </w:rPr>
      </w:pPr>
      <w:r>
        <w:rPr>
          <w:rStyle w:val="Refdecomentario"/>
        </w:rPr>
        <w:annotationRef/>
      </w:r>
      <w:r w:rsidRPr="008A05C2">
        <w:rPr>
          <w:lang w:val="en-US"/>
        </w:rPr>
        <w:t xml:space="preserve">Keele, L. Proportionally Difficult: Testing for Nonproportional Hazards in Cox Models. </w:t>
      </w:r>
      <w:r w:rsidRPr="00C17B82">
        <w:rPr>
          <w:lang w:val="en-US"/>
        </w:rPr>
        <w:t>Political Analysis (2010) 18:189–205. doi:10.1093/pan/mpp044</w:t>
      </w:r>
    </w:p>
  </w:comment>
  <w:comment w:id="9" w:author="Andrés González Santa Cruz" w:date="2024-05-19T21:59:00Z" w:initials="AG">
    <w:p w14:paraId="3AF04DC9" w14:textId="77777777" w:rsidR="00650E6B" w:rsidRPr="00650E6B" w:rsidRDefault="00650E6B" w:rsidP="00650E6B">
      <w:pPr>
        <w:spacing w:line="240" w:lineRule="auto"/>
        <w:jc w:val="left"/>
        <w:rPr>
          <w:rFonts w:ascii="Times New Roman" w:eastAsia="Times New Roman" w:hAnsi="Times New Roman" w:cs="Times New Roman"/>
          <w:sz w:val="24"/>
          <w:szCs w:val="24"/>
          <w:lang w:val="en-US" w:eastAsia="es-CL"/>
        </w:rPr>
      </w:pPr>
      <w:r>
        <w:rPr>
          <w:rStyle w:val="Refdecomentario"/>
        </w:rPr>
        <w:annotationRef/>
      </w:r>
      <w:r w:rsidRPr="00650E6B">
        <w:rPr>
          <w:rFonts w:ascii="Times New Roman" w:eastAsia="Times New Roman" w:hAnsi="Times New Roman" w:cs="Times New Roman"/>
          <w:sz w:val="24"/>
          <w:szCs w:val="24"/>
          <w:lang w:val="en-US" w:eastAsia="es-CL"/>
        </w:rPr>
        <w:t xml:space="preserve">Zhang, Z., Reinikainen, J., Adeleke, K. A., Pieterse, M. E., &amp; M. Groothuis-Oudshoorn, C. G. (2018). Time-varying covariates and coefficients in Cox regression models. </w:t>
      </w:r>
      <w:r w:rsidRPr="00650E6B">
        <w:rPr>
          <w:rFonts w:ascii="Times New Roman" w:eastAsia="Times New Roman" w:hAnsi="Times New Roman" w:cs="Times New Roman"/>
          <w:i/>
          <w:iCs/>
          <w:sz w:val="24"/>
          <w:szCs w:val="24"/>
          <w:lang w:val="en-US" w:eastAsia="es-CL"/>
        </w:rPr>
        <w:t>Annals of Translational Medicine</w:t>
      </w:r>
      <w:r w:rsidRPr="00650E6B">
        <w:rPr>
          <w:rFonts w:ascii="Times New Roman" w:eastAsia="Times New Roman" w:hAnsi="Times New Roman" w:cs="Times New Roman"/>
          <w:sz w:val="24"/>
          <w:szCs w:val="24"/>
          <w:lang w:val="en-US" w:eastAsia="es-CL"/>
        </w:rPr>
        <w:t xml:space="preserve">, </w:t>
      </w:r>
      <w:r w:rsidRPr="00650E6B">
        <w:rPr>
          <w:rFonts w:ascii="Times New Roman" w:eastAsia="Times New Roman" w:hAnsi="Times New Roman" w:cs="Times New Roman"/>
          <w:i/>
          <w:iCs/>
          <w:sz w:val="24"/>
          <w:szCs w:val="24"/>
          <w:lang w:val="en-US" w:eastAsia="es-CL"/>
        </w:rPr>
        <w:t>6</w:t>
      </w:r>
      <w:r w:rsidRPr="00650E6B">
        <w:rPr>
          <w:rFonts w:ascii="Times New Roman" w:eastAsia="Times New Roman" w:hAnsi="Times New Roman" w:cs="Times New Roman"/>
          <w:sz w:val="24"/>
          <w:szCs w:val="24"/>
          <w:lang w:val="en-US" w:eastAsia="es-CL"/>
        </w:rPr>
        <w:t>(7). https://doi.org/10.21037/atm.2018.02.12</w:t>
      </w:r>
    </w:p>
    <w:p w14:paraId="31AB0942" w14:textId="2FE4EABE" w:rsidR="00650E6B" w:rsidRPr="00650E6B" w:rsidRDefault="00650E6B">
      <w:pPr>
        <w:pStyle w:val="Textocomentario"/>
        <w:rPr>
          <w:lang w:val="en-US"/>
        </w:rPr>
      </w:pPr>
    </w:p>
  </w:comment>
  <w:comment w:id="10" w:author="Andrés González Santa Cruz" w:date="2024-05-14T11:07:00Z" w:initials="AG">
    <w:p w14:paraId="6CC75D91" w14:textId="77777777" w:rsidR="00410678" w:rsidRPr="00CA7FD0" w:rsidRDefault="00410678" w:rsidP="00410678">
      <w:pPr>
        <w:pStyle w:val="Textocomentario"/>
        <w:rPr>
          <w:lang w:val="en-US"/>
        </w:rPr>
      </w:pPr>
      <w:r>
        <w:rPr>
          <w:rStyle w:val="Refdecomentario"/>
        </w:rPr>
        <w:annotationRef/>
      </w:r>
      <w:r w:rsidRPr="00410678">
        <w:rPr>
          <w:lang w:val="en-US"/>
        </w:rPr>
        <w:t xml:space="preserve">Pan, W. (2001). </w:t>
      </w:r>
      <w:r w:rsidRPr="00CA7FD0">
        <w:rPr>
          <w:lang w:val="en-US"/>
        </w:rPr>
        <w:t>Akaike's Information Criterion in Generalized Estimating Equations. Biometrics, 57(1), 120-125. https://doi.org/10.1111/j.0006-341X.2001.00120.x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D4AFB9" w15:done="0"/>
  <w15:commentEx w15:paraId="3FF58044" w15:done="0"/>
  <w15:commentEx w15:paraId="126175C6" w15:done="0"/>
  <w15:commentEx w15:paraId="1FDDCC2D" w15:done="0"/>
  <w15:commentEx w15:paraId="4496A22B" w15:done="0"/>
  <w15:commentEx w15:paraId="61D82981" w15:done="0"/>
  <w15:commentEx w15:paraId="31AB0942" w15:paraIdParent="61D82981" w15:done="0"/>
  <w15:commentEx w15:paraId="6CC75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2C07ED" w16cex:dateUtc="2024-05-17T03:20:00Z"/>
  <w16cex:commentExtensible w16cex:durableId="1A344955" w16cex:dateUtc="2024-06-26T15:48:00Z"/>
  <w16cex:commentExtensible w16cex:durableId="262F7E71" w16cex:dateUtc="2024-06-26T01:44:00Z"/>
  <w16cex:commentExtensible w16cex:durableId="25550DC3" w16cex:dateUtc="2024-06-26T01:44:00Z"/>
  <w16cex:commentExtensible w16cex:durableId="00829E6E" w16cex:dateUtc="2024-05-14T16:25:00Z"/>
  <w16cex:commentExtensible w16cex:durableId="55534B79" w16cex:dateUtc="2024-05-14T16:57:00Z"/>
  <w16cex:commentExtensible w16cex:durableId="403E5593" w16cex:dateUtc="2024-05-20T01:59:00Z"/>
  <w16cex:commentExtensible w16cex:durableId="6D244ED1" w16cex:dateUtc="2024-05-14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D4AFB9" w16cid:durableId="052C07ED"/>
  <w16cid:commentId w16cid:paraId="3FF58044" w16cid:durableId="1A344955"/>
  <w16cid:commentId w16cid:paraId="126175C6" w16cid:durableId="262F7E71"/>
  <w16cid:commentId w16cid:paraId="1FDDCC2D" w16cid:durableId="25550DC3"/>
  <w16cid:commentId w16cid:paraId="4496A22B" w16cid:durableId="00829E6E"/>
  <w16cid:commentId w16cid:paraId="61D82981" w16cid:durableId="55534B79"/>
  <w16cid:commentId w16cid:paraId="31AB0942" w16cid:durableId="403E5593"/>
  <w16cid:commentId w16cid:paraId="6CC75D91" w16cid:durableId="6D244E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CF052" w14:textId="77777777" w:rsidR="00193239" w:rsidRDefault="00193239" w:rsidP="008340E2">
      <w:pPr>
        <w:spacing w:after="0" w:line="240" w:lineRule="auto"/>
      </w:pPr>
      <w:r>
        <w:separator/>
      </w:r>
    </w:p>
  </w:endnote>
  <w:endnote w:type="continuationSeparator" w:id="0">
    <w:p w14:paraId="5D3E49D7" w14:textId="77777777" w:rsidR="00193239" w:rsidRDefault="00193239" w:rsidP="00834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7598B" w14:textId="77777777" w:rsidR="00193239" w:rsidRDefault="00193239" w:rsidP="008340E2">
      <w:pPr>
        <w:spacing w:after="0" w:line="240" w:lineRule="auto"/>
      </w:pPr>
      <w:r>
        <w:separator/>
      </w:r>
    </w:p>
  </w:footnote>
  <w:footnote w:type="continuationSeparator" w:id="0">
    <w:p w14:paraId="6E909505" w14:textId="77777777" w:rsidR="00193239" w:rsidRDefault="00193239" w:rsidP="00834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228AB"/>
    <w:multiLevelType w:val="multilevel"/>
    <w:tmpl w:val="C0A8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8E0326"/>
    <w:multiLevelType w:val="hybridMultilevel"/>
    <w:tmpl w:val="6FB04F28"/>
    <w:lvl w:ilvl="0" w:tplc="70780CDA">
      <w:start w:val="2"/>
      <w:numFmt w:val="bullet"/>
      <w:lvlText w:val="-"/>
      <w:lvlJc w:val="left"/>
      <w:pPr>
        <w:ind w:left="404" w:hanging="360"/>
      </w:pPr>
      <w:rPr>
        <w:rFonts w:ascii="Verdana" w:eastAsiaTheme="minorHAnsi" w:hAnsi="Verdana" w:cstheme="minorBidi" w:hint="default"/>
      </w:rPr>
    </w:lvl>
    <w:lvl w:ilvl="1" w:tplc="340A0003" w:tentative="1">
      <w:start w:val="1"/>
      <w:numFmt w:val="bullet"/>
      <w:lvlText w:val="o"/>
      <w:lvlJc w:val="left"/>
      <w:pPr>
        <w:ind w:left="1124" w:hanging="360"/>
      </w:pPr>
      <w:rPr>
        <w:rFonts w:ascii="Courier New" w:hAnsi="Courier New" w:cs="Courier New" w:hint="default"/>
      </w:rPr>
    </w:lvl>
    <w:lvl w:ilvl="2" w:tplc="340A0005" w:tentative="1">
      <w:start w:val="1"/>
      <w:numFmt w:val="bullet"/>
      <w:lvlText w:val=""/>
      <w:lvlJc w:val="left"/>
      <w:pPr>
        <w:ind w:left="1844" w:hanging="360"/>
      </w:pPr>
      <w:rPr>
        <w:rFonts w:ascii="Wingdings" w:hAnsi="Wingdings" w:hint="default"/>
      </w:rPr>
    </w:lvl>
    <w:lvl w:ilvl="3" w:tplc="340A0001" w:tentative="1">
      <w:start w:val="1"/>
      <w:numFmt w:val="bullet"/>
      <w:lvlText w:val=""/>
      <w:lvlJc w:val="left"/>
      <w:pPr>
        <w:ind w:left="2564" w:hanging="360"/>
      </w:pPr>
      <w:rPr>
        <w:rFonts w:ascii="Symbol" w:hAnsi="Symbol" w:hint="default"/>
      </w:rPr>
    </w:lvl>
    <w:lvl w:ilvl="4" w:tplc="340A0003" w:tentative="1">
      <w:start w:val="1"/>
      <w:numFmt w:val="bullet"/>
      <w:lvlText w:val="o"/>
      <w:lvlJc w:val="left"/>
      <w:pPr>
        <w:ind w:left="3284" w:hanging="360"/>
      </w:pPr>
      <w:rPr>
        <w:rFonts w:ascii="Courier New" w:hAnsi="Courier New" w:cs="Courier New" w:hint="default"/>
      </w:rPr>
    </w:lvl>
    <w:lvl w:ilvl="5" w:tplc="340A0005" w:tentative="1">
      <w:start w:val="1"/>
      <w:numFmt w:val="bullet"/>
      <w:lvlText w:val=""/>
      <w:lvlJc w:val="left"/>
      <w:pPr>
        <w:ind w:left="4004" w:hanging="360"/>
      </w:pPr>
      <w:rPr>
        <w:rFonts w:ascii="Wingdings" w:hAnsi="Wingdings" w:hint="default"/>
      </w:rPr>
    </w:lvl>
    <w:lvl w:ilvl="6" w:tplc="340A0001" w:tentative="1">
      <w:start w:val="1"/>
      <w:numFmt w:val="bullet"/>
      <w:lvlText w:val=""/>
      <w:lvlJc w:val="left"/>
      <w:pPr>
        <w:ind w:left="4724" w:hanging="360"/>
      </w:pPr>
      <w:rPr>
        <w:rFonts w:ascii="Symbol" w:hAnsi="Symbol" w:hint="default"/>
      </w:rPr>
    </w:lvl>
    <w:lvl w:ilvl="7" w:tplc="340A0003" w:tentative="1">
      <w:start w:val="1"/>
      <w:numFmt w:val="bullet"/>
      <w:lvlText w:val="o"/>
      <w:lvlJc w:val="left"/>
      <w:pPr>
        <w:ind w:left="5444" w:hanging="360"/>
      </w:pPr>
      <w:rPr>
        <w:rFonts w:ascii="Courier New" w:hAnsi="Courier New" w:cs="Courier New" w:hint="default"/>
      </w:rPr>
    </w:lvl>
    <w:lvl w:ilvl="8" w:tplc="340A0005" w:tentative="1">
      <w:start w:val="1"/>
      <w:numFmt w:val="bullet"/>
      <w:lvlText w:val=""/>
      <w:lvlJc w:val="left"/>
      <w:pPr>
        <w:ind w:left="6164" w:hanging="360"/>
      </w:pPr>
      <w:rPr>
        <w:rFonts w:ascii="Wingdings" w:hAnsi="Wingdings" w:hint="default"/>
      </w:rPr>
    </w:lvl>
  </w:abstractNum>
  <w:abstractNum w:abstractNumId="2" w15:restartNumberingAfterBreak="0">
    <w:nsid w:val="7ECB00EA"/>
    <w:multiLevelType w:val="multilevel"/>
    <w:tmpl w:val="9E2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2616640">
    <w:abstractNumId w:val="0"/>
  </w:num>
  <w:num w:numId="2" w16cid:durableId="1281496780">
    <w:abstractNumId w:val="2"/>
  </w:num>
  <w:num w:numId="3" w16cid:durableId="16579583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E2"/>
    <w:rsid w:val="00023AE9"/>
    <w:rsid w:val="00030992"/>
    <w:rsid w:val="00037A43"/>
    <w:rsid w:val="000D7704"/>
    <w:rsid w:val="00193239"/>
    <w:rsid w:val="001974E4"/>
    <w:rsid w:val="001C5629"/>
    <w:rsid w:val="002264FE"/>
    <w:rsid w:val="00226EBE"/>
    <w:rsid w:val="0025070A"/>
    <w:rsid w:val="0027126D"/>
    <w:rsid w:val="002F1D56"/>
    <w:rsid w:val="00381B89"/>
    <w:rsid w:val="00382E62"/>
    <w:rsid w:val="003B2C20"/>
    <w:rsid w:val="00410678"/>
    <w:rsid w:val="004160EC"/>
    <w:rsid w:val="00425CB0"/>
    <w:rsid w:val="00435289"/>
    <w:rsid w:val="0046604E"/>
    <w:rsid w:val="0047439C"/>
    <w:rsid w:val="004D463F"/>
    <w:rsid w:val="004F6154"/>
    <w:rsid w:val="00521EBB"/>
    <w:rsid w:val="00526359"/>
    <w:rsid w:val="00536D59"/>
    <w:rsid w:val="005569C9"/>
    <w:rsid w:val="005A5AE1"/>
    <w:rsid w:val="00650E6B"/>
    <w:rsid w:val="0065310D"/>
    <w:rsid w:val="006743F6"/>
    <w:rsid w:val="007126B2"/>
    <w:rsid w:val="00745DF7"/>
    <w:rsid w:val="007550F3"/>
    <w:rsid w:val="00795D98"/>
    <w:rsid w:val="007C4B58"/>
    <w:rsid w:val="00801D0D"/>
    <w:rsid w:val="008340E2"/>
    <w:rsid w:val="00860DD4"/>
    <w:rsid w:val="008A2C25"/>
    <w:rsid w:val="008A7A54"/>
    <w:rsid w:val="008B5A07"/>
    <w:rsid w:val="008B6CB8"/>
    <w:rsid w:val="008D75D4"/>
    <w:rsid w:val="00957149"/>
    <w:rsid w:val="009B341B"/>
    <w:rsid w:val="00A318AE"/>
    <w:rsid w:val="00A3679D"/>
    <w:rsid w:val="00A47649"/>
    <w:rsid w:val="00A6037E"/>
    <w:rsid w:val="00A607FD"/>
    <w:rsid w:val="00A712A7"/>
    <w:rsid w:val="00A96BE4"/>
    <w:rsid w:val="00AB3754"/>
    <w:rsid w:val="00AD5BED"/>
    <w:rsid w:val="00B05733"/>
    <w:rsid w:val="00B24D32"/>
    <w:rsid w:val="00B83F64"/>
    <w:rsid w:val="00B86C53"/>
    <w:rsid w:val="00BA06BB"/>
    <w:rsid w:val="00BE70D4"/>
    <w:rsid w:val="00C07227"/>
    <w:rsid w:val="00C17B82"/>
    <w:rsid w:val="00C45C3D"/>
    <w:rsid w:val="00C637B2"/>
    <w:rsid w:val="00CC1970"/>
    <w:rsid w:val="00CF1AAD"/>
    <w:rsid w:val="00D9753F"/>
    <w:rsid w:val="00D97DD0"/>
    <w:rsid w:val="00DA0996"/>
    <w:rsid w:val="00DD31E4"/>
    <w:rsid w:val="00DF0406"/>
    <w:rsid w:val="00DF6512"/>
    <w:rsid w:val="00E12ABC"/>
    <w:rsid w:val="00EB67E2"/>
    <w:rsid w:val="00F06BA4"/>
    <w:rsid w:val="00F33019"/>
    <w:rsid w:val="00F46817"/>
    <w:rsid w:val="00F84779"/>
    <w:rsid w:val="00FA4F8B"/>
    <w:rsid w:val="00FB6F7D"/>
    <w:rsid w:val="00FC32AD"/>
    <w:rsid w:val="00FC39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B87"/>
  <w15:chartTrackingRefBased/>
  <w15:docId w15:val="{C8DD95AA-0AE0-490D-9355-9E477AA1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7B2"/>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2264FE"/>
    <w:pPr>
      <w:outlineLvl w:val="0"/>
    </w:pPr>
    <w:rPr>
      <w:rFonts w:ascii="Times New Roman" w:hAnsi="Times New Roman" w:cs="Times New Roman"/>
      <w:b/>
      <w:bCs/>
      <w:sz w:val="24"/>
      <w:szCs w:val="28"/>
    </w:rPr>
  </w:style>
  <w:style w:type="paragraph" w:styleId="Ttulo2">
    <w:name w:val="heading 2"/>
    <w:basedOn w:val="Ttulo1"/>
    <w:next w:val="Normal"/>
    <w:link w:val="Ttulo2Car"/>
    <w:uiPriority w:val="9"/>
    <w:unhideWhenUsed/>
    <w:qFormat/>
    <w:rsid w:val="002264FE"/>
    <w:pPr>
      <w:outlineLvl w:val="1"/>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4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0E2"/>
    <w:rPr>
      <w:rFonts w:ascii="Verdana" w:hAnsi="Verdana"/>
      <w:kern w:val="0"/>
      <w:sz w:val="20"/>
      <w:lang w:val="en-AU"/>
      <w14:ligatures w14:val="none"/>
    </w:rPr>
  </w:style>
  <w:style w:type="paragraph" w:styleId="Piedepgina">
    <w:name w:val="footer"/>
    <w:basedOn w:val="Normal"/>
    <w:link w:val="PiedepginaCar"/>
    <w:uiPriority w:val="99"/>
    <w:unhideWhenUsed/>
    <w:rsid w:val="00834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0E2"/>
    <w:rPr>
      <w:rFonts w:ascii="Verdana" w:hAnsi="Verdana"/>
      <w:kern w:val="0"/>
      <w:sz w:val="20"/>
      <w:lang w:val="en-AU"/>
      <w14:ligatures w14:val="none"/>
    </w:rPr>
  </w:style>
  <w:style w:type="character" w:styleId="Refdecomentario">
    <w:name w:val="annotation reference"/>
    <w:basedOn w:val="Fuentedeprrafopredeter"/>
    <w:uiPriority w:val="99"/>
    <w:semiHidden/>
    <w:unhideWhenUsed/>
    <w:rsid w:val="00410678"/>
    <w:rPr>
      <w:sz w:val="16"/>
      <w:szCs w:val="16"/>
    </w:rPr>
  </w:style>
  <w:style w:type="paragraph" w:styleId="Textocomentario">
    <w:name w:val="annotation text"/>
    <w:basedOn w:val="Normal"/>
    <w:link w:val="TextocomentarioCar"/>
    <w:uiPriority w:val="99"/>
    <w:unhideWhenUsed/>
    <w:rsid w:val="00410678"/>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410678"/>
    <w:rPr>
      <w:rFonts w:ascii="Times New Roman" w:eastAsia="Times New Roman" w:hAnsi="Times New Roman" w:cs="Times New Roman"/>
      <w:kern w:val="0"/>
      <w:sz w:val="20"/>
      <w:szCs w:val="20"/>
      <w:lang w:eastAsia="es-ES_tradnl"/>
      <w14:ligatures w14:val="none"/>
    </w:rPr>
  </w:style>
  <w:style w:type="paragraph" w:styleId="NormalWeb">
    <w:name w:val="Normal (Web)"/>
    <w:basedOn w:val="Normal"/>
    <w:uiPriority w:val="99"/>
    <w:semiHidden/>
    <w:unhideWhenUsed/>
    <w:rsid w:val="00DF0406"/>
    <w:pPr>
      <w:spacing w:before="100" w:beforeAutospacing="1" w:after="100" w:afterAutospacing="1" w:line="240" w:lineRule="auto"/>
      <w:jc w:val="left"/>
    </w:pPr>
    <w:rPr>
      <w:rFonts w:ascii="Times New Roman" w:eastAsia="Times New Roman" w:hAnsi="Times New Roman" w:cs="Times New Roman"/>
      <w:sz w:val="24"/>
      <w:szCs w:val="24"/>
      <w:lang w:val="es-CL" w:eastAsia="es-CL"/>
    </w:rPr>
  </w:style>
  <w:style w:type="table" w:styleId="Tablaconcuadrcula">
    <w:name w:val="Table Grid"/>
    <w:basedOn w:val="Tablanormal"/>
    <w:uiPriority w:val="39"/>
    <w:rsid w:val="0019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C637B2"/>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C637B2"/>
    <w:rPr>
      <w:rFonts w:ascii="Verdana" w:eastAsia="Times New Roman" w:hAnsi="Verdana" w:cs="Times New Roman"/>
      <w:b/>
      <w:bCs/>
      <w:kern w:val="0"/>
      <w:sz w:val="20"/>
      <w:szCs w:val="20"/>
      <w:lang w:val="en-AU" w:eastAsia="es-ES_tradnl"/>
      <w14:ligatures w14:val="none"/>
    </w:rPr>
  </w:style>
  <w:style w:type="paragraph" w:styleId="Prrafodelista">
    <w:name w:val="List Paragraph"/>
    <w:basedOn w:val="Normal"/>
    <w:uiPriority w:val="34"/>
    <w:qFormat/>
    <w:rsid w:val="00AD5BED"/>
    <w:pPr>
      <w:ind w:left="720"/>
      <w:contextualSpacing/>
    </w:pPr>
  </w:style>
  <w:style w:type="character" w:customStyle="1" w:styleId="Ttulo1Car">
    <w:name w:val="Título 1 Car"/>
    <w:basedOn w:val="Fuentedeprrafopredeter"/>
    <w:link w:val="Ttulo1"/>
    <w:uiPriority w:val="9"/>
    <w:rsid w:val="002264FE"/>
    <w:rPr>
      <w:rFonts w:ascii="Times New Roman" w:hAnsi="Times New Roman" w:cs="Times New Roman"/>
      <w:b/>
      <w:bCs/>
      <w:kern w:val="0"/>
      <w:sz w:val="24"/>
      <w:szCs w:val="28"/>
      <w:lang w:val="en-AU"/>
      <w14:ligatures w14:val="none"/>
    </w:rPr>
  </w:style>
  <w:style w:type="character" w:customStyle="1" w:styleId="Ttulo2Car">
    <w:name w:val="Título 2 Car"/>
    <w:basedOn w:val="Fuentedeprrafopredeter"/>
    <w:link w:val="Ttulo2"/>
    <w:uiPriority w:val="9"/>
    <w:rsid w:val="002264FE"/>
    <w:rPr>
      <w:rFonts w:ascii="Times New Roman" w:hAnsi="Times New Roman" w:cs="Times New Roman"/>
      <w:b/>
      <w:bCs/>
      <w:kern w:val="0"/>
      <w:sz w:val="24"/>
      <w:szCs w:val="28"/>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01597">
      <w:bodyDiv w:val="1"/>
      <w:marLeft w:val="0"/>
      <w:marRight w:val="0"/>
      <w:marTop w:val="0"/>
      <w:marBottom w:val="0"/>
      <w:divBdr>
        <w:top w:val="none" w:sz="0" w:space="0" w:color="auto"/>
        <w:left w:val="none" w:sz="0" w:space="0" w:color="auto"/>
        <w:bottom w:val="none" w:sz="0" w:space="0" w:color="auto"/>
        <w:right w:val="none" w:sz="0" w:space="0" w:color="auto"/>
      </w:divBdr>
      <w:divsChild>
        <w:div w:id="1705711695">
          <w:marLeft w:val="-436"/>
          <w:marRight w:val="0"/>
          <w:marTop w:val="0"/>
          <w:marBottom w:val="0"/>
          <w:divBdr>
            <w:top w:val="none" w:sz="0" w:space="0" w:color="auto"/>
            <w:left w:val="none" w:sz="0" w:space="0" w:color="auto"/>
            <w:bottom w:val="none" w:sz="0" w:space="0" w:color="auto"/>
            <w:right w:val="none" w:sz="0" w:space="0" w:color="auto"/>
          </w:divBdr>
        </w:div>
      </w:divsChild>
    </w:div>
    <w:div w:id="791048807">
      <w:bodyDiv w:val="1"/>
      <w:marLeft w:val="0"/>
      <w:marRight w:val="0"/>
      <w:marTop w:val="0"/>
      <w:marBottom w:val="0"/>
      <w:divBdr>
        <w:top w:val="none" w:sz="0" w:space="0" w:color="auto"/>
        <w:left w:val="none" w:sz="0" w:space="0" w:color="auto"/>
        <w:bottom w:val="none" w:sz="0" w:space="0" w:color="auto"/>
        <w:right w:val="none" w:sz="0" w:space="0" w:color="auto"/>
      </w:divBdr>
      <w:divsChild>
        <w:div w:id="1363090969">
          <w:marLeft w:val="-436"/>
          <w:marRight w:val="0"/>
          <w:marTop w:val="0"/>
          <w:marBottom w:val="0"/>
          <w:divBdr>
            <w:top w:val="none" w:sz="0" w:space="0" w:color="auto"/>
            <w:left w:val="none" w:sz="0" w:space="0" w:color="auto"/>
            <w:bottom w:val="none" w:sz="0" w:space="0" w:color="auto"/>
            <w:right w:val="none" w:sz="0" w:space="0" w:color="auto"/>
          </w:divBdr>
        </w:div>
      </w:divsChild>
    </w:div>
    <w:div w:id="908465647">
      <w:bodyDiv w:val="1"/>
      <w:marLeft w:val="0"/>
      <w:marRight w:val="0"/>
      <w:marTop w:val="0"/>
      <w:marBottom w:val="0"/>
      <w:divBdr>
        <w:top w:val="none" w:sz="0" w:space="0" w:color="auto"/>
        <w:left w:val="none" w:sz="0" w:space="0" w:color="auto"/>
        <w:bottom w:val="none" w:sz="0" w:space="0" w:color="auto"/>
        <w:right w:val="none" w:sz="0" w:space="0" w:color="auto"/>
      </w:divBdr>
    </w:div>
    <w:div w:id="1021778055">
      <w:bodyDiv w:val="1"/>
      <w:marLeft w:val="0"/>
      <w:marRight w:val="0"/>
      <w:marTop w:val="0"/>
      <w:marBottom w:val="0"/>
      <w:divBdr>
        <w:top w:val="none" w:sz="0" w:space="0" w:color="auto"/>
        <w:left w:val="none" w:sz="0" w:space="0" w:color="auto"/>
        <w:bottom w:val="none" w:sz="0" w:space="0" w:color="auto"/>
        <w:right w:val="none" w:sz="0" w:space="0" w:color="auto"/>
      </w:divBdr>
      <w:divsChild>
        <w:div w:id="2028170933">
          <w:marLeft w:val="0"/>
          <w:marRight w:val="0"/>
          <w:marTop w:val="0"/>
          <w:marBottom w:val="0"/>
          <w:divBdr>
            <w:top w:val="none" w:sz="0" w:space="0" w:color="auto"/>
            <w:left w:val="none" w:sz="0" w:space="0" w:color="auto"/>
            <w:bottom w:val="none" w:sz="0" w:space="0" w:color="auto"/>
            <w:right w:val="none" w:sz="0" w:space="0" w:color="auto"/>
          </w:divBdr>
          <w:divsChild>
            <w:div w:id="1499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04">
      <w:bodyDiv w:val="1"/>
      <w:marLeft w:val="0"/>
      <w:marRight w:val="0"/>
      <w:marTop w:val="0"/>
      <w:marBottom w:val="0"/>
      <w:divBdr>
        <w:top w:val="none" w:sz="0" w:space="0" w:color="auto"/>
        <w:left w:val="none" w:sz="0" w:space="0" w:color="auto"/>
        <w:bottom w:val="none" w:sz="0" w:space="0" w:color="auto"/>
        <w:right w:val="none" w:sz="0" w:space="0" w:color="auto"/>
      </w:divBdr>
      <w:divsChild>
        <w:div w:id="66728278">
          <w:marLeft w:val="0"/>
          <w:marRight w:val="0"/>
          <w:marTop w:val="0"/>
          <w:marBottom w:val="0"/>
          <w:divBdr>
            <w:top w:val="none" w:sz="0" w:space="0" w:color="auto"/>
            <w:left w:val="none" w:sz="0" w:space="0" w:color="auto"/>
            <w:bottom w:val="none" w:sz="0" w:space="0" w:color="auto"/>
            <w:right w:val="none" w:sz="0" w:space="0" w:color="auto"/>
          </w:divBdr>
          <w:divsChild>
            <w:div w:id="234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3959">
      <w:bodyDiv w:val="1"/>
      <w:marLeft w:val="0"/>
      <w:marRight w:val="0"/>
      <w:marTop w:val="0"/>
      <w:marBottom w:val="0"/>
      <w:divBdr>
        <w:top w:val="none" w:sz="0" w:space="0" w:color="auto"/>
        <w:left w:val="none" w:sz="0" w:space="0" w:color="auto"/>
        <w:bottom w:val="none" w:sz="0" w:space="0" w:color="auto"/>
        <w:right w:val="none" w:sz="0" w:space="0" w:color="auto"/>
      </w:divBdr>
    </w:div>
    <w:div w:id="1242332036">
      <w:bodyDiv w:val="1"/>
      <w:marLeft w:val="0"/>
      <w:marRight w:val="0"/>
      <w:marTop w:val="0"/>
      <w:marBottom w:val="0"/>
      <w:divBdr>
        <w:top w:val="none" w:sz="0" w:space="0" w:color="auto"/>
        <w:left w:val="none" w:sz="0" w:space="0" w:color="auto"/>
        <w:bottom w:val="none" w:sz="0" w:space="0" w:color="auto"/>
        <w:right w:val="none" w:sz="0" w:space="0" w:color="auto"/>
      </w:divBdr>
    </w:div>
    <w:div w:id="1257792050">
      <w:bodyDiv w:val="1"/>
      <w:marLeft w:val="0"/>
      <w:marRight w:val="0"/>
      <w:marTop w:val="0"/>
      <w:marBottom w:val="0"/>
      <w:divBdr>
        <w:top w:val="none" w:sz="0" w:space="0" w:color="auto"/>
        <w:left w:val="none" w:sz="0" w:space="0" w:color="auto"/>
        <w:bottom w:val="none" w:sz="0" w:space="0" w:color="auto"/>
        <w:right w:val="none" w:sz="0" w:space="0" w:color="auto"/>
      </w:divBdr>
    </w:div>
    <w:div w:id="1267813876">
      <w:bodyDiv w:val="1"/>
      <w:marLeft w:val="0"/>
      <w:marRight w:val="0"/>
      <w:marTop w:val="0"/>
      <w:marBottom w:val="0"/>
      <w:divBdr>
        <w:top w:val="none" w:sz="0" w:space="0" w:color="auto"/>
        <w:left w:val="none" w:sz="0" w:space="0" w:color="auto"/>
        <w:bottom w:val="none" w:sz="0" w:space="0" w:color="auto"/>
        <w:right w:val="none" w:sz="0" w:space="0" w:color="auto"/>
      </w:divBdr>
    </w:div>
    <w:div w:id="1585189933">
      <w:bodyDiv w:val="1"/>
      <w:marLeft w:val="0"/>
      <w:marRight w:val="0"/>
      <w:marTop w:val="0"/>
      <w:marBottom w:val="0"/>
      <w:divBdr>
        <w:top w:val="none" w:sz="0" w:space="0" w:color="auto"/>
        <w:left w:val="none" w:sz="0" w:space="0" w:color="auto"/>
        <w:bottom w:val="none" w:sz="0" w:space="0" w:color="auto"/>
        <w:right w:val="none" w:sz="0" w:space="0" w:color="auto"/>
      </w:divBdr>
    </w:div>
    <w:div w:id="1906186068">
      <w:bodyDiv w:val="1"/>
      <w:marLeft w:val="0"/>
      <w:marRight w:val="0"/>
      <w:marTop w:val="0"/>
      <w:marBottom w:val="0"/>
      <w:divBdr>
        <w:top w:val="none" w:sz="0" w:space="0" w:color="auto"/>
        <w:left w:val="none" w:sz="0" w:space="0" w:color="auto"/>
        <w:bottom w:val="none" w:sz="0" w:space="0" w:color="auto"/>
        <w:right w:val="none" w:sz="0" w:space="0" w:color="auto"/>
      </w:divBdr>
    </w:div>
    <w:div w:id="1927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5402</Words>
  <Characters>29713</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30</cp:revision>
  <dcterms:created xsi:type="dcterms:W3CDTF">2024-06-25T19:49:00Z</dcterms:created>
  <dcterms:modified xsi:type="dcterms:W3CDTF">2024-07-25T20:22:00Z</dcterms:modified>
</cp:coreProperties>
</file>