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r w:rsidRPr="002F1D56">
        <w:rPr>
          <w:rFonts w:ascii="Times New Roman" w:eastAsia="Times New Roman" w:hAnsi="Times New Roman" w:cs="Times New Roman"/>
          <w:color w:val="000000"/>
          <w:sz w:val="16"/>
          <w:szCs w:val="16"/>
          <w:vertAlign w:val="superscript"/>
          <w:lang w:val="es-CL" w:eastAsia="es-CL"/>
        </w:rPr>
        <w:t>a.b,c</w:t>
      </w:r>
      <w:r w:rsidRPr="002F1D56">
        <w:rPr>
          <w:rFonts w:ascii="Times New Roman" w:eastAsia="Times New Roman" w:hAnsi="Times New Roman" w:cs="Times New Roman"/>
          <w:color w:val="000000"/>
          <w:sz w:val="24"/>
          <w:szCs w:val="24"/>
          <w:lang w:val="es-CL" w:eastAsia="es-CL"/>
        </w:rPr>
        <w:t>; José Ruiz-Tagle</w:t>
      </w:r>
      <w:r w:rsidRPr="002F1D56">
        <w:rPr>
          <w:rFonts w:ascii="Times New Roman" w:eastAsia="Times New Roman" w:hAnsi="Times New Roman" w:cs="Times New Roman"/>
          <w:color w:val="000000"/>
          <w:sz w:val="16"/>
          <w:szCs w:val="16"/>
          <w:vertAlign w:val="superscript"/>
          <w:lang w:val="es-CL" w:eastAsia="es-CL"/>
        </w:rPr>
        <w:t>b,c</w:t>
      </w:r>
      <w:r w:rsidRPr="002F1D56">
        <w:rPr>
          <w:rFonts w:ascii="Times New Roman" w:eastAsia="Times New Roman" w:hAnsi="Times New Roman" w:cs="Times New Roman"/>
          <w:color w:val="000000"/>
          <w:sz w:val="24"/>
          <w:szCs w:val="24"/>
          <w:lang w:val="es-CL" w:eastAsia="es-CL"/>
        </w:rPr>
        <w:t xml:space="preserve"> Mariel Mateo Pinones </w:t>
      </w:r>
      <w:r w:rsidRPr="002F1D56">
        <w:rPr>
          <w:rFonts w:ascii="Times New Roman" w:eastAsia="Times New Roman" w:hAnsi="Times New Roman" w:cs="Times New Roman"/>
          <w:color w:val="000000"/>
          <w:sz w:val="16"/>
          <w:szCs w:val="16"/>
          <w:vertAlign w:val="superscript"/>
          <w:lang w:val="es-CL" w:eastAsia="es-CL"/>
        </w:rPr>
        <w:t>b,d</w:t>
      </w:r>
      <w:r w:rsidRPr="002F1D56">
        <w:rPr>
          <w:rFonts w:ascii="Times New Roman" w:eastAsia="Times New Roman" w:hAnsi="Times New Roman" w:cs="Times New Roman"/>
          <w:color w:val="000000"/>
          <w:sz w:val="24"/>
          <w:szCs w:val="24"/>
          <w:lang w:val="es-CL" w:eastAsia="es-CL"/>
        </w:rPr>
        <w:t xml:space="preserve">; Álvaro Castillo-Carniglia </w:t>
      </w:r>
      <w:r w:rsidRPr="002F1D56">
        <w:rPr>
          <w:rFonts w:ascii="Times New Roman" w:eastAsia="Times New Roman" w:hAnsi="Times New Roman" w:cs="Times New Roman"/>
          <w:color w:val="000000"/>
          <w:sz w:val="16"/>
          <w:szCs w:val="16"/>
          <w:vertAlign w:val="superscript"/>
          <w:lang w:val="es-CL" w:eastAsia="es-CL"/>
        </w:rPr>
        <w:t>b,c,e</w:t>
      </w:r>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a</w:t>
      </w:r>
      <w:r w:rsidRPr="002F1D56">
        <w:rPr>
          <w:rFonts w:ascii="Times New Roman" w:eastAsia="Times New Roman" w:hAnsi="Times New Roman" w:cs="Times New Roman"/>
          <w:color w:val="000000"/>
          <w:sz w:val="24"/>
          <w:szCs w:val="24"/>
          <w:lang w:val="en-US" w:eastAsia="es-CL"/>
        </w:rPr>
        <w:t xml:space="preserve"> </w:t>
      </w:r>
      <w:r w:rsidR="00521EBB"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Independencia 939, Independencia,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(nDP),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Associate Professor, Department of Public Health, Facultad de Medicina y Ciencia,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Sociomedicine (SocioMed), Chile.</w:t>
      </w:r>
    </w:p>
    <w:p w14:paraId="43BA4B74" w14:textId="77C04D5F" w:rsidR="00DF0406" w:rsidRPr="002F1D5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239F7A09" w14:textId="3C2000A5" w:rsidR="00745DF7" w:rsidRPr="002F1D56" w:rsidRDefault="00745DF7" w:rsidP="00745DF7">
      <w:pPr>
        <w:rPr>
          <w:rFonts w:ascii="Times New Roman" w:hAnsi="Times New Roman" w:cs="Times New Roman"/>
          <w:b/>
          <w:bCs/>
          <w:sz w:val="24"/>
          <w:szCs w:val="28"/>
          <w:u w:val="single"/>
        </w:rPr>
      </w:pPr>
      <w:r w:rsidRPr="002F1D56">
        <w:rPr>
          <w:rFonts w:ascii="Times New Roman" w:hAnsi="Times New Roman" w:cs="Times New Roman"/>
          <w:b/>
          <w:bCs/>
          <w:sz w:val="24"/>
          <w:szCs w:val="28"/>
        </w:rPr>
        <w:lastRenderedPageBreak/>
        <w:t>Supplemental Section 1.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Covariate name</w:t>
            </w:r>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r w:rsidRPr="002F1D56">
              <w:rPr>
                <w:rFonts w:ascii="Times New Roman" w:hAnsi="Times New Roman" w:cs="Times New Roman"/>
                <w:b/>
                <w:bCs/>
                <w:sz w:val="22"/>
                <w:szCs w:val="24"/>
                <w:lang w:val="es-CL"/>
              </w:rPr>
              <w:t>Description</w:t>
            </w:r>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61CE7D6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 (Ruiz-Tagle et al</w:t>
            </w:r>
            <w:commentRangeStart w:id="2"/>
            <w:r w:rsidRPr="002F1D56">
              <w:rPr>
                <w:rFonts w:ascii="Times New Roman" w:hAnsi="Times New Roman" w:cs="Times New Roman"/>
                <w:sz w:val="22"/>
                <w:szCs w:val="24"/>
                <w:lang w:val="en-US"/>
              </w:rPr>
              <w:t>., 2023</w:t>
            </w:r>
            <w:commentRangeEnd w:id="2"/>
            <w:r w:rsidRPr="002F1D56">
              <w:rPr>
                <w:rStyle w:val="Refdecomentario"/>
                <w:rFonts w:ascii="Times New Roman" w:eastAsia="Times New Roman" w:hAnsi="Times New Roman" w:cs="Times New Roman"/>
                <w:sz w:val="20"/>
                <w:szCs w:val="20"/>
                <w:lang w:val="es-CL" w:eastAsia="es-ES_tradnl"/>
              </w:rPr>
              <w:commentReference w:id="2"/>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s-CL"/>
              </w:rPr>
              <w:t>Psychiatric comorbidity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Daily.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564461C" w:rsidR="00410678" w:rsidRDefault="00410678" w:rsidP="00745DF7">
      <w:pPr>
        <w:ind w:right="-2"/>
        <w:rPr>
          <w:rFonts w:ascii="Times New Roman" w:hAnsi="Times New Roman" w:cs="Times New Roman"/>
          <w:b/>
          <w:bCs/>
          <w:sz w:val="24"/>
          <w:szCs w:val="28"/>
          <w:lang w:val="en-US"/>
        </w:rPr>
      </w:pPr>
      <w:r w:rsidRPr="002F1D56">
        <w:rPr>
          <w:rFonts w:ascii="Times New Roman" w:hAnsi="Times New Roman" w:cs="Times New Roman"/>
          <w:b/>
          <w:bCs/>
          <w:sz w:val="24"/>
          <w:szCs w:val="28"/>
          <w:lang w:val="en-US"/>
        </w:rPr>
        <w:t xml:space="preserve">Supplemental Section </w:t>
      </w:r>
      <w:r w:rsidR="00745DF7" w:rsidRPr="002F1D56">
        <w:rPr>
          <w:rFonts w:ascii="Times New Roman" w:hAnsi="Times New Roman" w:cs="Times New Roman"/>
          <w:b/>
          <w:bCs/>
          <w:sz w:val="24"/>
          <w:szCs w:val="28"/>
          <w:lang w:val="en-US"/>
        </w:rPr>
        <w:t>2</w:t>
      </w:r>
      <w:r w:rsidRPr="002F1D56">
        <w:rPr>
          <w:rFonts w:ascii="Times New Roman" w:hAnsi="Times New Roman" w:cs="Times New Roman"/>
          <w:b/>
          <w:bCs/>
          <w:sz w:val="24"/>
          <w:szCs w:val="28"/>
          <w:lang w:val="en-US"/>
        </w:rPr>
        <w:t xml:space="preserve">. </w:t>
      </w:r>
      <w:r w:rsidR="000D7704">
        <w:rPr>
          <w:rFonts w:ascii="Times New Roman" w:hAnsi="Times New Roman" w:cs="Times New Roman"/>
          <w:b/>
          <w:bCs/>
          <w:sz w:val="24"/>
          <w:szCs w:val="28"/>
          <w:lang w:val="en-US"/>
        </w:rPr>
        <w:t>Exploring data structure</w:t>
      </w:r>
      <w:r w:rsidR="0065310D">
        <w:rPr>
          <w:rFonts w:ascii="Times New Roman" w:hAnsi="Times New Roman" w:cs="Times New Roman"/>
          <w:b/>
          <w:bCs/>
          <w:sz w:val="24"/>
          <w:szCs w:val="28"/>
          <w:lang w:val="en-US"/>
        </w:rPr>
        <w:t xml:space="preserve"> and regularity of repeated observations</w:t>
      </w:r>
    </w:p>
    <w:p w14:paraId="028604A5" w14:textId="77777777"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 (</w:t>
      </w:r>
      <w:commentRangeStart w:id="3"/>
      <w:r w:rsidRPr="000D7704">
        <w:rPr>
          <w:rFonts w:ascii="Times New Roman" w:hAnsi="Times New Roman" w:cs="Times New Roman"/>
          <w:sz w:val="24"/>
          <w:szCs w:val="28"/>
          <w:lang w:val="en-US"/>
        </w:rPr>
        <w:t>Lokku</w:t>
      </w:r>
      <w:commentRangeEnd w:id="3"/>
      <w:r>
        <w:rPr>
          <w:rStyle w:val="Refdecomentario"/>
          <w:rFonts w:ascii="Times New Roman" w:eastAsia="Times New Roman" w:hAnsi="Times New Roman" w:cs="Times New Roman"/>
          <w:lang w:val="es-CL" w:eastAsia="es-ES_tradnl"/>
        </w:rPr>
        <w:commentReference w:id="3"/>
      </w:r>
      <w:r w:rsidRPr="000D7704">
        <w:rPr>
          <w:rFonts w:ascii="Times New Roman" w:hAnsi="Times New Roman" w:cs="Times New Roman"/>
          <w:sz w:val="24"/>
          <w:szCs w:val="28"/>
          <w:lang w:val="en-US"/>
        </w:rPr>
        <w:t xml:space="preserve"> et al., 2020).</w:t>
      </w:r>
      <w:r>
        <w:rPr>
          <w:rFonts w:ascii="Times New Roman" w:hAnsi="Times New Roman" w:cs="Times New Roman"/>
          <w:sz w:val="24"/>
          <w:szCs w:val="28"/>
          <w:lang w:val="en-US"/>
        </w:rPr>
        <w:t xml:space="preserve"> </w:t>
      </w:r>
    </w:p>
    <w:p w14:paraId="723E200D" w14:textId="31AFB88E"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047E9483"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5D16CA3F" w:rsidR="000D7704" w:rsidRPr="002F1D56" w:rsidRDefault="000D7704" w:rsidP="000D7704">
      <w:pPr>
        <w:ind w:right="-2"/>
        <w:rPr>
          <w:rFonts w:ascii="Times New Roman" w:hAnsi="Times New Roman" w:cs="Times New Roman"/>
          <w:b/>
          <w:bCs/>
          <w:sz w:val="24"/>
          <w:szCs w:val="28"/>
          <w:lang w:val="en-US"/>
        </w:rPr>
      </w:pPr>
      <w:r w:rsidRPr="002F1D56">
        <w:rPr>
          <w:rFonts w:ascii="Times New Roman" w:hAnsi="Times New Roman" w:cs="Times New Roman"/>
          <w:b/>
          <w:bCs/>
          <w:sz w:val="24"/>
          <w:szCs w:val="28"/>
          <w:lang w:val="en-US"/>
        </w:rPr>
        <w:t xml:space="preserve">Supplemental Section </w:t>
      </w:r>
      <w:r>
        <w:rPr>
          <w:rFonts w:ascii="Times New Roman" w:hAnsi="Times New Roman" w:cs="Times New Roman"/>
          <w:b/>
          <w:bCs/>
          <w:sz w:val="24"/>
          <w:szCs w:val="28"/>
          <w:lang w:val="en-US"/>
        </w:rPr>
        <w:t>3</w:t>
      </w:r>
      <w:r w:rsidRPr="002F1D56">
        <w:rPr>
          <w:rFonts w:ascii="Times New Roman" w:hAnsi="Times New Roman" w:cs="Times New Roman"/>
          <w:b/>
          <w:bCs/>
          <w:sz w:val="24"/>
          <w:szCs w:val="28"/>
          <w:lang w:val="en-US"/>
        </w:rPr>
        <w:t>. Counting process and alternative weighting schemes</w:t>
      </w:r>
    </w:p>
    <w:p w14:paraId="3281C123" w14:textId="365AC389"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 xml:space="preserve">Models such as marginal structural models, g-computation, and targeted maximum likelihood estimation assume that observation times and gaps between them are not informative of the outcome of interest (Pullenayegum et </w:t>
      </w:r>
      <w:commentRangeStart w:id="4"/>
      <w:r w:rsidRPr="008B6CB8">
        <w:rPr>
          <w:rFonts w:ascii="Times New Roman" w:hAnsi="Times New Roman" w:cs="Times New Roman"/>
          <w:sz w:val="24"/>
          <w:szCs w:val="28"/>
          <w:lang w:val="en-US"/>
        </w:rPr>
        <w:t>al</w:t>
      </w:r>
      <w:commentRangeEnd w:id="4"/>
      <w:r>
        <w:rPr>
          <w:rStyle w:val="Refdecomentario"/>
          <w:rFonts w:ascii="Times New Roman" w:eastAsia="Times New Roman" w:hAnsi="Times New Roman" w:cs="Times New Roman"/>
          <w:lang w:val="es-CL" w:eastAsia="es-ES_tradnl"/>
        </w:rPr>
        <w:commentReference w:id="4"/>
      </w:r>
      <w:r w:rsidRPr="008B6CB8">
        <w:rPr>
          <w:rFonts w:ascii="Times New Roman" w:hAnsi="Times New Roman" w:cs="Times New Roman"/>
          <w:sz w:val="24"/>
          <w:szCs w:val="28"/>
          <w:lang w:val="en-US"/>
        </w:rPr>
        <w:t xml:space="preserve">., 2023).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 (Pullenayegum</w:t>
      </w:r>
      <w:r>
        <w:rPr>
          <w:rFonts w:ascii="Times New Roman" w:hAnsi="Times New Roman" w:cs="Times New Roman"/>
          <w:sz w:val="24"/>
          <w:szCs w:val="28"/>
          <w:lang w:val="en-US"/>
        </w:rPr>
        <w:t xml:space="preserve"> et al</w:t>
      </w:r>
      <w:r w:rsidRPr="008B6CB8">
        <w:rPr>
          <w:rFonts w:ascii="Times New Roman" w:hAnsi="Times New Roman" w:cs="Times New Roman"/>
          <w:sz w:val="24"/>
          <w:szCs w:val="28"/>
          <w:lang w:val="en-US"/>
        </w:rPr>
        <w:t xml:space="preserve">, </w:t>
      </w:r>
      <w:commentRangeStart w:id="5"/>
      <w:r w:rsidRPr="008B6CB8">
        <w:rPr>
          <w:rFonts w:ascii="Times New Roman" w:hAnsi="Times New Roman" w:cs="Times New Roman"/>
          <w:sz w:val="24"/>
          <w:szCs w:val="28"/>
          <w:lang w:val="en-US"/>
        </w:rPr>
        <w:t>2022</w:t>
      </w:r>
      <w:commentRangeEnd w:id="5"/>
      <w:r>
        <w:rPr>
          <w:rStyle w:val="Refdecomentario"/>
          <w:rFonts w:ascii="Times New Roman" w:eastAsia="Times New Roman" w:hAnsi="Times New Roman" w:cs="Times New Roman"/>
          <w:lang w:val="es-CL" w:eastAsia="es-ES_tradnl"/>
        </w:rPr>
        <w:commentReference w:id="5"/>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Term</w:t>
            </w:r>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Previous biopsychosocial compromise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Previous treatment duration (&lt;90 days)</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Birth year</w:t>
            </w:r>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Primary substance (initial diagnosis), cocaine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Primary substance (initial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Psychiatric comorbidity (confirmed comorbidity)</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Occupational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Occupational status (unemployed)</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17F15E81"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p>
    <w:p w14:paraId="5DED684D" w14:textId="77777777" w:rsidR="0065310D" w:rsidRPr="000D7704" w:rsidRDefault="0065310D" w:rsidP="0065310D">
      <w:pPr>
        <w:ind w:right="-2"/>
        <w:rPr>
          <w:rFonts w:ascii="Times New Roman" w:hAnsi="Times New Roman" w:cs="Times New Roman"/>
          <w:sz w:val="24"/>
          <w:szCs w:val="28"/>
        </w:rPr>
      </w:pPr>
    </w:p>
    <w:p w14:paraId="4EDA3C22" w14:textId="6C056F15"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To tackle potential violations of the proportional hazards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'survSplit'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et al. </w:t>
      </w:r>
      <w:commentRangeStart w:id="6"/>
      <w:r w:rsidRPr="002F1D56">
        <w:rPr>
          <w:rFonts w:ascii="Times New Roman" w:hAnsi="Times New Roman" w:cs="Times New Roman"/>
          <w:sz w:val="24"/>
          <w:szCs w:val="28"/>
          <w:lang w:val="en-US"/>
        </w:rPr>
        <w:t>(2005)</w:t>
      </w:r>
      <w:commentRangeEnd w:id="6"/>
      <w:r w:rsidRPr="002F1D56">
        <w:rPr>
          <w:rStyle w:val="Refdecomentario"/>
          <w:rFonts w:ascii="Times New Roman" w:eastAsia="Times New Roman" w:hAnsi="Times New Roman" w:cs="Times New Roman"/>
          <w:sz w:val="20"/>
          <w:szCs w:val="20"/>
          <w:lang w:val="es-CL" w:eastAsia="es-ES_tradnl"/>
        </w:rPr>
        <w:commentReference w:id="6"/>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7" w:name="_Hlk166684082"/>
      <w:r w:rsidRPr="002F1D56">
        <w:rPr>
          <w:rFonts w:ascii="Times New Roman" w:hAnsi="Times New Roman" w:cs="Times New Roman"/>
          <w:sz w:val="24"/>
          <w:szCs w:val="28"/>
          <w:lang w:val="en-US"/>
        </w:rPr>
        <w:t>Previous treatment duration in logarithmic scaled days</w:t>
      </w:r>
      <w:bookmarkEnd w:id="7"/>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21A2754C"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 xml:space="preserve">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w:t>
      </w:r>
      <w:commentRangeStart w:id="8"/>
      <w:commentRangeStart w:id="9"/>
      <w:r w:rsidRPr="002F1D56">
        <w:rPr>
          <w:rFonts w:ascii="Times New Roman" w:hAnsi="Times New Roman" w:cs="Times New Roman"/>
          <w:sz w:val="24"/>
          <w:szCs w:val="28"/>
          <w:lang w:val="en-US"/>
        </w:rPr>
        <w:t>hazards</w:t>
      </w:r>
      <w:commentRangeEnd w:id="8"/>
      <w:r w:rsidRPr="002F1D56">
        <w:rPr>
          <w:rStyle w:val="Refdecomentario"/>
          <w:rFonts w:ascii="Times New Roman" w:eastAsia="Times New Roman" w:hAnsi="Times New Roman" w:cs="Times New Roman"/>
          <w:sz w:val="20"/>
          <w:szCs w:val="20"/>
          <w:lang w:val="es-CL" w:eastAsia="es-ES_tradnl"/>
        </w:rPr>
        <w:commentReference w:id="8"/>
      </w:r>
      <w:commentRangeEnd w:id="9"/>
      <w:r w:rsidR="00650E6B" w:rsidRPr="002F1D56">
        <w:rPr>
          <w:rStyle w:val="Refdecomentario"/>
          <w:rFonts w:ascii="Times New Roman" w:eastAsia="Times New Roman" w:hAnsi="Times New Roman" w:cs="Times New Roman"/>
          <w:sz w:val="20"/>
          <w:szCs w:val="20"/>
          <w:lang w:val="es-CL" w:eastAsia="es-ES_tradnl"/>
        </w:rPr>
        <w:commentReference w:id="9"/>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Term</w:t>
            </w:r>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HR (95% CI) lag=0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HR (95% CI) lag=1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Previous treatment duration (&lt;90 days)</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Previous biopsychosocial compromise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Birth year</w:t>
            </w:r>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Primary substance (initial diagnosis), cocaine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Primary substance (initial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Psychiatric comorbidity (confirmed comorbidity)</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Occupational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Occupational status (unemployed)</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241" w:type="dxa"/>
        <w:tblBorders>
          <w:bottom w:val="single" w:sz="4" w:space="0" w:color="auto"/>
        </w:tblBorders>
        <w:tblCellMar>
          <w:left w:w="70" w:type="dxa"/>
          <w:right w:w="70" w:type="dxa"/>
        </w:tblCellMar>
        <w:tblLook w:val="04A0" w:firstRow="1" w:lastRow="0" w:firstColumn="1" w:lastColumn="0" w:noHBand="0" w:noVBand="1"/>
      </w:tblPr>
      <w:tblGrid>
        <w:gridCol w:w="5954"/>
        <w:gridCol w:w="776"/>
        <w:gridCol w:w="1634"/>
        <w:gridCol w:w="866"/>
        <w:gridCol w:w="717"/>
        <w:gridCol w:w="1677"/>
        <w:gridCol w:w="623"/>
      </w:tblGrid>
      <w:tr w:rsidR="00435289" w:rsidRPr="002F1D56" w14:paraId="2B0FBEE0" w14:textId="77777777" w:rsidTr="005A5AE1">
        <w:trPr>
          <w:trHeight w:val="300"/>
        </w:trPr>
        <w:tc>
          <w:tcPr>
            <w:tcW w:w="5954" w:type="dxa"/>
            <w:tcBorders>
              <w:top w:val="single" w:sz="4" w:space="0" w:color="auto"/>
              <w:bottom w:val="single" w:sz="4" w:space="0" w:color="auto"/>
            </w:tcBorders>
            <w:shd w:val="clear" w:color="auto" w:fill="auto"/>
            <w:noWrap/>
            <w:vAlign w:val="bottom"/>
            <w:hideMark/>
          </w:tcPr>
          <w:p w14:paraId="033A4914" w14:textId="4FCE4B89"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Visit intensity model</w:t>
            </w:r>
          </w:p>
        </w:tc>
        <w:tc>
          <w:tcPr>
            <w:tcW w:w="776" w:type="dxa"/>
            <w:tcBorders>
              <w:top w:val="single" w:sz="4" w:space="0" w:color="auto"/>
              <w:bottom w:val="single" w:sz="4" w:space="0" w:color="auto"/>
            </w:tcBorders>
            <w:shd w:val="clear" w:color="auto" w:fill="auto"/>
            <w:noWrap/>
            <w:vAlign w:val="bottom"/>
            <w:hideMark/>
          </w:tcPr>
          <w:p w14:paraId="6E1227A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634" w:type="dxa"/>
            <w:tcBorders>
              <w:top w:val="single" w:sz="4" w:space="0" w:color="auto"/>
              <w:bottom w:val="single" w:sz="4" w:space="0" w:color="auto"/>
            </w:tcBorders>
            <w:shd w:val="clear" w:color="auto" w:fill="auto"/>
            <w:noWrap/>
            <w:vAlign w:val="bottom"/>
            <w:hideMark/>
          </w:tcPr>
          <w:p w14:paraId="4987418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First quartile</w:t>
            </w:r>
          </w:p>
        </w:tc>
        <w:tc>
          <w:tcPr>
            <w:tcW w:w="866" w:type="dxa"/>
            <w:tcBorders>
              <w:top w:val="single" w:sz="4" w:space="0" w:color="auto"/>
              <w:bottom w:val="single" w:sz="4" w:space="0" w:color="auto"/>
            </w:tcBorders>
            <w:shd w:val="clear" w:color="auto" w:fill="auto"/>
            <w:noWrap/>
            <w:vAlign w:val="bottom"/>
            <w:hideMark/>
          </w:tcPr>
          <w:p w14:paraId="64E8BF90"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717" w:type="dxa"/>
            <w:tcBorders>
              <w:top w:val="single" w:sz="4" w:space="0" w:color="auto"/>
              <w:bottom w:val="single" w:sz="4" w:space="0" w:color="auto"/>
            </w:tcBorders>
            <w:shd w:val="clear" w:color="auto" w:fill="auto"/>
            <w:noWrap/>
            <w:vAlign w:val="bottom"/>
            <w:hideMark/>
          </w:tcPr>
          <w:p w14:paraId="5009DF03"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77" w:type="dxa"/>
            <w:tcBorders>
              <w:top w:val="single" w:sz="4" w:space="0" w:color="auto"/>
              <w:bottom w:val="single" w:sz="4" w:space="0" w:color="auto"/>
            </w:tcBorders>
            <w:shd w:val="clear" w:color="auto" w:fill="auto"/>
            <w:noWrap/>
            <w:vAlign w:val="bottom"/>
            <w:hideMark/>
          </w:tcPr>
          <w:p w14:paraId="25BD5EEB"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Third quartile</w:t>
            </w:r>
          </w:p>
        </w:tc>
        <w:tc>
          <w:tcPr>
            <w:tcW w:w="617" w:type="dxa"/>
            <w:tcBorders>
              <w:top w:val="single" w:sz="4" w:space="0" w:color="auto"/>
              <w:bottom w:val="single" w:sz="4" w:space="0" w:color="auto"/>
            </w:tcBorders>
            <w:shd w:val="clear" w:color="auto" w:fill="auto"/>
            <w:noWrap/>
            <w:vAlign w:val="bottom"/>
            <w:hideMark/>
          </w:tcPr>
          <w:p w14:paraId="6CEF1544"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35289" w:rsidRPr="002F1D56" w14:paraId="0CA5339C" w14:textId="77777777" w:rsidTr="005A5AE1">
        <w:trPr>
          <w:trHeight w:val="300"/>
        </w:trPr>
        <w:tc>
          <w:tcPr>
            <w:tcW w:w="5954" w:type="dxa"/>
            <w:tcBorders>
              <w:top w:val="single" w:sz="4" w:space="0" w:color="auto"/>
            </w:tcBorders>
            <w:shd w:val="clear" w:color="auto" w:fill="auto"/>
            <w:noWrap/>
            <w:vAlign w:val="bottom"/>
            <w:hideMark/>
          </w:tcPr>
          <w:p w14:paraId="161A63E1" w14:textId="208B9DDC"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covariates</w:t>
            </w:r>
            <w:r w:rsidRPr="002F1D56">
              <w:rPr>
                <w:rFonts w:ascii="Times New Roman" w:eastAsia="Times New Roman" w:hAnsi="Times New Roman" w:cs="Times New Roman"/>
                <w:color w:val="000000"/>
                <w:sz w:val="22"/>
                <w:lang w:val="en-US" w:eastAsia="es-CL"/>
              </w:rPr>
              <w:t xml:space="preserve"> fixed in 0</w:t>
            </w:r>
          </w:p>
        </w:tc>
        <w:tc>
          <w:tcPr>
            <w:tcW w:w="776" w:type="dxa"/>
            <w:tcBorders>
              <w:top w:val="single" w:sz="4" w:space="0" w:color="auto"/>
            </w:tcBorders>
            <w:shd w:val="clear" w:color="auto" w:fill="auto"/>
            <w:noWrap/>
            <w:vAlign w:val="bottom"/>
            <w:hideMark/>
          </w:tcPr>
          <w:p w14:paraId="0D7673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634" w:type="dxa"/>
            <w:tcBorders>
              <w:top w:val="single" w:sz="4" w:space="0" w:color="auto"/>
            </w:tcBorders>
            <w:shd w:val="clear" w:color="auto" w:fill="auto"/>
            <w:noWrap/>
            <w:vAlign w:val="bottom"/>
            <w:hideMark/>
          </w:tcPr>
          <w:p w14:paraId="14406B8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6" w:type="dxa"/>
            <w:tcBorders>
              <w:top w:val="single" w:sz="4" w:space="0" w:color="auto"/>
            </w:tcBorders>
            <w:shd w:val="clear" w:color="auto" w:fill="auto"/>
            <w:noWrap/>
            <w:vAlign w:val="bottom"/>
            <w:hideMark/>
          </w:tcPr>
          <w:p w14:paraId="0669A59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717" w:type="dxa"/>
            <w:tcBorders>
              <w:top w:val="single" w:sz="4" w:space="0" w:color="auto"/>
            </w:tcBorders>
            <w:shd w:val="clear" w:color="auto" w:fill="auto"/>
            <w:noWrap/>
            <w:vAlign w:val="bottom"/>
            <w:hideMark/>
          </w:tcPr>
          <w:p w14:paraId="1E021DE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77" w:type="dxa"/>
            <w:tcBorders>
              <w:top w:val="single" w:sz="4" w:space="0" w:color="auto"/>
            </w:tcBorders>
            <w:shd w:val="clear" w:color="auto" w:fill="auto"/>
            <w:noWrap/>
            <w:vAlign w:val="bottom"/>
            <w:hideMark/>
          </w:tcPr>
          <w:p w14:paraId="5242A39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17" w:type="dxa"/>
            <w:tcBorders>
              <w:top w:val="single" w:sz="4" w:space="0" w:color="auto"/>
            </w:tcBorders>
            <w:shd w:val="clear" w:color="auto" w:fill="auto"/>
            <w:noWrap/>
            <w:vAlign w:val="bottom"/>
            <w:hideMark/>
          </w:tcPr>
          <w:p w14:paraId="618A2B1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35289" w:rsidRPr="002F1D56" w14:paraId="207842C1" w14:textId="77777777" w:rsidTr="005A5AE1">
        <w:trPr>
          <w:trHeight w:val="300"/>
        </w:trPr>
        <w:tc>
          <w:tcPr>
            <w:tcW w:w="5954" w:type="dxa"/>
            <w:shd w:val="clear" w:color="auto" w:fill="auto"/>
            <w:noWrap/>
            <w:vAlign w:val="bottom"/>
            <w:hideMark/>
          </w:tcPr>
          <w:p w14:paraId="38B99800" w14:textId="73D341F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430917E9"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634" w:type="dxa"/>
            <w:shd w:val="clear" w:color="auto" w:fill="auto"/>
            <w:noWrap/>
            <w:vAlign w:val="bottom"/>
            <w:hideMark/>
          </w:tcPr>
          <w:p w14:paraId="4EE70C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6" w:type="dxa"/>
            <w:shd w:val="clear" w:color="auto" w:fill="auto"/>
            <w:noWrap/>
            <w:vAlign w:val="bottom"/>
            <w:hideMark/>
          </w:tcPr>
          <w:p w14:paraId="10CFCAD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717" w:type="dxa"/>
            <w:shd w:val="clear" w:color="auto" w:fill="auto"/>
            <w:noWrap/>
            <w:vAlign w:val="bottom"/>
            <w:hideMark/>
          </w:tcPr>
          <w:p w14:paraId="0EA4ED3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77" w:type="dxa"/>
            <w:shd w:val="clear" w:color="auto" w:fill="auto"/>
            <w:noWrap/>
            <w:vAlign w:val="bottom"/>
            <w:hideMark/>
          </w:tcPr>
          <w:p w14:paraId="682D851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17" w:type="dxa"/>
            <w:shd w:val="clear" w:color="auto" w:fill="auto"/>
            <w:noWrap/>
            <w:vAlign w:val="bottom"/>
            <w:hideMark/>
          </w:tcPr>
          <w:p w14:paraId="3558887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35289" w:rsidRPr="002F1D56" w14:paraId="5BD9CAE1" w14:textId="77777777" w:rsidTr="005A5AE1">
        <w:trPr>
          <w:trHeight w:val="300"/>
        </w:trPr>
        <w:tc>
          <w:tcPr>
            <w:tcW w:w="5954" w:type="dxa"/>
            <w:shd w:val="clear" w:color="auto" w:fill="auto"/>
            <w:noWrap/>
            <w:vAlign w:val="bottom"/>
            <w:hideMark/>
          </w:tcPr>
          <w:p w14:paraId="40A5B3D0" w14:textId="16AF3FF0"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2FF01A4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634" w:type="dxa"/>
            <w:shd w:val="clear" w:color="auto" w:fill="auto"/>
            <w:noWrap/>
            <w:vAlign w:val="bottom"/>
            <w:hideMark/>
          </w:tcPr>
          <w:p w14:paraId="292C652B"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6" w:type="dxa"/>
            <w:shd w:val="clear" w:color="auto" w:fill="auto"/>
            <w:noWrap/>
            <w:vAlign w:val="bottom"/>
            <w:hideMark/>
          </w:tcPr>
          <w:p w14:paraId="2731DA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717" w:type="dxa"/>
            <w:shd w:val="clear" w:color="auto" w:fill="auto"/>
            <w:noWrap/>
            <w:vAlign w:val="bottom"/>
            <w:hideMark/>
          </w:tcPr>
          <w:p w14:paraId="3E98E72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77" w:type="dxa"/>
            <w:shd w:val="clear" w:color="auto" w:fill="auto"/>
            <w:noWrap/>
            <w:vAlign w:val="bottom"/>
            <w:hideMark/>
          </w:tcPr>
          <w:p w14:paraId="0AE7830E"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17" w:type="dxa"/>
            <w:shd w:val="clear" w:color="auto" w:fill="auto"/>
            <w:noWrap/>
            <w:vAlign w:val="bottom"/>
            <w:hideMark/>
          </w:tcPr>
          <w:p w14:paraId="6E9B6E0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35289" w:rsidRPr="002F1D56" w14:paraId="1D22CCA5" w14:textId="77777777" w:rsidTr="005A5AE1">
        <w:trPr>
          <w:trHeight w:val="300"/>
        </w:trPr>
        <w:tc>
          <w:tcPr>
            <w:tcW w:w="5954" w:type="dxa"/>
            <w:shd w:val="clear" w:color="auto" w:fill="auto"/>
            <w:noWrap/>
            <w:vAlign w:val="bottom"/>
            <w:hideMark/>
          </w:tcPr>
          <w:p w14:paraId="4D48F1C7" w14:textId="484D38E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0270498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634" w:type="dxa"/>
            <w:shd w:val="clear" w:color="auto" w:fill="auto"/>
            <w:noWrap/>
            <w:vAlign w:val="bottom"/>
            <w:hideMark/>
          </w:tcPr>
          <w:p w14:paraId="28C222B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6" w:type="dxa"/>
            <w:shd w:val="clear" w:color="auto" w:fill="auto"/>
            <w:noWrap/>
            <w:vAlign w:val="bottom"/>
            <w:hideMark/>
          </w:tcPr>
          <w:p w14:paraId="3ABA18A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717" w:type="dxa"/>
            <w:shd w:val="clear" w:color="auto" w:fill="auto"/>
            <w:noWrap/>
            <w:vAlign w:val="bottom"/>
            <w:hideMark/>
          </w:tcPr>
          <w:p w14:paraId="104F9C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77" w:type="dxa"/>
            <w:shd w:val="clear" w:color="auto" w:fill="auto"/>
            <w:noWrap/>
            <w:vAlign w:val="bottom"/>
            <w:hideMark/>
          </w:tcPr>
          <w:p w14:paraId="593A579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17" w:type="dxa"/>
            <w:shd w:val="clear" w:color="auto" w:fill="auto"/>
            <w:noWrap/>
            <w:vAlign w:val="bottom"/>
            <w:hideMark/>
          </w:tcPr>
          <w:p w14:paraId="2E3E0A6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35289" w:rsidRPr="002F1D56" w14:paraId="6A5D88CC" w14:textId="77777777" w:rsidTr="005A5AE1">
        <w:trPr>
          <w:trHeight w:val="300"/>
        </w:trPr>
        <w:tc>
          <w:tcPr>
            <w:tcW w:w="5954" w:type="dxa"/>
            <w:shd w:val="clear" w:color="auto" w:fill="auto"/>
            <w:noWrap/>
            <w:vAlign w:val="bottom"/>
            <w:hideMark/>
          </w:tcPr>
          <w:p w14:paraId="5B118FA3" w14:textId="14068D11"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4BC034C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634" w:type="dxa"/>
            <w:shd w:val="clear" w:color="auto" w:fill="auto"/>
            <w:noWrap/>
            <w:vAlign w:val="bottom"/>
            <w:hideMark/>
          </w:tcPr>
          <w:p w14:paraId="27B6C5D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6" w:type="dxa"/>
            <w:shd w:val="clear" w:color="auto" w:fill="auto"/>
            <w:noWrap/>
            <w:vAlign w:val="bottom"/>
            <w:hideMark/>
          </w:tcPr>
          <w:p w14:paraId="29CF83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717" w:type="dxa"/>
            <w:shd w:val="clear" w:color="auto" w:fill="auto"/>
            <w:noWrap/>
            <w:vAlign w:val="bottom"/>
            <w:hideMark/>
          </w:tcPr>
          <w:p w14:paraId="18F55FA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77" w:type="dxa"/>
            <w:shd w:val="clear" w:color="auto" w:fill="auto"/>
            <w:noWrap/>
            <w:vAlign w:val="bottom"/>
            <w:hideMark/>
          </w:tcPr>
          <w:p w14:paraId="186472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17" w:type="dxa"/>
            <w:shd w:val="clear" w:color="auto" w:fill="auto"/>
            <w:noWrap/>
            <w:vAlign w:val="bottom"/>
            <w:hideMark/>
          </w:tcPr>
          <w:p w14:paraId="6081B08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35289" w:rsidRPr="002F1D56" w14:paraId="1EEE055B" w14:textId="77777777" w:rsidTr="005A5AE1">
        <w:trPr>
          <w:trHeight w:val="300"/>
        </w:trPr>
        <w:tc>
          <w:tcPr>
            <w:tcW w:w="5954" w:type="dxa"/>
            <w:shd w:val="clear" w:color="auto" w:fill="auto"/>
            <w:noWrap/>
            <w:vAlign w:val="bottom"/>
            <w:hideMark/>
          </w:tcPr>
          <w:p w14:paraId="2155F9F0" w14:textId="2EA32FEE"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7A62416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634" w:type="dxa"/>
            <w:shd w:val="clear" w:color="auto" w:fill="auto"/>
            <w:noWrap/>
            <w:vAlign w:val="bottom"/>
            <w:hideMark/>
          </w:tcPr>
          <w:p w14:paraId="2673143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6" w:type="dxa"/>
            <w:shd w:val="clear" w:color="auto" w:fill="auto"/>
            <w:noWrap/>
            <w:vAlign w:val="bottom"/>
            <w:hideMark/>
          </w:tcPr>
          <w:p w14:paraId="27DC0E27"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717" w:type="dxa"/>
            <w:shd w:val="clear" w:color="auto" w:fill="auto"/>
            <w:noWrap/>
            <w:vAlign w:val="bottom"/>
            <w:hideMark/>
          </w:tcPr>
          <w:p w14:paraId="4017A52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77" w:type="dxa"/>
            <w:shd w:val="clear" w:color="auto" w:fill="auto"/>
            <w:noWrap/>
            <w:vAlign w:val="bottom"/>
            <w:hideMark/>
          </w:tcPr>
          <w:p w14:paraId="6628228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17" w:type="dxa"/>
            <w:shd w:val="clear" w:color="auto" w:fill="auto"/>
            <w:noWrap/>
            <w:vAlign w:val="bottom"/>
            <w:hideMark/>
          </w:tcPr>
          <w:p w14:paraId="2CC1B94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1698B8F" w:rsidR="00410678" w:rsidRPr="002F1D56" w:rsidRDefault="00410678" w:rsidP="00745DF7">
      <w:pPr>
        <w:ind w:right="-2"/>
        <w:rPr>
          <w:rFonts w:ascii="Times New Roman" w:hAnsi="Times New Roman" w:cs="Times New Roman"/>
          <w:b/>
          <w:bCs/>
          <w:sz w:val="24"/>
          <w:szCs w:val="28"/>
        </w:rPr>
      </w:pPr>
      <w:r w:rsidRPr="002F1D56">
        <w:rPr>
          <w:rFonts w:ascii="Times New Roman" w:hAnsi="Times New Roman" w:cs="Times New Roman"/>
          <w:b/>
          <w:bCs/>
          <w:sz w:val="24"/>
          <w:szCs w:val="28"/>
        </w:rPr>
        <w:lastRenderedPageBreak/>
        <w:t xml:space="preserve">Supplemental Section </w:t>
      </w:r>
      <w:r w:rsidR="000D7704">
        <w:rPr>
          <w:rFonts w:ascii="Times New Roman" w:hAnsi="Times New Roman" w:cs="Times New Roman"/>
          <w:b/>
          <w:bCs/>
          <w:sz w:val="24"/>
          <w:szCs w:val="28"/>
        </w:rPr>
        <w:t>4</w:t>
      </w:r>
      <w:r w:rsidRPr="002F1D56">
        <w:rPr>
          <w:rFonts w:ascii="Times New Roman" w:hAnsi="Times New Roman" w:cs="Times New Roman"/>
          <w:b/>
          <w:bCs/>
          <w:sz w:val="24"/>
          <w:szCs w:val="28"/>
        </w:rPr>
        <w:t>. Model selection, alternatives accounting for overdispersion</w:t>
      </w:r>
    </w:p>
    <w:p w14:paraId="01CD6526" w14:textId="345FD1F3" w:rsidR="00FC391E"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 xml:space="preserve">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0.1 to </w:t>
      </w:r>
      <m:oMath>
        <m:r>
          <w:rPr>
            <w:rFonts w:ascii="Cambria Math" w:hAnsi="Cambria Math" w:cs="Times New Roman"/>
            <w:sz w:val="24"/>
            <w:szCs w:val="28"/>
          </w:rPr>
          <m:t>16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5</m:t>
            </m:r>
          </m:sup>
        </m:sSup>
      </m:oMath>
      <w:r w:rsidRPr="002F1D56">
        <w:rPr>
          <w:rFonts w:ascii="Times New Roman" w:eastAsiaTheme="minorEastAsia" w:hAnsi="Times New Roman" w:cs="Times New Roman"/>
          <w:sz w:val="24"/>
          <w:szCs w:val="28"/>
        </w:rPr>
        <w:t xml:space="preserve"> and incrementing by 1,000. After finding an optimal value</w:t>
      </w:r>
      <w:r w:rsidRPr="002F1D56">
        <w:rPr>
          <w:rFonts w:ascii="Times New Roman" w:hAnsi="Times New Roman" w:cs="Times New Roman"/>
          <w:sz w:val="24"/>
          <w:szCs w:val="28"/>
        </w:rPr>
        <w:t xml:space="preserve">, a range of values from </w:t>
      </w:r>
      <m:oMath>
        <m:r>
          <w:rPr>
            <w:rFonts w:ascii="Cambria Math" w:hAnsi="Cambria Math" w:cs="Times New Roman"/>
            <w:sz w:val="24"/>
            <w:szCs w:val="28"/>
          </w:rPr>
          <m:t>158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hAnsi="Times New Roman" w:cs="Times New Roman"/>
          <w:sz w:val="24"/>
          <w:szCs w:val="28"/>
        </w:rPr>
        <w:t xml:space="preserve"> to </w:t>
      </w:r>
      <m:oMath>
        <m:r>
          <w:rPr>
            <w:rFonts w:ascii="Cambria Math" w:hAnsi="Cambria Math" w:cs="Times New Roman"/>
            <w:sz w:val="24"/>
            <w:szCs w:val="28"/>
          </w:rPr>
          <m:t>159×</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eastAsiaTheme="minorEastAsia" w:hAnsi="Times New Roman" w:cs="Times New Roman"/>
          <w:sz w:val="24"/>
          <w:szCs w:val="28"/>
        </w:rPr>
        <w:t xml:space="preserve"> </w:t>
      </w:r>
      <w:r w:rsidRPr="002F1D56">
        <w:rPr>
          <w:rFonts w:ascii="Times New Roman" w:hAnsi="Times New Roman" w:cs="Times New Roman"/>
          <w:sz w:val="24"/>
          <w:szCs w:val="28"/>
        </w:rPr>
        <w:t>incrementing by 100 were tested. Both Poisson and negative binomial models were compared using Quasi-likelihood Information criterion (QIC), a measure similar to Akaike Information Criterion for generalized estimating equations. The model that best fit the data (lowest QIC values) was selected based on this comparison. This approach highlights the methodology used to ascertain the presence of overdispersion and to determine the most suitable statistical model for handling such data deviations</w:t>
      </w:r>
      <w:commentRangeStart w:id="10"/>
      <w:r w:rsidRPr="002F1D56">
        <w:rPr>
          <w:rFonts w:ascii="Times New Roman" w:hAnsi="Times New Roman" w:cs="Times New Roman"/>
          <w:sz w:val="24"/>
          <w:szCs w:val="28"/>
        </w:rPr>
        <w:t>.</w:t>
      </w:r>
      <w:commentRangeEnd w:id="10"/>
      <w:r w:rsidRPr="002F1D56">
        <w:rPr>
          <w:rStyle w:val="Refdecomentario"/>
          <w:rFonts w:ascii="Times New Roman" w:eastAsia="Times New Roman" w:hAnsi="Times New Roman" w:cs="Times New Roman"/>
          <w:sz w:val="20"/>
          <w:szCs w:val="20"/>
          <w:lang w:val="es-CL" w:eastAsia="es-ES_tradnl"/>
        </w:rPr>
        <w:commentReference w:id="10"/>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5"/>
        <w:gridCol w:w="1020"/>
        <w:gridCol w:w="1814"/>
        <w:gridCol w:w="854"/>
      </w:tblGrid>
      <w:tr w:rsidR="00F33019" w:rsidRPr="00CC1970" w14:paraId="1122BD6E" w14:textId="77777777" w:rsidTr="00801D0D">
        <w:trPr>
          <w:trHeight w:val="57"/>
        </w:trPr>
        <w:tc>
          <w:tcPr>
            <w:tcW w:w="4678" w:type="dxa"/>
            <w:tcBorders>
              <w:top w:val="single" w:sz="4" w:space="0" w:color="auto"/>
              <w:bottom w:val="single" w:sz="4" w:space="0" w:color="auto"/>
            </w:tcBorders>
            <w:noWrap/>
            <w:vAlign w:val="center"/>
            <w:hideMark/>
          </w:tcPr>
          <w:p w14:paraId="22B3C337" w14:textId="174F423A" w:rsidR="001974E4" w:rsidRPr="00CC1970" w:rsidRDefault="001974E4" w:rsidP="00F33019">
            <w:pPr>
              <w:ind w:right="-2"/>
              <w:jc w:val="center"/>
              <w:rPr>
                <w:rFonts w:ascii="Times New Roman" w:hAnsi="Times New Roman" w:cs="Times New Roman"/>
                <w:b/>
                <w:bCs/>
                <w:sz w:val="22"/>
                <w:lang w:val="es-CL"/>
              </w:rPr>
            </w:pPr>
            <w:r w:rsidRPr="00CC1970">
              <w:rPr>
                <w:rFonts w:ascii="Times New Roman" w:hAnsi="Times New Roman" w:cs="Times New Roman"/>
                <w:b/>
                <w:bCs/>
                <w:sz w:val="22"/>
              </w:rPr>
              <w:t>Treatment setting</w:t>
            </w:r>
          </w:p>
        </w:tc>
        <w:tc>
          <w:tcPr>
            <w:tcW w:w="4535" w:type="dxa"/>
            <w:tcBorders>
              <w:top w:val="single" w:sz="4" w:space="0" w:color="auto"/>
              <w:bottom w:val="single" w:sz="4" w:space="0" w:color="auto"/>
            </w:tcBorders>
            <w:noWrap/>
            <w:vAlign w:val="center"/>
            <w:hideMark/>
          </w:tcPr>
          <w:p w14:paraId="6554E381" w14:textId="37836DB3" w:rsidR="001974E4" w:rsidRPr="00CC1970" w:rsidRDefault="00F33019" w:rsidP="00F33019">
            <w:pPr>
              <w:ind w:right="-2"/>
              <w:jc w:val="center"/>
              <w:rPr>
                <w:rFonts w:ascii="Times New Roman" w:hAnsi="Times New Roman" w:cs="Times New Roman"/>
                <w:b/>
                <w:bCs/>
                <w:sz w:val="22"/>
              </w:rPr>
            </w:pPr>
            <w:r w:rsidRPr="00CC1970">
              <w:rPr>
                <w:rFonts w:ascii="Times New Roman" w:hAnsi="Times New Roman" w:cs="Times New Roman"/>
                <w:b/>
                <w:bCs/>
                <w:sz w:val="22"/>
              </w:rPr>
              <w:t>M</w:t>
            </w:r>
            <w:r w:rsidR="001974E4" w:rsidRPr="00CC1970">
              <w:rPr>
                <w:rFonts w:ascii="Times New Roman" w:hAnsi="Times New Roman" w:cs="Times New Roman"/>
                <w:b/>
                <w:bCs/>
                <w:sz w:val="22"/>
              </w:rPr>
              <w:t>odel</w:t>
            </w:r>
          </w:p>
        </w:tc>
        <w:tc>
          <w:tcPr>
            <w:tcW w:w="1020" w:type="dxa"/>
            <w:tcBorders>
              <w:top w:val="single" w:sz="4" w:space="0" w:color="auto"/>
              <w:bottom w:val="single" w:sz="4" w:space="0" w:color="auto"/>
            </w:tcBorders>
            <w:noWrap/>
            <w:vAlign w:val="center"/>
            <w:hideMark/>
          </w:tcPr>
          <w:p w14:paraId="04A8B37E"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814" w:type="dxa"/>
            <w:tcBorders>
              <w:top w:val="single" w:sz="4" w:space="0" w:color="auto"/>
              <w:bottom w:val="single" w:sz="4" w:space="0" w:color="auto"/>
            </w:tcBorders>
            <w:noWrap/>
            <w:vAlign w:val="center"/>
            <w:hideMark/>
          </w:tcPr>
          <w:p w14:paraId="56FAA444"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54" w:type="dxa"/>
            <w:tcBorders>
              <w:top w:val="single" w:sz="4" w:space="0" w:color="auto"/>
              <w:bottom w:val="single" w:sz="4" w:space="0" w:color="auto"/>
            </w:tcBorders>
            <w:noWrap/>
            <w:vAlign w:val="center"/>
            <w:hideMark/>
          </w:tcPr>
          <w:p w14:paraId="687CA715"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F33019" w:rsidRPr="00CC1970" w14:paraId="2F862BF5" w14:textId="77777777" w:rsidTr="00801D0D">
        <w:trPr>
          <w:trHeight w:val="57"/>
        </w:trPr>
        <w:tc>
          <w:tcPr>
            <w:tcW w:w="4678" w:type="dxa"/>
            <w:tcBorders>
              <w:top w:val="single" w:sz="4" w:space="0" w:color="auto"/>
            </w:tcBorders>
            <w:noWrap/>
            <w:vAlign w:val="center"/>
          </w:tcPr>
          <w:p w14:paraId="55E1F7DF" w14:textId="54DF1F6D"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4535" w:type="dxa"/>
            <w:tcBorders>
              <w:top w:val="single" w:sz="4" w:space="0" w:color="auto"/>
            </w:tcBorders>
            <w:noWrap/>
            <w:vAlign w:val="center"/>
          </w:tcPr>
          <w:p w14:paraId="58EF16DA" w14:textId="77777777" w:rsidR="001974E4" w:rsidRPr="00CC1970" w:rsidRDefault="001974E4" w:rsidP="00F33019">
            <w:pPr>
              <w:ind w:right="-2"/>
              <w:jc w:val="left"/>
              <w:rPr>
                <w:rFonts w:ascii="Times New Roman" w:hAnsi="Times New Roman" w:cs="Times New Roman"/>
                <w:b/>
                <w:bCs/>
                <w:sz w:val="22"/>
              </w:rPr>
            </w:pPr>
          </w:p>
        </w:tc>
        <w:tc>
          <w:tcPr>
            <w:tcW w:w="1020" w:type="dxa"/>
            <w:tcBorders>
              <w:top w:val="single" w:sz="4" w:space="0" w:color="auto"/>
            </w:tcBorders>
            <w:noWrap/>
            <w:vAlign w:val="center"/>
          </w:tcPr>
          <w:p w14:paraId="674C9829" w14:textId="77777777" w:rsidR="001974E4" w:rsidRPr="00CC1970" w:rsidRDefault="001974E4" w:rsidP="00F33019">
            <w:pPr>
              <w:ind w:right="-2"/>
              <w:jc w:val="right"/>
              <w:rPr>
                <w:rFonts w:ascii="Times New Roman" w:hAnsi="Times New Roman" w:cs="Times New Roman"/>
                <w:b/>
                <w:bCs/>
                <w:sz w:val="22"/>
              </w:rPr>
            </w:pPr>
          </w:p>
        </w:tc>
        <w:tc>
          <w:tcPr>
            <w:tcW w:w="1814" w:type="dxa"/>
            <w:tcBorders>
              <w:top w:val="single" w:sz="4" w:space="0" w:color="auto"/>
            </w:tcBorders>
            <w:noWrap/>
            <w:vAlign w:val="center"/>
          </w:tcPr>
          <w:p w14:paraId="00765D7A" w14:textId="77777777" w:rsidR="001974E4" w:rsidRPr="00CC1970" w:rsidRDefault="001974E4" w:rsidP="00F33019">
            <w:pPr>
              <w:ind w:right="-2"/>
              <w:jc w:val="right"/>
              <w:rPr>
                <w:rFonts w:ascii="Times New Roman" w:hAnsi="Times New Roman" w:cs="Times New Roman"/>
                <w:b/>
                <w:bCs/>
                <w:sz w:val="22"/>
              </w:rPr>
            </w:pPr>
          </w:p>
        </w:tc>
        <w:tc>
          <w:tcPr>
            <w:tcW w:w="854" w:type="dxa"/>
            <w:tcBorders>
              <w:top w:val="single" w:sz="4" w:space="0" w:color="auto"/>
            </w:tcBorders>
            <w:noWrap/>
            <w:vAlign w:val="center"/>
          </w:tcPr>
          <w:p w14:paraId="57ECB91B" w14:textId="77777777" w:rsidR="001974E4" w:rsidRPr="00CC1970" w:rsidRDefault="001974E4" w:rsidP="00F33019">
            <w:pPr>
              <w:ind w:right="-2"/>
              <w:jc w:val="right"/>
              <w:rPr>
                <w:rFonts w:ascii="Times New Roman" w:hAnsi="Times New Roman" w:cs="Times New Roman"/>
                <w:b/>
                <w:bCs/>
                <w:sz w:val="22"/>
              </w:rPr>
            </w:pPr>
          </w:p>
        </w:tc>
      </w:tr>
      <w:tr w:rsidR="00F33019" w:rsidRPr="00CC1970" w14:paraId="5D29B572" w14:textId="77777777" w:rsidTr="00801D0D">
        <w:trPr>
          <w:trHeight w:val="57"/>
        </w:trPr>
        <w:tc>
          <w:tcPr>
            <w:tcW w:w="4678" w:type="dxa"/>
            <w:noWrap/>
            <w:vAlign w:val="center"/>
          </w:tcPr>
          <w:p w14:paraId="7CC9CE8B" w14:textId="0EC58D6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5A36E" w14:textId="69AE88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w:t>
            </w:r>
          </w:p>
        </w:tc>
        <w:tc>
          <w:tcPr>
            <w:tcW w:w="1020" w:type="dxa"/>
            <w:tcBorders>
              <w:top w:val="nil"/>
              <w:left w:val="nil"/>
              <w:bottom w:val="nil"/>
              <w:right w:val="nil"/>
            </w:tcBorders>
            <w:shd w:val="clear" w:color="auto" w:fill="auto"/>
            <w:noWrap/>
            <w:vAlign w:val="center"/>
            <w:hideMark/>
          </w:tcPr>
          <w:p w14:paraId="245B9365" w14:textId="0D87E9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68325A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ED0D9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989169B" w14:textId="77777777" w:rsidTr="00801D0D">
        <w:trPr>
          <w:trHeight w:val="57"/>
        </w:trPr>
        <w:tc>
          <w:tcPr>
            <w:tcW w:w="4678" w:type="dxa"/>
            <w:noWrap/>
            <w:vAlign w:val="center"/>
          </w:tcPr>
          <w:p w14:paraId="2422C589" w14:textId="4BCED5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0DA8E" w14:textId="19CBD5B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 NB</w:t>
            </w:r>
          </w:p>
        </w:tc>
        <w:tc>
          <w:tcPr>
            <w:tcW w:w="1020" w:type="dxa"/>
            <w:tcBorders>
              <w:top w:val="nil"/>
              <w:left w:val="nil"/>
              <w:bottom w:val="nil"/>
              <w:right w:val="nil"/>
            </w:tcBorders>
            <w:shd w:val="clear" w:color="auto" w:fill="auto"/>
            <w:noWrap/>
            <w:vAlign w:val="center"/>
            <w:hideMark/>
          </w:tcPr>
          <w:p w14:paraId="6CCD65DB" w14:textId="60CCA83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1EC96E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09F478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198E45ED" w14:textId="77777777" w:rsidTr="00801D0D">
        <w:trPr>
          <w:trHeight w:val="57"/>
        </w:trPr>
        <w:tc>
          <w:tcPr>
            <w:tcW w:w="4678" w:type="dxa"/>
            <w:noWrap/>
            <w:vAlign w:val="center"/>
          </w:tcPr>
          <w:p w14:paraId="4B353A75" w14:textId="58ECFF7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087E6" w14:textId="782219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w:t>
            </w:r>
          </w:p>
        </w:tc>
        <w:tc>
          <w:tcPr>
            <w:tcW w:w="1020" w:type="dxa"/>
            <w:tcBorders>
              <w:top w:val="nil"/>
              <w:left w:val="nil"/>
              <w:bottom w:val="nil"/>
              <w:right w:val="nil"/>
            </w:tcBorders>
            <w:shd w:val="clear" w:color="auto" w:fill="auto"/>
            <w:noWrap/>
            <w:vAlign w:val="center"/>
            <w:hideMark/>
          </w:tcPr>
          <w:p w14:paraId="193A63E4" w14:textId="029BBC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7016D3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6BA063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22F20620" w14:textId="77777777" w:rsidTr="00801D0D">
        <w:trPr>
          <w:trHeight w:val="57"/>
        </w:trPr>
        <w:tc>
          <w:tcPr>
            <w:tcW w:w="4678" w:type="dxa"/>
            <w:noWrap/>
            <w:vAlign w:val="center"/>
          </w:tcPr>
          <w:p w14:paraId="021D60EE" w14:textId="1710C0C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1C370B" w14:textId="683C03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 NB</w:t>
            </w:r>
          </w:p>
        </w:tc>
        <w:tc>
          <w:tcPr>
            <w:tcW w:w="1020" w:type="dxa"/>
            <w:tcBorders>
              <w:top w:val="nil"/>
              <w:left w:val="nil"/>
              <w:bottom w:val="nil"/>
              <w:right w:val="nil"/>
            </w:tcBorders>
            <w:shd w:val="clear" w:color="auto" w:fill="auto"/>
            <w:noWrap/>
            <w:vAlign w:val="center"/>
            <w:hideMark/>
          </w:tcPr>
          <w:p w14:paraId="21787DC3" w14:textId="21E4022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267D676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3F396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4A7719A5" w14:textId="77777777" w:rsidTr="00801D0D">
        <w:trPr>
          <w:trHeight w:val="57"/>
        </w:trPr>
        <w:tc>
          <w:tcPr>
            <w:tcW w:w="4678" w:type="dxa"/>
            <w:noWrap/>
            <w:vAlign w:val="center"/>
          </w:tcPr>
          <w:p w14:paraId="39E1AF0D" w14:textId="78C0A8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054CC2" w14:textId="4F0D710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w:t>
            </w:r>
          </w:p>
        </w:tc>
        <w:tc>
          <w:tcPr>
            <w:tcW w:w="1020" w:type="dxa"/>
            <w:tcBorders>
              <w:top w:val="nil"/>
              <w:left w:val="nil"/>
              <w:bottom w:val="nil"/>
              <w:right w:val="nil"/>
            </w:tcBorders>
            <w:shd w:val="clear" w:color="auto" w:fill="auto"/>
            <w:noWrap/>
            <w:vAlign w:val="center"/>
            <w:hideMark/>
          </w:tcPr>
          <w:p w14:paraId="405E6972" w14:textId="3FB67B0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010012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ACDF68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363927F3" w14:textId="77777777" w:rsidTr="00801D0D">
        <w:trPr>
          <w:trHeight w:val="57"/>
        </w:trPr>
        <w:tc>
          <w:tcPr>
            <w:tcW w:w="4678" w:type="dxa"/>
            <w:noWrap/>
            <w:vAlign w:val="center"/>
          </w:tcPr>
          <w:p w14:paraId="561F9F57" w14:textId="121F3D0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30A2A0" w14:textId="55A591E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 NB</w:t>
            </w:r>
          </w:p>
        </w:tc>
        <w:tc>
          <w:tcPr>
            <w:tcW w:w="1020" w:type="dxa"/>
            <w:tcBorders>
              <w:top w:val="nil"/>
              <w:left w:val="nil"/>
              <w:bottom w:val="nil"/>
              <w:right w:val="nil"/>
            </w:tcBorders>
            <w:shd w:val="clear" w:color="auto" w:fill="auto"/>
            <w:noWrap/>
            <w:vAlign w:val="center"/>
            <w:hideMark/>
          </w:tcPr>
          <w:p w14:paraId="62DB9BAE" w14:textId="10960A3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1DF04DF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6EB91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270B0A48" w14:textId="77777777" w:rsidTr="00801D0D">
        <w:trPr>
          <w:trHeight w:val="57"/>
        </w:trPr>
        <w:tc>
          <w:tcPr>
            <w:tcW w:w="4678" w:type="dxa"/>
            <w:noWrap/>
            <w:vAlign w:val="center"/>
          </w:tcPr>
          <w:p w14:paraId="49BE7051" w14:textId="53746C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E7A181" w14:textId="067225F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362B8FAE" w14:textId="2A3D24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033DA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04F8E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80351C3" w14:textId="77777777" w:rsidTr="00801D0D">
        <w:trPr>
          <w:trHeight w:val="57"/>
        </w:trPr>
        <w:tc>
          <w:tcPr>
            <w:tcW w:w="4678" w:type="dxa"/>
            <w:noWrap/>
            <w:vAlign w:val="center"/>
          </w:tcPr>
          <w:p w14:paraId="6D9644A5" w14:textId="34840CA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D45BA3" w14:textId="484AA3F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A9B2D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E3DE8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56BEB67F" w14:textId="77777777" w:rsidTr="00801D0D">
        <w:trPr>
          <w:trHeight w:val="57"/>
        </w:trPr>
        <w:tc>
          <w:tcPr>
            <w:tcW w:w="4678" w:type="dxa"/>
            <w:noWrap/>
            <w:vAlign w:val="center"/>
          </w:tcPr>
          <w:p w14:paraId="62648B5E" w14:textId="48E637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4373B5" w14:textId="7C38FD6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24BAC970" w14:textId="5BBA0A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2CCE89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0A82CB5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1780DEFF" w14:textId="77777777" w:rsidTr="00801D0D">
        <w:trPr>
          <w:trHeight w:val="57"/>
        </w:trPr>
        <w:tc>
          <w:tcPr>
            <w:tcW w:w="4678" w:type="dxa"/>
            <w:noWrap/>
            <w:vAlign w:val="center"/>
          </w:tcPr>
          <w:p w14:paraId="6D6BF855" w14:textId="42F9E0E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222B8AE" w14:textId="6539360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913E950" w14:textId="40B4C49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3BEA96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31A8102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2BA2DA20" w14:textId="77777777" w:rsidTr="00801D0D">
        <w:trPr>
          <w:trHeight w:val="57"/>
        </w:trPr>
        <w:tc>
          <w:tcPr>
            <w:tcW w:w="4678" w:type="dxa"/>
            <w:noWrap/>
            <w:vAlign w:val="center"/>
          </w:tcPr>
          <w:p w14:paraId="45F797E8" w14:textId="073663B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8B6CC2" w14:textId="59EDE2C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6DD82145" w14:textId="2F09969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178149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55E41F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7F200789" w14:textId="77777777" w:rsidTr="00801D0D">
        <w:trPr>
          <w:trHeight w:val="57"/>
        </w:trPr>
        <w:tc>
          <w:tcPr>
            <w:tcW w:w="4678" w:type="dxa"/>
            <w:noWrap/>
            <w:vAlign w:val="center"/>
          </w:tcPr>
          <w:p w14:paraId="2196BB25" w14:textId="4C9C8D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E9632CA" w14:textId="2317D8F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32739A3" w14:textId="1DE3F56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22DAFC4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460D165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4104A1FE" w14:textId="77777777" w:rsidTr="00801D0D">
        <w:trPr>
          <w:trHeight w:val="57"/>
        </w:trPr>
        <w:tc>
          <w:tcPr>
            <w:tcW w:w="4678" w:type="dxa"/>
            <w:noWrap/>
            <w:vAlign w:val="center"/>
          </w:tcPr>
          <w:p w14:paraId="0ACE087C" w14:textId="2CEFD9F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D283E50" w14:textId="623CD63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2BEB3E8F" w14:textId="578A1D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7ACBAF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32A838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070C9FD6" w14:textId="77777777" w:rsidTr="00801D0D">
        <w:trPr>
          <w:trHeight w:val="57"/>
        </w:trPr>
        <w:tc>
          <w:tcPr>
            <w:tcW w:w="4678" w:type="dxa"/>
            <w:noWrap/>
            <w:vAlign w:val="center"/>
          </w:tcPr>
          <w:p w14:paraId="69C75FEB" w14:textId="08893D2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B7A1A0" w14:textId="50D530D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BE9D3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46B64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3EFFC0C2" w14:textId="77777777" w:rsidTr="00801D0D">
        <w:trPr>
          <w:trHeight w:val="57"/>
        </w:trPr>
        <w:tc>
          <w:tcPr>
            <w:tcW w:w="4678" w:type="dxa"/>
            <w:noWrap/>
            <w:vAlign w:val="center"/>
          </w:tcPr>
          <w:p w14:paraId="1689A18E" w14:textId="6A96DA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9078C5E" w14:textId="602191A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1A0CC6F" w14:textId="19C2FDD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40CFB9C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7C17FA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27EB1849" w14:textId="77777777" w:rsidTr="00801D0D">
        <w:trPr>
          <w:trHeight w:val="57"/>
        </w:trPr>
        <w:tc>
          <w:tcPr>
            <w:tcW w:w="4678" w:type="dxa"/>
            <w:noWrap/>
            <w:vAlign w:val="center"/>
          </w:tcPr>
          <w:p w14:paraId="7492AF9C" w14:textId="38518AA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A67EB68" w14:textId="1C61C16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FBED8D0" w14:textId="3D09763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179069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A396B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4CE68A3D" w14:textId="77777777" w:rsidTr="00801D0D">
        <w:trPr>
          <w:trHeight w:val="57"/>
        </w:trPr>
        <w:tc>
          <w:tcPr>
            <w:tcW w:w="4678" w:type="dxa"/>
            <w:noWrap/>
            <w:vAlign w:val="center"/>
          </w:tcPr>
          <w:p w14:paraId="010F61B2" w14:textId="2B41F3C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238D7B" w14:textId="6D4486B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CF77AC7" w14:textId="4D4B421F"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1D2E1A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0CB9BF2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07647743" w14:textId="77777777" w:rsidTr="00801D0D">
        <w:trPr>
          <w:trHeight w:val="57"/>
        </w:trPr>
        <w:tc>
          <w:tcPr>
            <w:tcW w:w="4678" w:type="dxa"/>
            <w:noWrap/>
            <w:vAlign w:val="center"/>
          </w:tcPr>
          <w:p w14:paraId="43522EE9" w14:textId="1C31E67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DE77F0" w14:textId="78F23C6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6BABFD1D" w14:textId="5B346BD6"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401A33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4847D93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66CDB4ED" w14:textId="77777777" w:rsidTr="00801D0D">
        <w:trPr>
          <w:trHeight w:val="57"/>
        </w:trPr>
        <w:tc>
          <w:tcPr>
            <w:tcW w:w="4678" w:type="dxa"/>
            <w:noWrap/>
            <w:vAlign w:val="center"/>
          </w:tcPr>
          <w:p w14:paraId="2A368C77" w14:textId="44C838D4"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 xml:space="preserve">General-population, </w:t>
            </w:r>
            <w:r w:rsidR="00F46817" w:rsidRPr="00CC1970">
              <w:rPr>
                <w:rFonts w:ascii="Times New Roman" w:hAnsi="Times New Roman" w:cs="Times New Roman"/>
                <w:sz w:val="22"/>
              </w:rPr>
              <w:t>intensive</w:t>
            </w:r>
            <w:r w:rsidRPr="00CC1970">
              <w:rPr>
                <w:rFonts w:ascii="Times New Roman" w:hAnsi="Times New Roman" w:cs="Times New Roman"/>
                <w:sz w:val="22"/>
              </w:rPr>
              <w:t xml:space="preserve"> ambulatory</w:t>
            </w:r>
          </w:p>
        </w:tc>
        <w:tc>
          <w:tcPr>
            <w:tcW w:w="4535" w:type="dxa"/>
            <w:noWrap/>
            <w:vAlign w:val="center"/>
          </w:tcPr>
          <w:p w14:paraId="09B78C32" w14:textId="77777777" w:rsidR="001974E4" w:rsidRPr="00CC1970" w:rsidRDefault="001974E4" w:rsidP="00F33019">
            <w:pPr>
              <w:ind w:right="-2"/>
              <w:jc w:val="left"/>
              <w:rPr>
                <w:rFonts w:ascii="Times New Roman" w:hAnsi="Times New Roman" w:cs="Times New Roman"/>
                <w:sz w:val="22"/>
              </w:rPr>
            </w:pPr>
          </w:p>
        </w:tc>
        <w:tc>
          <w:tcPr>
            <w:tcW w:w="1020" w:type="dxa"/>
            <w:noWrap/>
            <w:vAlign w:val="center"/>
          </w:tcPr>
          <w:p w14:paraId="618A214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B2B3C5F"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14B7B5FF" w14:textId="77777777" w:rsidR="001974E4" w:rsidRPr="00CC1970" w:rsidRDefault="001974E4" w:rsidP="00F33019">
            <w:pPr>
              <w:ind w:right="-2"/>
              <w:jc w:val="right"/>
              <w:rPr>
                <w:rFonts w:ascii="Times New Roman" w:hAnsi="Times New Roman" w:cs="Times New Roman"/>
                <w:sz w:val="22"/>
              </w:rPr>
            </w:pPr>
          </w:p>
        </w:tc>
      </w:tr>
      <w:tr w:rsidR="00F33019" w:rsidRPr="00CC1970" w14:paraId="6C051668" w14:textId="77777777" w:rsidTr="00801D0D">
        <w:trPr>
          <w:trHeight w:val="57"/>
        </w:trPr>
        <w:tc>
          <w:tcPr>
            <w:tcW w:w="4678" w:type="dxa"/>
            <w:noWrap/>
            <w:vAlign w:val="center"/>
          </w:tcPr>
          <w:p w14:paraId="343FF0E0" w14:textId="15F6269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408894F"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587A2A3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1B15B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6DBC82B" w14:textId="77777777" w:rsidTr="00801D0D">
        <w:trPr>
          <w:trHeight w:val="57"/>
        </w:trPr>
        <w:tc>
          <w:tcPr>
            <w:tcW w:w="4678" w:type="dxa"/>
            <w:noWrap/>
            <w:vAlign w:val="center"/>
          </w:tcPr>
          <w:p w14:paraId="1A399449" w14:textId="1F3456A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DFA7BC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1915AA3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F3031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97A75F9" w14:textId="77777777" w:rsidTr="00801D0D">
        <w:trPr>
          <w:trHeight w:val="57"/>
        </w:trPr>
        <w:tc>
          <w:tcPr>
            <w:tcW w:w="4678" w:type="dxa"/>
            <w:noWrap/>
            <w:vAlign w:val="center"/>
          </w:tcPr>
          <w:p w14:paraId="589AE945" w14:textId="35ED746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3D921" w14:textId="54EB06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2ADD9165" w14:textId="7E10650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111F91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031721D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07F3788B" w14:textId="77777777" w:rsidTr="00801D0D">
        <w:trPr>
          <w:trHeight w:val="57"/>
        </w:trPr>
        <w:tc>
          <w:tcPr>
            <w:tcW w:w="4678" w:type="dxa"/>
            <w:noWrap/>
            <w:vAlign w:val="center"/>
          </w:tcPr>
          <w:p w14:paraId="5A0C99C4" w14:textId="71965E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073C98C" w14:textId="323F74A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6507D56D" w14:textId="693367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7893A11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52970DA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2C3661FB" w14:textId="77777777" w:rsidTr="00801D0D">
        <w:trPr>
          <w:trHeight w:val="57"/>
        </w:trPr>
        <w:tc>
          <w:tcPr>
            <w:tcW w:w="4678" w:type="dxa"/>
            <w:noWrap/>
            <w:vAlign w:val="center"/>
          </w:tcPr>
          <w:p w14:paraId="22641ACE" w14:textId="30BB81A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650E0D" w14:textId="56C50E9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40D8F1EC" w14:textId="4702D46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5DC5C5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07358B8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0DBD3273" w14:textId="77777777" w:rsidTr="00801D0D">
        <w:trPr>
          <w:trHeight w:val="57"/>
        </w:trPr>
        <w:tc>
          <w:tcPr>
            <w:tcW w:w="4678" w:type="dxa"/>
            <w:noWrap/>
            <w:vAlign w:val="center"/>
          </w:tcPr>
          <w:p w14:paraId="3D59ACE8" w14:textId="24696C9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44B0823" w14:textId="28BBC4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3D8407F9" w14:textId="1FD7AE6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0D32AC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C0EC5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4CE73FFC" w14:textId="77777777" w:rsidTr="00801D0D">
        <w:trPr>
          <w:trHeight w:val="57"/>
        </w:trPr>
        <w:tc>
          <w:tcPr>
            <w:tcW w:w="4678" w:type="dxa"/>
            <w:noWrap/>
            <w:vAlign w:val="center"/>
          </w:tcPr>
          <w:p w14:paraId="2E452E3C" w14:textId="7B7781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0B8013" w14:textId="411D03E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673D2F4B" w14:textId="5271C58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314C3AA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5472A3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064C2D96" w14:textId="77777777" w:rsidTr="00801D0D">
        <w:trPr>
          <w:trHeight w:val="57"/>
        </w:trPr>
        <w:tc>
          <w:tcPr>
            <w:tcW w:w="4678" w:type="dxa"/>
            <w:noWrap/>
            <w:vAlign w:val="center"/>
          </w:tcPr>
          <w:p w14:paraId="5E8E7AD7" w14:textId="32B2980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B0B7136" w14:textId="5939E51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04CCE68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43B4B33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2A4F313" w14:textId="77777777" w:rsidTr="00801D0D">
        <w:trPr>
          <w:trHeight w:val="57"/>
        </w:trPr>
        <w:tc>
          <w:tcPr>
            <w:tcW w:w="4678" w:type="dxa"/>
            <w:noWrap/>
            <w:vAlign w:val="center"/>
          </w:tcPr>
          <w:p w14:paraId="337D767C" w14:textId="087F24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F374637" w14:textId="1BFBA1A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68D9DA6" w14:textId="100B418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71E5B1E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13E711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5B984131" w14:textId="77777777" w:rsidTr="00801D0D">
        <w:trPr>
          <w:trHeight w:val="57"/>
        </w:trPr>
        <w:tc>
          <w:tcPr>
            <w:tcW w:w="4678" w:type="dxa"/>
            <w:noWrap/>
            <w:vAlign w:val="center"/>
          </w:tcPr>
          <w:p w14:paraId="2D0DE4B0" w14:textId="109D9D3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0B040A" w14:textId="135253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6A6ADC8" w14:textId="5177B89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436583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286C3E2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1AA0F3F1" w14:textId="77777777" w:rsidTr="00801D0D">
        <w:trPr>
          <w:trHeight w:val="57"/>
        </w:trPr>
        <w:tc>
          <w:tcPr>
            <w:tcW w:w="4678" w:type="dxa"/>
            <w:noWrap/>
            <w:vAlign w:val="center"/>
          </w:tcPr>
          <w:p w14:paraId="7B09E065" w14:textId="09A405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4F27C9A" w14:textId="2BD814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A2E7CE" w14:textId="18510FF8"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5A384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1D27CAE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0369B1E1" w14:textId="77777777" w:rsidTr="00801D0D">
        <w:trPr>
          <w:trHeight w:val="57"/>
        </w:trPr>
        <w:tc>
          <w:tcPr>
            <w:tcW w:w="4678" w:type="dxa"/>
            <w:noWrap/>
            <w:vAlign w:val="center"/>
          </w:tcPr>
          <w:p w14:paraId="2BBB121C" w14:textId="746BD3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B2806F" w14:textId="19ADCC5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4F5E802" w14:textId="78DE5F7A"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8D26B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3B7B474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594E692B" w14:textId="77777777" w:rsidTr="00801D0D">
        <w:trPr>
          <w:trHeight w:val="57"/>
        </w:trPr>
        <w:tc>
          <w:tcPr>
            <w:tcW w:w="4678" w:type="dxa"/>
            <w:noWrap/>
            <w:vAlign w:val="center"/>
          </w:tcPr>
          <w:p w14:paraId="08D9C4BB" w14:textId="6797297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55CF20F" w14:textId="36308BE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79BEDECC" w14:textId="6F68743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2A761E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07E534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33F29135" w14:textId="77777777" w:rsidTr="00801D0D">
        <w:trPr>
          <w:trHeight w:val="57"/>
        </w:trPr>
        <w:tc>
          <w:tcPr>
            <w:tcW w:w="4678" w:type="dxa"/>
            <w:noWrap/>
            <w:vAlign w:val="center"/>
          </w:tcPr>
          <w:p w14:paraId="3025794E" w14:textId="2D1F708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8AB6148" w14:textId="1BD7644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453395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707DE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517AAF80" w14:textId="77777777" w:rsidTr="00801D0D">
        <w:trPr>
          <w:trHeight w:val="57"/>
        </w:trPr>
        <w:tc>
          <w:tcPr>
            <w:tcW w:w="4678" w:type="dxa"/>
            <w:noWrap/>
            <w:vAlign w:val="center"/>
          </w:tcPr>
          <w:p w14:paraId="37C203C4" w14:textId="654BE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1750A5" w14:textId="4952C65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30A2D3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719DE58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40600552" w14:textId="77777777" w:rsidTr="00801D0D">
        <w:trPr>
          <w:trHeight w:val="57"/>
        </w:trPr>
        <w:tc>
          <w:tcPr>
            <w:tcW w:w="4678" w:type="dxa"/>
            <w:noWrap/>
            <w:vAlign w:val="center"/>
          </w:tcPr>
          <w:p w14:paraId="6AABA454" w14:textId="2B897F2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5CC1AC2" w14:textId="4C44B58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122B6211" w14:textId="0D1A0B1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255DD4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1BB316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21746A00" w14:textId="77777777" w:rsidTr="00801D0D">
        <w:trPr>
          <w:trHeight w:val="57"/>
        </w:trPr>
        <w:tc>
          <w:tcPr>
            <w:tcW w:w="4678" w:type="dxa"/>
            <w:noWrap/>
            <w:vAlign w:val="center"/>
          </w:tcPr>
          <w:p w14:paraId="3EB8F647" w14:textId="54DEE828" w:rsidR="00F33019" w:rsidRPr="00CC1970" w:rsidRDefault="00F33019" w:rsidP="00F33019">
            <w:pPr>
              <w:ind w:right="-2"/>
              <w:jc w:val="left"/>
              <w:rPr>
                <w:rFonts w:ascii="Times New Roman" w:hAnsi="Times New Roman" w:cs="Times New Roman"/>
                <w:sz w:val="22"/>
              </w:rPr>
            </w:pPr>
            <w:bookmarkStart w:id="11" w:name="_Hlk170387411"/>
          </w:p>
        </w:tc>
        <w:tc>
          <w:tcPr>
            <w:tcW w:w="4535" w:type="dxa"/>
            <w:noWrap/>
            <w:vAlign w:val="center"/>
            <w:hideMark/>
          </w:tcPr>
          <w:p w14:paraId="58CCD350" w14:textId="494DCE8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429AF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4E334F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bookmarkEnd w:id="11"/>
      <w:tr w:rsidR="00F33019" w:rsidRPr="00CC1970" w14:paraId="74108E99" w14:textId="77777777" w:rsidTr="00801D0D">
        <w:trPr>
          <w:trHeight w:val="57"/>
        </w:trPr>
        <w:tc>
          <w:tcPr>
            <w:tcW w:w="4678" w:type="dxa"/>
            <w:noWrap/>
            <w:vAlign w:val="center"/>
          </w:tcPr>
          <w:p w14:paraId="0A133F5F" w14:textId="067D383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72C9EC" w14:textId="2767E82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11B9353C" w14:textId="05974C2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93BF1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5BB61A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tr w:rsidR="00F33019" w:rsidRPr="00CC1970" w14:paraId="194EE121" w14:textId="77777777" w:rsidTr="00801D0D">
        <w:trPr>
          <w:trHeight w:val="57"/>
        </w:trPr>
        <w:tc>
          <w:tcPr>
            <w:tcW w:w="4678" w:type="dxa"/>
            <w:noWrap/>
            <w:vAlign w:val="center"/>
          </w:tcPr>
          <w:p w14:paraId="617CF282" w14:textId="1D34BED1"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4535" w:type="dxa"/>
            <w:noWrap/>
            <w:vAlign w:val="center"/>
          </w:tcPr>
          <w:p w14:paraId="11705DA4"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1EC50C16"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86D619E"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674691A9" w14:textId="77777777" w:rsidR="001974E4" w:rsidRPr="00CC1970" w:rsidRDefault="001974E4" w:rsidP="00F33019">
            <w:pPr>
              <w:ind w:right="-2"/>
              <w:jc w:val="right"/>
              <w:rPr>
                <w:rFonts w:ascii="Times New Roman" w:hAnsi="Times New Roman" w:cs="Times New Roman"/>
                <w:sz w:val="22"/>
              </w:rPr>
            </w:pPr>
          </w:p>
        </w:tc>
      </w:tr>
      <w:tr w:rsidR="00F33019" w:rsidRPr="00CC1970" w14:paraId="6195C161" w14:textId="77777777" w:rsidTr="00801D0D">
        <w:trPr>
          <w:trHeight w:val="57"/>
        </w:trPr>
        <w:tc>
          <w:tcPr>
            <w:tcW w:w="4678" w:type="dxa"/>
            <w:noWrap/>
            <w:vAlign w:val="center"/>
          </w:tcPr>
          <w:p w14:paraId="3A3B758C" w14:textId="0B8908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19605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E99B9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6A7D3C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54D3970" w14:textId="77777777" w:rsidTr="00801D0D">
        <w:trPr>
          <w:trHeight w:val="57"/>
        </w:trPr>
        <w:tc>
          <w:tcPr>
            <w:tcW w:w="4678" w:type="dxa"/>
            <w:noWrap/>
            <w:vAlign w:val="center"/>
          </w:tcPr>
          <w:p w14:paraId="49289C2D" w14:textId="23258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FC4071"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3D4CD8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4808666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1D99C07F" w14:textId="77777777" w:rsidTr="00801D0D">
        <w:trPr>
          <w:trHeight w:val="57"/>
        </w:trPr>
        <w:tc>
          <w:tcPr>
            <w:tcW w:w="4678" w:type="dxa"/>
            <w:noWrap/>
            <w:vAlign w:val="center"/>
          </w:tcPr>
          <w:p w14:paraId="7EA1441E" w14:textId="71587B7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BBF2937" w14:textId="52231B7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F9CCF43" w14:textId="7D7F4C7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7DC8249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2309A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7459DC99" w14:textId="77777777" w:rsidTr="00801D0D">
        <w:trPr>
          <w:trHeight w:val="57"/>
        </w:trPr>
        <w:tc>
          <w:tcPr>
            <w:tcW w:w="4678" w:type="dxa"/>
            <w:noWrap/>
            <w:vAlign w:val="center"/>
          </w:tcPr>
          <w:p w14:paraId="2E7A93AB" w14:textId="6A8545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7FD533" w14:textId="7AB4E74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5622C358" w14:textId="1929ABB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0EACDB3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1861A0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22D35324" w14:textId="77777777" w:rsidTr="00801D0D">
        <w:trPr>
          <w:trHeight w:val="57"/>
        </w:trPr>
        <w:tc>
          <w:tcPr>
            <w:tcW w:w="4678" w:type="dxa"/>
            <w:noWrap/>
            <w:vAlign w:val="center"/>
          </w:tcPr>
          <w:p w14:paraId="3670D870" w14:textId="15D0746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2C0819" w14:textId="1E5F8D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E3F5E88" w14:textId="0D28EB8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301A4AC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7BB3265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0A68565E" w14:textId="77777777" w:rsidTr="00801D0D">
        <w:trPr>
          <w:trHeight w:val="57"/>
        </w:trPr>
        <w:tc>
          <w:tcPr>
            <w:tcW w:w="4678" w:type="dxa"/>
            <w:noWrap/>
            <w:vAlign w:val="center"/>
          </w:tcPr>
          <w:p w14:paraId="20295D14" w14:textId="790E04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E4894D" w14:textId="4DB2C0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73744249" w14:textId="6867577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4E1FD95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36E1AAF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3659E69A" w14:textId="77777777" w:rsidTr="00801D0D">
        <w:trPr>
          <w:trHeight w:val="57"/>
        </w:trPr>
        <w:tc>
          <w:tcPr>
            <w:tcW w:w="4678" w:type="dxa"/>
            <w:noWrap/>
            <w:vAlign w:val="center"/>
          </w:tcPr>
          <w:p w14:paraId="5FC61410" w14:textId="29C723D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FC8154" w14:textId="52D85D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0DFA535A" w14:textId="581F1E7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575C63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E5D8F9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5C637208" w14:textId="77777777" w:rsidTr="00801D0D">
        <w:trPr>
          <w:trHeight w:val="57"/>
        </w:trPr>
        <w:tc>
          <w:tcPr>
            <w:tcW w:w="4678" w:type="dxa"/>
            <w:noWrap/>
            <w:vAlign w:val="center"/>
          </w:tcPr>
          <w:p w14:paraId="31F06083" w14:textId="57B68E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B34EC3" w14:textId="33F3624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2BDA4C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7067E25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CC33C07" w14:textId="77777777" w:rsidTr="00801D0D">
        <w:trPr>
          <w:trHeight w:val="57"/>
        </w:trPr>
        <w:tc>
          <w:tcPr>
            <w:tcW w:w="4678" w:type="dxa"/>
            <w:noWrap/>
            <w:vAlign w:val="center"/>
          </w:tcPr>
          <w:p w14:paraId="6E1A86ED" w14:textId="1196E1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AB73321" w14:textId="5287A5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131245F" w14:textId="0D09C1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454D30D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3D58A5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062A6F71" w14:textId="77777777" w:rsidTr="00801D0D">
        <w:trPr>
          <w:trHeight w:val="57"/>
        </w:trPr>
        <w:tc>
          <w:tcPr>
            <w:tcW w:w="4678" w:type="dxa"/>
            <w:noWrap/>
            <w:vAlign w:val="center"/>
          </w:tcPr>
          <w:p w14:paraId="38E2A100" w14:textId="645CD58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9474946" w14:textId="2E316BC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ED2FF2F" w14:textId="53A933E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2F9498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72AA31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5C7A95B8" w14:textId="77777777" w:rsidTr="00801D0D">
        <w:trPr>
          <w:trHeight w:val="57"/>
        </w:trPr>
        <w:tc>
          <w:tcPr>
            <w:tcW w:w="4678" w:type="dxa"/>
            <w:noWrap/>
            <w:vAlign w:val="center"/>
          </w:tcPr>
          <w:p w14:paraId="2501F022" w14:textId="5877BB6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661706" w14:textId="162B052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8E36BE" w14:textId="28F4EAD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5BD6F0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5FDA805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42310605" w14:textId="77777777" w:rsidTr="00801D0D">
        <w:trPr>
          <w:trHeight w:val="57"/>
        </w:trPr>
        <w:tc>
          <w:tcPr>
            <w:tcW w:w="4678" w:type="dxa"/>
            <w:noWrap/>
            <w:vAlign w:val="center"/>
          </w:tcPr>
          <w:p w14:paraId="65CEA74E" w14:textId="045C92A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3F55804" w14:textId="0D87A48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363E74E2" w14:textId="102B20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1516D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29371BC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76451D8D" w14:textId="77777777" w:rsidTr="00801D0D">
        <w:trPr>
          <w:trHeight w:val="57"/>
        </w:trPr>
        <w:tc>
          <w:tcPr>
            <w:tcW w:w="4678" w:type="dxa"/>
            <w:noWrap/>
            <w:vAlign w:val="center"/>
          </w:tcPr>
          <w:p w14:paraId="6DC0C328" w14:textId="6E736B7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70BD177" w14:textId="3680E2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3B6F867E" w14:textId="4857996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408755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22E6407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BE907EA" w14:textId="77777777" w:rsidTr="00801D0D">
        <w:trPr>
          <w:trHeight w:val="57"/>
        </w:trPr>
        <w:tc>
          <w:tcPr>
            <w:tcW w:w="4678" w:type="dxa"/>
            <w:noWrap/>
            <w:vAlign w:val="center"/>
          </w:tcPr>
          <w:p w14:paraId="548BAD1F" w14:textId="5CEE50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7D64B1" w14:textId="302245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12E568E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5F6E62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0A72219" w14:textId="77777777" w:rsidTr="00801D0D">
        <w:trPr>
          <w:trHeight w:val="57"/>
        </w:trPr>
        <w:tc>
          <w:tcPr>
            <w:tcW w:w="4678" w:type="dxa"/>
            <w:noWrap/>
            <w:vAlign w:val="center"/>
          </w:tcPr>
          <w:p w14:paraId="1B80CF0D" w14:textId="474E54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793D5E7" w14:textId="5D29A42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383789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45AB88A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2DE77D7C" w14:textId="77777777" w:rsidTr="00801D0D">
        <w:trPr>
          <w:trHeight w:val="57"/>
        </w:trPr>
        <w:tc>
          <w:tcPr>
            <w:tcW w:w="4678" w:type="dxa"/>
            <w:noWrap/>
            <w:vAlign w:val="center"/>
          </w:tcPr>
          <w:p w14:paraId="06D3FD57" w14:textId="2316A18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AAA76F" w14:textId="7DFFD33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66E602F9" w14:textId="71D818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210CE66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06EF85A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545B9A90" w14:textId="77777777" w:rsidTr="00801D0D">
        <w:trPr>
          <w:trHeight w:val="57"/>
        </w:trPr>
        <w:tc>
          <w:tcPr>
            <w:tcW w:w="4678" w:type="dxa"/>
            <w:noWrap/>
            <w:vAlign w:val="center"/>
          </w:tcPr>
          <w:p w14:paraId="24C5D6C4" w14:textId="3640302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CCD313" w14:textId="611BE27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015417F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22945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2475DEDB" w14:textId="77777777" w:rsidTr="00801D0D">
        <w:trPr>
          <w:trHeight w:val="57"/>
        </w:trPr>
        <w:tc>
          <w:tcPr>
            <w:tcW w:w="4678" w:type="dxa"/>
            <w:noWrap/>
            <w:vAlign w:val="center"/>
          </w:tcPr>
          <w:p w14:paraId="59455699" w14:textId="57834BA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80A4A" w14:textId="2464321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394FA980" w14:textId="4AD8D4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40266D9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D4613E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4B2CBAEF" w14:textId="77777777" w:rsidTr="00801D0D">
        <w:trPr>
          <w:trHeight w:val="57"/>
        </w:trPr>
        <w:tc>
          <w:tcPr>
            <w:tcW w:w="4678" w:type="dxa"/>
            <w:noWrap/>
            <w:vAlign w:val="center"/>
          </w:tcPr>
          <w:p w14:paraId="4F7E808A" w14:textId="6825E6F0"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4535" w:type="dxa"/>
            <w:noWrap/>
            <w:vAlign w:val="center"/>
          </w:tcPr>
          <w:p w14:paraId="43160892"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3F53AC18"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7FDF382"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34736D16" w14:textId="77777777" w:rsidR="001974E4" w:rsidRPr="00CC1970" w:rsidRDefault="001974E4" w:rsidP="00F33019">
            <w:pPr>
              <w:ind w:right="-2"/>
              <w:jc w:val="right"/>
              <w:rPr>
                <w:rFonts w:ascii="Times New Roman" w:hAnsi="Times New Roman" w:cs="Times New Roman"/>
                <w:sz w:val="22"/>
              </w:rPr>
            </w:pPr>
          </w:p>
        </w:tc>
      </w:tr>
      <w:tr w:rsidR="00F33019" w:rsidRPr="00CC1970" w14:paraId="07CCA189" w14:textId="77777777" w:rsidTr="00801D0D">
        <w:trPr>
          <w:trHeight w:val="57"/>
        </w:trPr>
        <w:tc>
          <w:tcPr>
            <w:tcW w:w="4678" w:type="dxa"/>
            <w:noWrap/>
            <w:vAlign w:val="center"/>
          </w:tcPr>
          <w:p w14:paraId="58F346E8" w14:textId="111968F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7F419D6"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3BDBA6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7484054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926D67D" w14:textId="77777777" w:rsidTr="00801D0D">
        <w:trPr>
          <w:trHeight w:val="57"/>
        </w:trPr>
        <w:tc>
          <w:tcPr>
            <w:tcW w:w="4678" w:type="dxa"/>
            <w:noWrap/>
            <w:vAlign w:val="center"/>
          </w:tcPr>
          <w:p w14:paraId="505DC5BB" w14:textId="16DC40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778348"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188715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A70818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7C75E91" w14:textId="77777777" w:rsidTr="00801D0D">
        <w:trPr>
          <w:trHeight w:val="57"/>
        </w:trPr>
        <w:tc>
          <w:tcPr>
            <w:tcW w:w="4678" w:type="dxa"/>
            <w:noWrap/>
            <w:vAlign w:val="center"/>
          </w:tcPr>
          <w:p w14:paraId="21FF5234" w14:textId="1A91B2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B0151BB" w14:textId="5248600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5CA95FA7" w14:textId="06D3222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68C779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477A3E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3C564991" w14:textId="77777777" w:rsidTr="00801D0D">
        <w:trPr>
          <w:trHeight w:val="57"/>
        </w:trPr>
        <w:tc>
          <w:tcPr>
            <w:tcW w:w="4678" w:type="dxa"/>
            <w:noWrap/>
            <w:vAlign w:val="center"/>
          </w:tcPr>
          <w:p w14:paraId="7683A755" w14:textId="628ADCA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3B74CBC" w14:textId="562B86F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1A078EA8" w14:textId="30BE9B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2EF88C0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102025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5DA29C28" w14:textId="77777777" w:rsidTr="00801D0D">
        <w:trPr>
          <w:trHeight w:val="57"/>
        </w:trPr>
        <w:tc>
          <w:tcPr>
            <w:tcW w:w="4678" w:type="dxa"/>
            <w:noWrap/>
            <w:vAlign w:val="center"/>
          </w:tcPr>
          <w:p w14:paraId="55510655" w14:textId="044004B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6CCFBC" w14:textId="398E086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96A2582" w14:textId="0187FC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82DA74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1A76E1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3FB6C9AC" w14:textId="77777777" w:rsidTr="00801D0D">
        <w:trPr>
          <w:trHeight w:val="57"/>
        </w:trPr>
        <w:tc>
          <w:tcPr>
            <w:tcW w:w="4678" w:type="dxa"/>
            <w:noWrap/>
            <w:vAlign w:val="center"/>
          </w:tcPr>
          <w:p w14:paraId="424D9E98" w14:textId="270147E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CA14EC" w14:textId="5070FA9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1916433" w14:textId="5DF225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1BDB06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25260C6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679D96C1" w14:textId="77777777" w:rsidTr="00801D0D">
        <w:trPr>
          <w:trHeight w:val="57"/>
        </w:trPr>
        <w:tc>
          <w:tcPr>
            <w:tcW w:w="4678" w:type="dxa"/>
            <w:noWrap/>
            <w:vAlign w:val="center"/>
          </w:tcPr>
          <w:p w14:paraId="6263A7CB" w14:textId="773052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4290E8F" w14:textId="563E0DC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5620486F" w14:textId="3F7A6C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2F87A4E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01CE6FA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53F9B319" w14:textId="77777777" w:rsidTr="00801D0D">
        <w:trPr>
          <w:trHeight w:val="57"/>
        </w:trPr>
        <w:tc>
          <w:tcPr>
            <w:tcW w:w="4678" w:type="dxa"/>
            <w:noWrap/>
            <w:vAlign w:val="center"/>
          </w:tcPr>
          <w:p w14:paraId="23AD6274" w14:textId="13EAC23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DA6BBAE" w14:textId="71FC5D6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5486AE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4DDA8A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4DCF46A1" w14:textId="77777777" w:rsidTr="00801D0D">
        <w:trPr>
          <w:trHeight w:val="57"/>
        </w:trPr>
        <w:tc>
          <w:tcPr>
            <w:tcW w:w="4678" w:type="dxa"/>
            <w:noWrap/>
            <w:vAlign w:val="center"/>
          </w:tcPr>
          <w:p w14:paraId="2D58A637" w14:textId="302989B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ED678B" w14:textId="542C0B3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AAA17FC" w14:textId="04997B2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6A670C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0E4D7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49F5631C" w14:textId="77777777" w:rsidTr="00801D0D">
        <w:trPr>
          <w:trHeight w:val="57"/>
        </w:trPr>
        <w:tc>
          <w:tcPr>
            <w:tcW w:w="4678" w:type="dxa"/>
            <w:noWrap/>
            <w:vAlign w:val="center"/>
          </w:tcPr>
          <w:p w14:paraId="23D57345" w14:textId="449584E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EB3DD4E" w14:textId="0D1D02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53DDEDD" w14:textId="76781B6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119BA2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AC31B2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2650C3D0" w14:textId="77777777" w:rsidTr="00801D0D">
        <w:trPr>
          <w:trHeight w:val="57"/>
        </w:trPr>
        <w:tc>
          <w:tcPr>
            <w:tcW w:w="4678" w:type="dxa"/>
            <w:noWrap/>
            <w:vAlign w:val="center"/>
          </w:tcPr>
          <w:p w14:paraId="65E80EFF" w14:textId="371968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2944713" w14:textId="51000AC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5D774FBC" w14:textId="19CC3B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453AC31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7A5B94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5769A45C" w14:textId="77777777" w:rsidTr="00801D0D">
        <w:trPr>
          <w:trHeight w:val="57"/>
        </w:trPr>
        <w:tc>
          <w:tcPr>
            <w:tcW w:w="4678" w:type="dxa"/>
            <w:noWrap/>
            <w:vAlign w:val="center"/>
          </w:tcPr>
          <w:p w14:paraId="0374DC68" w14:textId="64CD4E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382D17" w14:textId="4C66015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4726A4BF" w14:textId="685E3AC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308B019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5FC9AF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2791E350" w14:textId="77777777" w:rsidTr="00801D0D">
        <w:trPr>
          <w:trHeight w:val="57"/>
        </w:trPr>
        <w:tc>
          <w:tcPr>
            <w:tcW w:w="4678" w:type="dxa"/>
            <w:noWrap/>
            <w:vAlign w:val="center"/>
          </w:tcPr>
          <w:p w14:paraId="0AD33E4F" w14:textId="3354FD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A0ADA" w14:textId="3A2D91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D4F4933" w14:textId="1502516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75B81A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32EF76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CADB503" w14:textId="77777777" w:rsidTr="00801D0D">
        <w:trPr>
          <w:trHeight w:val="57"/>
        </w:trPr>
        <w:tc>
          <w:tcPr>
            <w:tcW w:w="4678" w:type="dxa"/>
            <w:noWrap/>
            <w:vAlign w:val="center"/>
          </w:tcPr>
          <w:p w14:paraId="22CA4C2E" w14:textId="5E85F28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5D94B90" w14:textId="6B7EAC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E87047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CC27F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7668D19D" w14:textId="77777777" w:rsidTr="00801D0D">
        <w:trPr>
          <w:trHeight w:val="57"/>
        </w:trPr>
        <w:tc>
          <w:tcPr>
            <w:tcW w:w="4678" w:type="dxa"/>
            <w:noWrap/>
            <w:vAlign w:val="center"/>
          </w:tcPr>
          <w:p w14:paraId="2F6BD409" w14:textId="2409B75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B237EF" w14:textId="538063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615C0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2311A16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088123C3" w14:textId="77777777" w:rsidTr="00801D0D">
        <w:trPr>
          <w:trHeight w:val="57"/>
        </w:trPr>
        <w:tc>
          <w:tcPr>
            <w:tcW w:w="4678" w:type="dxa"/>
            <w:noWrap/>
            <w:vAlign w:val="center"/>
          </w:tcPr>
          <w:p w14:paraId="2E3E69E6" w14:textId="23CAF4E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B716BC1" w14:textId="149D8D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93FA4BA" w14:textId="7F183F5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599F56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50CDF6C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220B5A64" w14:textId="77777777" w:rsidTr="00801D0D">
        <w:trPr>
          <w:trHeight w:val="57"/>
        </w:trPr>
        <w:tc>
          <w:tcPr>
            <w:tcW w:w="4678" w:type="dxa"/>
            <w:noWrap/>
            <w:vAlign w:val="center"/>
          </w:tcPr>
          <w:p w14:paraId="5D459FCB" w14:textId="3C20FA4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310122D" w14:textId="099CA00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5CE0F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3DFCB07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131C9305" w14:textId="77777777" w:rsidTr="00801D0D">
        <w:trPr>
          <w:trHeight w:val="57"/>
        </w:trPr>
        <w:tc>
          <w:tcPr>
            <w:tcW w:w="4678" w:type="dxa"/>
            <w:noWrap/>
            <w:vAlign w:val="center"/>
          </w:tcPr>
          <w:p w14:paraId="289783E6" w14:textId="582F86B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7ABD2AA" w14:textId="63DFCD8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75BDA1DD" w14:textId="010E20E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06F7A0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64E3D2D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422F5BE3" w14:textId="77777777" w:rsidTr="00801D0D">
        <w:trPr>
          <w:trHeight w:val="57"/>
        </w:trPr>
        <w:tc>
          <w:tcPr>
            <w:tcW w:w="4678" w:type="dxa"/>
            <w:noWrap/>
            <w:vAlign w:val="center"/>
          </w:tcPr>
          <w:p w14:paraId="18C5D03F" w14:textId="4C929186"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4535" w:type="dxa"/>
            <w:noWrap/>
            <w:vAlign w:val="center"/>
          </w:tcPr>
          <w:p w14:paraId="77D2B675"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69AEA1D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6B8367FB"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2B38EED6" w14:textId="77777777" w:rsidR="001974E4" w:rsidRPr="00CC1970" w:rsidRDefault="001974E4" w:rsidP="00F33019">
            <w:pPr>
              <w:ind w:right="-2"/>
              <w:jc w:val="right"/>
              <w:rPr>
                <w:rFonts w:ascii="Times New Roman" w:hAnsi="Times New Roman" w:cs="Times New Roman"/>
                <w:sz w:val="22"/>
              </w:rPr>
            </w:pPr>
          </w:p>
        </w:tc>
      </w:tr>
      <w:tr w:rsidR="00F33019" w:rsidRPr="00CC1970" w14:paraId="11A01426" w14:textId="77777777" w:rsidTr="00801D0D">
        <w:trPr>
          <w:trHeight w:val="57"/>
        </w:trPr>
        <w:tc>
          <w:tcPr>
            <w:tcW w:w="4678" w:type="dxa"/>
            <w:noWrap/>
            <w:vAlign w:val="center"/>
          </w:tcPr>
          <w:p w14:paraId="4A40E588" w14:textId="2DE58D5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B26D85"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28415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038E4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781C0A1" w14:textId="77777777" w:rsidTr="00801D0D">
        <w:trPr>
          <w:trHeight w:val="57"/>
        </w:trPr>
        <w:tc>
          <w:tcPr>
            <w:tcW w:w="4678" w:type="dxa"/>
            <w:noWrap/>
            <w:vAlign w:val="center"/>
          </w:tcPr>
          <w:p w14:paraId="4531B485" w14:textId="5A6CC76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EE72D6E"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174C86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839AB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4408488" w14:textId="77777777" w:rsidTr="00801D0D">
        <w:trPr>
          <w:trHeight w:val="57"/>
        </w:trPr>
        <w:tc>
          <w:tcPr>
            <w:tcW w:w="4678" w:type="dxa"/>
            <w:noWrap/>
            <w:vAlign w:val="center"/>
          </w:tcPr>
          <w:p w14:paraId="37C7A772" w14:textId="1A2BAB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16F9AC8" w14:textId="0E5FC13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191A062" w14:textId="0160DBC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3AC28C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48743C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02454151" w14:textId="77777777" w:rsidTr="00801D0D">
        <w:trPr>
          <w:trHeight w:val="57"/>
        </w:trPr>
        <w:tc>
          <w:tcPr>
            <w:tcW w:w="4678" w:type="dxa"/>
            <w:noWrap/>
            <w:vAlign w:val="center"/>
          </w:tcPr>
          <w:p w14:paraId="1A2941AE" w14:textId="1870F6E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BC975BF" w14:textId="5D1B94A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3AB6E971" w14:textId="538914C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162671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BE52EE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683836C0" w14:textId="77777777" w:rsidTr="00801D0D">
        <w:trPr>
          <w:trHeight w:val="57"/>
        </w:trPr>
        <w:tc>
          <w:tcPr>
            <w:tcW w:w="4678" w:type="dxa"/>
            <w:noWrap/>
            <w:vAlign w:val="center"/>
          </w:tcPr>
          <w:p w14:paraId="35E77B65" w14:textId="40BBC88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C75A9AA" w14:textId="1A8A477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18FA8C51" w14:textId="22774C5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5EE5C3A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F90FC9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680B4DE1" w14:textId="77777777" w:rsidTr="00801D0D">
        <w:trPr>
          <w:trHeight w:val="57"/>
        </w:trPr>
        <w:tc>
          <w:tcPr>
            <w:tcW w:w="4678" w:type="dxa"/>
            <w:noWrap/>
            <w:vAlign w:val="center"/>
          </w:tcPr>
          <w:p w14:paraId="4F995F88" w14:textId="7F0935D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2C0F1" w14:textId="0B70CB8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0E0C3E8" w14:textId="4390C76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49C8536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534722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2CD07B88" w14:textId="77777777" w:rsidTr="00801D0D">
        <w:trPr>
          <w:trHeight w:val="57"/>
        </w:trPr>
        <w:tc>
          <w:tcPr>
            <w:tcW w:w="4678" w:type="dxa"/>
            <w:noWrap/>
            <w:vAlign w:val="center"/>
          </w:tcPr>
          <w:p w14:paraId="14B78E2D" w14:textId="1F626B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0D61B3A" w14:textId="5A6D90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10DF79D5" w14:textId="0E9F87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68519A3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1D965F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11A95B6" w14:textId="77777777" w:rsidTr="00801D0D">
        <w:trPr>
          <w:trHeight w:val="57"/>
        </w:trPr>
        <w:tc>
          <w:tcPr>
            <w:tcW w:w="4678" w:type="dxa"/>
            <w:noWrap/>
            <w:vAlign w:val="center"/>
          </w:tcPr>
          <w:p w14:paraId="551FD81D" w14:textId="1DB14FD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1B2A3DB" w14:textId="0859604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69735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1F64DF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42C26075" w14:textId="77777777" w:rsidTr="00801D0D">
        <w:trPr>
          <w:trHeight w:val="57"/>
        </w:trPr>
        <w:tc>
          <w:tcPr>
            <w:tcW w:w="4678" w:type="dxa"/>
            <w:noWrap/>
            <w:vAlign w:val="center"/>
          </w:tcPr>
          <w:p w14:paraId="53EE46CD" w14:textId="365123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71F1597" w14:textId="59CE545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E8C2A01" w14:textId="7D7C7FD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623454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0CA5769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0158AE3D" w14:textId="77777777" w:rsidTr="00801D0D">
        <w:trPr>
          <w:trHeight w:val="57"/>
        </w:trPr>
        <w:tc>
          <w:tcPr>
            <w:tcW w:w="4678" w:type="dxa"/>
            <w:noWrap/>
            <w:vAlign w:val="center"/>
          </w:tcPr>
          <w:p w14:paraId="35FB42CB" w14:textId="61C346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33E3ADE" w14:textId="34623BC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5651751" w14:textId="577474E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123C28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28EC03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3102F2E5" w14:textId="77777777" w:rsidTr="00801D0D">
        <w:trPr>
          <w:trHeight w:val="57"/>
        </w:trPr>
        <w:tc>
          <w:tcPr>
            <w:tcW w:w="4678" w:type="dxa"/>
            <w:noWrap/>
            <w:vAlign w:val="center"/>
          </w:tcPr>
          <w:p w14:paraId="42210EF3" w14:textId="1B7E9D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4745A1" w14:textId="79A3D8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0E46E172" w14:textId="2805415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50438F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AE43CF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38313EF0" w14:textId="77777777" w:rsidTr="00801D0D">
        <w:trPr>
          <w:trHeight w:val="57"/>
        </w:trPr>
        <w:tc>
          <w:tcPr>
            <w:tcW w:w="4678" w:type="dxa"/>
            <w:noWrap/>
            <w:vAlign w:val="center"/>
          </w:tcPr>
          <w:p w14:paraId="592D1302" w14:textId="6362939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13F0912" w14:textId="08E7E1B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A4BCD1B" w14:textId="26C4D5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29086F4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3A1FB4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6E6FA1F0" w14:textId="77777777" w:rsidTr="00801D0D">
        <w:trPr>
          <w:trHeight w:val="57"/>
        </w:trPr>
        <w:tc>
          <w:tcPr>
            <w:tcW w:w="4678" w:type="dxa"/>
            <w:noWrap/>
            <w:vAlign w:val="center"/>
          </w:tcPr>
          <w:p w14:paraId="544851DB" w14:textId="57C5A3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792223" w14:textId="6A67872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31F81EA" w14:textId="06AC74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2AC7C8B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4D6D1FF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8A73C42" w14:textId="77777777" w:rsidTr="00801D0D">
        <w:trPr>
          <w:trHeight w:val="57"/>
        </w:trPr>
        <w:tc>
          <w:tcPr>
            <w:tcW w:w="4678" w:type="dxa"/>
            <w:noWrap/>
            <w:vAlign w:val="center"/>
          </w:tcPr>
          <w:p w14:paraId="4BA46D45" w14:textId="542B0C4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E00DE48" w14:textId="7B7FA0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306BDE7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54164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26C1C27" w14:textId="77777777" w:rsidTr="00801D0D">
        <w:trPr>
          <w:trHeight w:val="57"/>
        </w:trPr>
        <w:tc>
          <w:tcPr>
            <w:tcW w:w="4678" w:type="dxa"/>
            <w:noWrap/>
            <w:vAlign w:val="center"/>
          </w:tcPr>
          <w:p w14:paraId="443425A5" w14:textId="5402F41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950D8D" w14:textId="4BD3A52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5C35B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328B3B3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6BCA307A" w14:textId="77777777" w:rsidTr="00801D0D">
        <w:trPr>
          <w:trHeight w:val="57"/>
        </w:trPr>
        <w:tc>
          <w:tcPr>
            <w:tcW w:w="4678" w:type="dxa"/>
            <w:noWrap/>
            <w:vAlign w:val="center"/>
          </w:tcPr>
          <w:p w14:paraId="2880D637" w14:textId="105AC96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1A6D1D8" w14:textId="32043C8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27CD51D1" w14:textId="69ADAAF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AC88CA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4AC7BDD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71B75B0C" w14:textId="77777777" w:rsidTr="00801D0D">
        <w:trPr>
          <w:trHeight w:val="57"/>
        </w:trPr>
        <w:tc>
          <w:tcPr>
            <w:tcW w:w="4678" w:type="dxa"/>
            <w:noWrap/>
            <w:vAlign w:val="center"/>
          </w:tcPr>
          <w:p w14:paraId="46B29694" w14:textId="05EC82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479916" w14:textId="6D155D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noWrap/>
            <w:vAlign w:val="center"/>
            <w:hideMark/>
          </w:tcPr>
          <w:p w14:paraId="3CC86E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noWrap/>
            <w:vAlign w:val="center"/>
            <w:hideMark/>
          </w:tcPr>
          <w:p w14:paraId="7036646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r w:rsidR="00F33019" w:rsidRPr="00CC1970" w14:paraId="4CAA224D" w14:textId="77777777" w:rsidTr="00801D0D">
        <w:trPr>
          <w:trHeight w:val="57"/>
        </w:trPr>
        <w:tc>
          <w:tcPr>
            <w:tcW w:w="4678" w:type="dxa"/>
            <w:tcBorders>
              <w:bottom w:val="single" w:sz="4" w:space="0" w:color="auto"/>
            </w:tcBorders>
            <w:noWrap/>
          </w:tcPr>
          <w:p w14:paraId="222CD711" w14:textId="5D63CAC4" w:rsidR="00F33019" w:rsidRPr="00CC1970" w:rsidRDefault="00F33019" w:rsidP="00F33019">
            <w:pPr>
              <w:ind w:right="-2"/>
              <w:rPr>
                <w:rFonts w:ascii="Times New Roman" w:hAnsi="Times New Roman" w:cs="Times New Roman"/>
                <w:sz w:val="22"/>
              </w:rPr>
            </w:pPr>
          </w:p>
        </w:tc>
        <w:tc>
          <w:tcPr>
            <w:tcW w:w="4535" w:type="dxa"/>
            <w:tcBorders>
              <w:bottom w:val="single" w:sz="4" w:space="0" w:color="auto"/>
            </w:tcBorders>
            <w:noWrap/>
            <w:vAlign w:val="center"/>
            <w:hideMark/>
          </w:tcPr>
          <w:p w14:paraId="2D437CD2" w14:textId="141F59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tcBorders>
              <w:bottom w:val="single" w:sz="4" w:space="0" w:color="auto"/>
            </w:tcBorders>
            <w:noWrap/>
            <w:vAlign w:val="center"/>
            <w:hideMark/>
          </w:tcPr>
          <w:p w14:paraId="6CA9A32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tcBorders>
              <w:bottom w:val="single" w:sz="4" w:space="0" w:color="auto"/>
            </w:tcBorders>
            <w:noWrap/>
            <w:vAlign w:val="center"/>
            <w:hideMark/>
          </w:tcPr>
          <w:p w14:paraId="42E455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bl>
    <w:p w14:paraId="72C40FBE" w14:textId="45025146" w:rsidR="00C45C3D" w:rsidRPr="002F1D56"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NB= Negative binomial; 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49B93957" w14:textId="480F1B24" w:rsidR="00F33019" w:rsidRDefault="00F33019" w:rsidP="00BE70D4">
      <w:pPr>
        <w:spacing w:after="0" w:line="240" w:lineRule="auto"/>
        <w:ind w:left="720"/>
        <w:jc w:val="left"/>
        <w:rPr>
          <w:rFonts w:ascii="Times New Roman" w:hAnsi="Times New Roman" w:cs="Times New Roman"/>
          <w:sz w:val="24"/>
          <w:szCs w:val="28"/>
          <w:lang w:val="en-US"/>
        </w:rPr>
      </w:pPr>
      <w:r w:rsidRPr="002F1D56">
        <w:rPr>
          <w:rFonts w:ascii="Times New Roman" w:hAnsi="Times New Roman" w:cs="Times New Roman"/>
          <w:sz w:val="24"/>
          <w:szCs w:val="28"/>
          <w:shd w:val="clear" w:color="auto" w:fill="FFFFFF"/>
        </w:rPr>
        <w:t>All models adjusted for the following covariates:</w:t>
      </w:r>
      <w:r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Pr="002F1D56">
        <w:rPr>
          <w:rFonts w:ascii="Times New Roman" w:hAnsi="Times New Roman" w:cs="Times New Roman"/>
          <w:sz w:val="24"/>
          <w:szCs w:val="28"/>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13CA6664" w14:textId="7ADEE9E7" w:rsidR="0027126D" w:rsidRPr="00DA0996" w:rsidRDefault="00BA06BB" w:rsidP="00DA0996">
      <w:pPr>
        <w:spacing w:after="0" w:line="240" w:lineRule="auto"/>
        <w:ind w:firstLine="709"/>
        <w:jc w:val="left"/>
        <w:rPr>
          <w:rFonts w:ascii="Times New Roman" w:hAnsi="Times New Roman" w:cs="Times New Roman"/>
          <w:sz w:val="24"/>
          <w:szCs w:val="28"/>
        </w:rPr>
      </w:pPr>
      <w:r w:rsidRPr="00BA06BB">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r w:rsidR="00A96BE4">
        <w:rPr>
          <w:rFonts w:ascii="Times New Roman" w:hAnsi="Times New Roman" w:cs="Times New Roman"/>
          <w:sz w:val="24"/>
          <w:szCs w:val="24"/>
        </w:rPr>
        <w:t>all</w:t>
      </w:r>
      <w:r w:rsidRPr="00BA06BB">
        <w:rPr>
          <w:rFonts w:ascii="Times New Roman" w:hAnsi="Times New Roman" w:cs="Times New Roman"/>
          <w:sz w:val="24"/>
          <w:szCs w:val="24"/>
        </w:rPr>
        <w:t xml:space="preserve"> of the models and scenarios of lagged variables for </w:t>
      </w:r>
      <w:r>
        <w:rPr>
          <w:rFonts w:ascii="Times New Roman" w:hAnsi="Times New Roman" w:cs="Times New Roman"/>
          <w:sz w:val="24"/>
          <w:szCs w:val="24"/>
        </w:rPr>
        <w:t xml:space="preserve">intensive ambulatory settings </w:t>
      </w:r>
      <w:r w:rsidR="00A96BE4">
        <w:rPr>
          <w:rFonts w:ascii="Times New Roman" w:hAnsi="Times New Roman" w:cs="Times New Roman"/>
          <w:sz w:val="24"/>
          <w:szCs w:val="24"/>
        </w:rPr>
        <w:t xml:space="preserve">specific for women and residential settings for the </w:t>
      </w:r>
      <w:r>
        <w:rPr>
          <w:rFonts w:ascii="Times New Roman" w:hAnsi="Times New Roman" w:cs="Times New Roman"/>
          <w:sz w:val="24"/>
          <w:szCs w:val="24"/>
        </w:rPr>
        <w:t>general population</w:t>
      </w:r>
      <w:r w:rsidR="00037A43" w:rsidRPr="003A4AF8">
        <w:rPr>
          <w:rFonts w:ascii="Times New Roman" w:hAnsi="Times New Roman" w:cs="Times New Roman"/>
          <w:sz w:val="24"/>
          <w:szCs w:val="24"/>
        </w:rPr>
        <w:t xml:space="preserve">. </w:t>
      </w:r>
      <w:r w:rsidR="00A96BE4">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A4AF8">
        <w:rPr>
          <w:rFonts w:ascii="Times New Roman" w:hAnsi="Times New Roman" w:cs="Times New Roman"/>
          <w:sz w:val="24"/>
          <w:szCs w:val="24"/>
        </w:rPr>
        <w:t>(</w:t>
      </w:r>
      <w:r w:rsidR="00A96BE4">
        <w:rPr>
          <w:rFonts w:ascii="Times New Roman" w:hAnsi="Times New Roman" w:cs="Times New Roman"/>
          <w:sz w:val="24"/>
          <w:szCs w:val="24"/>
        </w:rPr>
        <w:t xml:space="preserve">RR </w:t>
      </w:r>
      <w:r w:rsidR="00A96BE4" w:rsidRPr="00A96BE4">
        <w:rPr>
          <w:rFonts w:ascii="Times New Roman" w:hAnsi="Times New Roman" w:cs="Times New Roman"/>
          <w:sz w:val="24"/>
          <w:szCs w:val="24"/>
        </w:rPr>
        <w:t xml:space="preserve">1.04 </w:t>
      </w:r>
      <w:r w:rsidR="00A96BE4">
        <w:rPr>
          <w:rFonts w:ascii="Times New Roman" w:hAnsi="Times New Roman" w:cs="Times New Roman"/>
          <w:sz w:val="24"/>
          <w:szCs w:val="24"/>
        </w:rPr>
        <w:t xml:space="preserve">95% CI </w:t>
      </w:r>
      <w:r w:rsidR="00A96BE4" w:rsidRPr="00A96BE4">
        <w:rPr>
          <w:rFonts w:ascii="Times New Roman" w:hAnsi="Times New Roman" w:cs="Times New Roman"/>
          <w:sz w:val="24"/>
          <w:szCs w:val="24"/>
        </w:rPr>
        <w:t>1.01, 1.07)</w:t>
      </w:r>
      <w:r w:rsidR="00DA0996">
        <w:rPr>
          <w:rFonts w:ascii="Times New Roman" w:hAnsi="Times New Roman" w:cs="Times New Roman"/>
          <w:sz w:val="24"/>
          <w:szCs w:val="24"/>
        </w:rPr>
        <w:t xml:space="preserve">, although very modest. In contrast, </w:t>
      </w:r>
      <w:r w:rsidR="00526359" w:rsidRPr="003A4AF8">
        <w:rPr>
          <w:rFonts w:ascii="Times New Roman" w:hAnsi="Times New Roman" w:cs="Times New Roman"/>
          <w:sz w:val="24"/>
          <w:szCs w:val="24"/>
        </w:rPr>
        <w:t>in intensive ambulatory settings for the general population</w:t>
      </w:r>
      <w:r w:rsidR="00526359">
        <w:rPr>
          <w:rFonts w:ascii="Times New Roman" w:hAnsi="Times New Roman" w:cs="Times New Roman"/>
          <w:sz w:val="24"/>
          <w:szCs w:val="24"/>
        </w:rPr>
        <w:t xml:space="preserve">, the association lose its strength, particularly among models where follow-up times were </w:t>
      </w:r>
      <w:r w:rsidR="00526359">
        <w:rPr>
          <w:rFonts w:ascii="Times New Roman" w:hAnsi="Times New Roman" w:cs="Times New Roman"/>
          <w:sz w:val="22"/>
        </w:rPr>
        <w:t>s</w:t>
      </w:r>
      <w:r w:rsidR="00526359" w:rsidRPr="002F1D56">
        <w:rPr>
          <w:rFonts w:ascii="Times New Roman" w:hAnsi="Times New Roman" w:cs="Times New Roman"/>
          <w:sz w:val="22"/>
        </w:rPr>
        <w:t>tratified by follow-up intervals</w:t>
      </w:r>
      <w:r w:rsidR="00526359">
        <w:rPr>
          <w:rFonts w:ascii="Times New Roman" w:hAnsi="Times New Roman" w:cs="Times New Roman"/>
          <w:sz w:val="22"/>
        </w:rPr>
        <w:t xml:space="preserve">, with its lower strength among lagged scenarios of time-varying covariates fixed in 1 (RR </w:t>
      </w:r>
      <w:r w:rsidR="00526359" w:rsidRPr="00526359">
        <w:rPr>
          <w:rFonts w:ascii="Times New Roman" w:hAnsi="Times New Roman" w:cs="Times New Roman"/>
          <w:sz w:val="22"/>
        </w:rPr>
        <w:t xml:space="preserve">1.01 </w:t>
      </w:r>
      <w:r w:rsidR="00526359">
        <w:rPr>
          <w:rFonts w:ascii="Times New Roman" w:hAnsi="Times New Roman" w:cs="Times New Roman"/>
          <w:sz w:val="22"/>
        </w:rPr>
        <w:t xml:space="preserve">95% CI </w:t>
      </w:r>
      <w:r w:rsidR="00526359" w:rsidRPr="00526359">
        <w:rPr>
          <w:rFonts w:ascii="Times New Roman" w:hAnsi="Times New Roman" w:cs="Times New Roman"/>
          <w:sz w:val="22"/>
        </w:rPr>
        <w:t>0.98, 1.05)</w:t>
      </w:r>
      <w:r w:rsidR="00526359">
        <w:rPr>
          <w:rFonts w:ascii="Times New Roman" w:hAnsi="Times New Roman" w:cs="Times New Roman"/>
          <w:sz w:val="22"/>
        </w:rPr>
        <w:t>. F</w:t>
      </w:r>
      <w:r w:rsidR="00526359" w:rsidRPr="00526359">
        <w:rPr>
          <w:rFonts w:ascii="Times New Roman" w:hAnsi="Times New Roman" w:cs="Times New Roman"/>
          <w:sz w:val="22"/>
        </w:rPr>
        <w:t>or residential settings exclusive to women</w:t>
      </w:r>
      <w:r w:rsidR="00526359">
        <w:rPr>
          <w:rFonts w:ascii="Times New Roman" w:hAnsi="Times New Roman" w:cs="Times New Roman"/>
          <w:sz w:val="22"/>
        </w:rPr>
        <w:t>, the only model that overlapped with the null was the s</w:t>
      </w:r>
      <w:r w:rsidR="00526359" w:rsidRPr="00526359">
        <w:rPr>
          <w:rFonts w:ascii="Times New Roman" w:hAnsi="Times New Roman" w:cs="Times New Roman"/>
          <w:sz w:val="22"/>
        </w:rPr>
        <w:t xml:space="preserve">tratified by follow-up intervals, </w:t>
      </w:r>
      <w:r w:rsidR="00526359">
        <w:rPr>
          <w:rFonts w:ascii="Times New Roman" w:hAnsi="Times New Roman" w:cs="Times New Roman"/>
          <w:sz w:val="22"/>
        </w:rPr>
        <w:t xml:space="preserve">where lagged time-varying covariates were fixed at </w:t>
      </w:r>
      <w:r w:rsidR="00526359" w:rsidRPr="00526359">
        <w:rPr>
          <w:rFonts w:ascii="Times New Roman" w:hAnsi="Times New Roman" w:cs="Times New Roman"/>
          <w:sz w:val="22"/>
        </w:rPr>
        <w:t>1 (RR 1.09 95% CI 0.99, 1.20)</w:t>
      </w:r>
      <w:r w:rsidR="00526359">
        <w:rPr>
          <w:rFonts w:ascii="Times New Roman" w:hAnsi="Times New Roman" w:cs="Times New Roman"/>
          <w:sz w:val="22"/>
        </w:rPr>
        <w:t>. However, both settings conserve its positive direction.</w:t>
      </w:r>
    </w:p>
    <w:sectPr w:rsidR="0027126D" w:rsidRPr="00DA0996"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5-16T23:20:00Z" w:initials="AG">
    <w:p w14:paraId="4CD4AFB9" w14:textId="60B05B4E" w:rsidR="00C637B2" w:rsidRDefault="00C637B2">
      <w:pPr>
        <w:pStyle w:val="Textocomentario"/>
      </w:pPr>
      <w:r>
        <w:rPr>
          <w:rStyle w:val="Refdecomentario"/>
        </w:rPr>
        <w:annotationRef/>
      </w:r>
      <w:r>
        <w:t>referenciar</w:t>
      </w:r>
    </w:p>
  </w:comment>
  <w:comment w:id="3" w:author="Andrés González Santa Cruz" w:date="2024-06-26T11:48:00Z" w:initials="AG">
    <w:p w14:paraId="3FF58044" w14:textId="2DB2602C" w:rsidR="000D7704" w:rsidRDefault="000D7704">
      <w:pPr>
        <w:pStyle w:val="Textocomentario"/>
      </w:pPr>
      <w:r>
        <w:rPr>
          <w:rStyle w:val="Refdecomentario"/>
        </w:rPr>
        <w:annotationRef/>
      </w:r>
      <w:r w:rsidRPr="000D7704">
        <w:rPr>
          <w:lang w:val="en-US"/>
        </w:rPr>
        <w:t xml:space="preserve">Lokku, A., Lim, L. S., Birken, C. S., Pullenayegum, E. M., &amp; on behalf of the TARGet Kids! Collaboration. (2020). Summarizing the extent of visit irregularity in longitudinal data. </w:t>
      </w:r>
      <w:r w:rsidRPr="000D7704">
        <w:t>BMC Medical Research Methodology, 20(1), 135. https://doi.org/10.1186/s12874-020-01023-w</w:t>
      </w:r>
    </w:p>
  </w:comment>
  <w:comment w:id="4" w:author="Andrés González Santa Cruz" w:date="2024-06-25T21:44:00Z" w:initials="AG">
    <w:p w14:paraId="62883D73" w14:textId="77777777" w:rsid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M., Birken, C., Maguire, J., &amp; TARGet Kids! Collaboration. (2023). Causal inference with longitudinal data subject to irregular assessment times. Statistics in Medicine, 42(14), 2361–2393. https://doi.org/10.1002/sim.9727</w:t>
      </w:r>
    </w:p>
    <w:p w14:paraId="126175C6" w14:textId="1FAA5566" w:rsidR="008B6CB8" w:rsidRDefault="008B6CB8">
      <w:pPr>
        <w:pStyle w:val="Textocomentario"/>
      </w:pPr>
    </w:p>
  </w:comment>
  <w:comment w:id="5" w:author="Andrés González Santa Cruz" w:date="2024-06-25T21:44:00Z" w:initials="AG">
    <w:p w14:paraId="7FF0ECD9" w14:textId="77777777" w:rsidR="008B6CB8" w:rsidRP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(2022). IrregLong: Analysis of Longitudinal Data with Irregular Observation Times [Computer software]. https://cran.r-project.org/web/packages/IrregLong/index.html</w:t>
      </w:r>
    </w:p>
    <w:p w14:paraId="1FDDCC2D" w14:textId="58BB3CB0" w:rsidR="008B6CB8" w:rsidRPr="008B6CB8" w:rsidRDefault="008B6CB8">
      <w:pPr>
        <w:pStyle w:val="Textocomentario"/>
        <w:rPr>
          <w:lang w:val="en-US"/>
        </w:rPr>
      </w:pPr>
    </w:p>
  </w:comment>
  <w:comment w:id="6" w:author="Andrés González Santa Cruz" w:date="2024-05-14T12:25:00Z" w:initials="AG">
    <w:p w14:paraId="4496A22B" w14:textId="77777777" w:rsidR="00410678" w:rsidRPr="008A05C2" w:rsidRDefault="00410678" w:rsidP="00410678">
      <w:pPr>
        <w:pStyle w:val="Textocomentario"/>
        <w:rPr>
          <w:lang w:val="en-US"/>
        </w:rPr>
      </w:pPr>
      <w:r>
        <w:rPr>
          <w:rStyle w:val="Refdecomentario"/>
        </w:rPr>
        <w:annotationRef/>
      </w:r>
      <w:r w:rsidRPr="002E6CD9">
        <w:rPr>
          <w:i/>
          <w:iCs/>
          <w:lang w:val="en-AU"/>
        </w:rPr>
        <w:t>Putter, H., M. Sasako, H. H. Hartgrink, C. J. H. van de Velde, and J. C. van Houwelin gen. 2005. Long-term survival with non-proportional hazards: Results from the Dutch  Gastric Cancer Trial. Statistics in Medicine 24: 2807–2821</w:t>
      </w:r>
      <w:r w:rsidRPr="002E6CD9">
        <w:rPr>
          <w:lang w:val="en-AU"/>
        </w:rPr>
        <w:t>)</w:t>
      </w:r>
    </w:p>
  </w:comment>
  <w:comment w:id="8" w:author="Andrés González Santa Cruz" w:date="2024-05-14T12:57:00Z" w:initials="AG">
    <w:p w14:paraId="61D82981" w14:textId="77777777" w:rsidR="00410678" w:rsidRPr="00C17B82" w:rsidRDefault="00410678" w:rsidP="00410678">
      <w:pPr>
        <w:pStyle w:val="Textocomentario"/>
        <w:rPr>
          <w:lang w:val="en-US"/>
        </w:rPr>
      </w:pPr>
      <w:r>
        <w:rPr>
          <w:rStyle w:val="Refdecomentario"/>
        </w:rPr>
        <w:annotationRef/>
      </w:r>
      <w:r w:rsidRPr="008A05C2">
        <w:rPr>
          <w:lang w:val="en-US"/>
        </w:rPr>
        <w:t xml:space="preserve">Keele, L. Proportionally Difficult: Testing for Nonproportional Hazards in Cox Models. </w:t>
      </w:r>
      <w:r w:rsidRPr="00C17B82">
        <w:rPr>
          <w:lang w:val="en-US"/>
        </w:rPr>
        <w:t>Political Analysis (2010) 18:189–205. doi:10.1093/pan/mpp044</w:t>
      </w:r>
    </w:p>
  </w:comment>
  <w:comment w:id="9" w:author="Andrés González Santa Cruz" w:date="2024-05-19T21:59:00Z" w:initials="AG">
    <w:p w14:paraId="3AF04DC9" w14:textId="77777777" w:rsidR="00650E6B" w:rsidRPr="00650E6B" w:rsidRDefault="00650E6B" w:rsidP="00650E6B">
      <w:pPr>
        <w:spacing w:line="240" w:lineRule="auto"/>
        <w:jc w:val="left"/>
        <w:rPr>
          <w:rFonts w:ascii="Times New Roman" w:eastAsia="Times New Roman" w:hAnsi="Times New Roman" w:cs="Times New Roman"/>
          <w:sz w:val="24"/>
          <w:szCs w:val="24"/>
          <w:lang w:val="en-US" w:eastAsia="es-CL"/>
        </w:rPr>
      </w:pPr>
      <w:r>
        <w:rPr>
          <w:rStyle w:val="Refdecomentario"/>
        </w:rPr>
        <w:annotationRef/>
      </w:r>
      <w:r w:rsidRPr="00650E6B">
        <w:rPr>
          <w:rFonts w:ascii="Times New Roman" w:eastAsia="Times New Roman" w:hAnsi="Times New Roman" w:cs="Times New Roman"/>
          <w:sz w:val="24"/>
          <w:szCs w:val="24"/>
          <w:lang w:val="en-US" w:eastAsia="es-CL"/>
        </w:rPr>
        <w:t xml:space="preserve">Zhang, Z., Reinikainen, J., Adeleke, K. A., Pieterse, M. E., &amp; M. Groothuis-Oudshoorn, C. G. (2018). Time-varying covariates and coefficients in Cox regression models. </w:t>
      </w:r>
      <w:r w:rsidRPr="00650E6B">
        <w:rPr>
          <w:rFonts w:ascii="Times New Roman" w:eastAsia="Times New Roman" w:hAnsi="Times New Roman" w:cs="Times New Roman"/>
          <w:i/>
          <w:iCs/>
          <w:sz w:val="24"/>
          <w:szCs w:val="24"/>
          <w:lang w:val="en-US" w:eastAsia="es-CL"/>
        </w:rPr>
        <w:t>Annals of Translational Medicine</w:t>
      </w:r>
      <w:r w:rsidRPr="00650E6B">
        <w:rPr>
          <w:rFonts w:ascii="Times New Roman" w:eastAsia="Times New Roman" w:hAnsi="Times New Roman" w:cs="Times New Roman"/>
          <w:sz w:val="24"/>
          <w:szCs w:val="24"/>
          <w:lang w:val="en-US" w:eastAsia="es-CL"/>
        </w:rPr>
        <w:t xml:space="preserve">, </w:t>
      </w:r>
      <w:r w:rsidRPr="00650E6B">
        <w:rPr>
          <w:rFonts w:ascii="Times New Roman" w:eastAsia="Times New Roman" w:hAnsi="Times New Roman" w:cs="Times New Roman"/>
          <w:i/>
          <w:iCs/>
          <w:sz w:val="24"/>
          <w:szCs w:val="24"/>
          <w:lang w:val="en-US" w:eastAsia="es-CL"/>
        </w:rPr>
        <w:t>6</w:t>
      </w:r>
      <w:r w:rsidRPr="00650E6B">
        <w:rPr>
          <w:rFonts w:ascii="Times New Roman" w:eastAsia="Times New Roman" w:hAnsi="Times New Roman" w:cs="Times New Roman"/>
          <w:sz w:val="24"/>
          <w:szCs w:val="24"/>
          <w:lang w:val="en-US" w:eastAsia="es-CL"/>
        </w:rPr>
        <w:t>(7). https://doi.org/10.21037/atm.2018.02.12</w:t>
      </w:r>
    </w:p>
    <w:p w14:paraId="31AB0942" w14:textId="2FE4EABE" w:rsidR="00650E6B" w:rsidRPr="00650E6B" w:rsidRDefault="00650E6B">
      <w:pPr>
        <w:pStyle w:val="Textocomentario"/>
        <w:rPr>
          <w:lang w:val="en-US"/>
        </w:rPr>
      </w:pPr>
    </w:p>
  </w:comment>
  <w:comment w:id="10" w:author="Andrés González Santa Cruz" w:date="2024-05-14T11:07:00Z" w:initials="AG">
    <w:p w14:paraId="6CC75D91" w14:textId="77777777" w:rsidR="00410678" w:rsidRPr="00CA7FD0" w:rsidRDefault="00410678" w:rsidP="00410678">
      <w:pPr>
        <w:pStyle w:val="Textocomentario"/>
        <w:rPr>
          <w:lang w:val="en-US"/>
        </w:rPr>
      </w:pPr>
      <w:r>
        <w:rPr>
          <w:rStyle w:val="Refdecomentario"/>
        </w:rPr>
        <w:annotationRef/>
      </w:r>
      <w:r w:rsidRPr="00410678">
        <w:rPr>
          <w:lang w:val="en-US"/>
        </w:rPr>
        <w:t xml:space="preserve">Pan, W. (2001). </w:t>
      </w:r>
      <w:r w:rsidRPr="00CA7FD0">
        <w:rPr>
          <w:lang w:val="en-US"/>
        </w:rPr>
        <w:t>Akaike's Information Criterion in Generalized Estimating Equations. Biometrics, 57(1), 120-125. https://doi.org/10.1111/j.0006-341X.2001.00120.x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4AFB9" w15:done="0"/>
  <w15:commentEx w15:paraId="3FF58044" w15:done="0"/>
  <w15:commentEx w15:paraId="126175C6" w15:done="0"/>
  <w15:commentEx w15:paraId="1FDDCC2D" w15:done="0"/>
  <w15:commentEx w15:paraId="4496A22B" w15:done="0"/>
  <w15:commentEx w15:paraId="61D82981" w15:done="0"/>
  <w15:commentEx w15:paraId="31AB0942" w15:paraIdParent="61D82981" w15:done="0"/>
  <w15:commentEx w15:paraId="6CC75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2C07ED" w16cex:dateUtc="2024-05-17T03:20:00Z"/>
  <w16cex:commentExtensible w16cex:durableId="1A344955" w16cex:dateUtc="2024-06-26T15:48:00Z"/>
  <w16cex:commentExtensible w16cex:durableId="262F7E71" w16cex:dateUtc="2024-06-26T01:44:00Z"/>
  <w16cex:commentExtensible w16cex:durableId="25550DC3" w16cex:dateUtc="2024-06-26T01:44:00Z"/>
  <w16cex:commentExtensible w16cex:durableId="00829E6E" w16cex:dateUtc="2024-05-14T16:25:00Z"/>
  <w16cex:commentExtensible w16cex:durableId="55534B79" w16cex:dateUtc="2024-05-14T16:57:00Z"/>
  <w16cex:commentExtensible w16cex:durableId="403E5593" w16cex:dateUtc="2024-05-20T01:59:00Z"/>
  <w16cex:commentExtensible w16cex:durableId="6D244ED1" w16cex:dateUtc="2024-05-1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4AFB9" w16cid:durableId="052C07ED"/>
  <w16cid:commentId w16cid:paraId="3FF58044" w16cid:durableId="1A344955"/>
  <w16cid:commentId w16cid:paraId="126175C6" w16cid:durableId="262F7E71"/>
  <w16cid:commentId w16cid:paraId="1FDDCC2D" w16cid:durableId="25550DC3"/>
  <w16cid:commentId w16cid:paraId="4496A22B" w16cid:durableId="00829E6E"/>
  <w16cid:commentId w16cid:paraId="61D82981" w16cid:durableId="55534B79"/>
  <w16cid:commentId w16cid:paraId="31AB0942" w16cid:durableId="403E5593"/>
  <w16cid:commentId w16cid:paraId="6CC75D91" w16cid:durableId="6D24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D2B41" w14:textId="77777777" w:rsidR="00A712A7" w:rsidRDefault="00A712A7" w:rsidP="008340E2">
      <w:pPr>
        <w:spacing w:after="0" w:line="240" w:lineRule="auto"/>
      </w:pPr>
      <w:r>
        <w:separator/>
      </w:r>
    </w:p>
  </w:endnote>
  <w:endnote w:type="continuationSeparator" w:id="0">
    <w:p w14:paraId="0B3A1B93" w14:textId="77777777" w:rsidR="00A712A7" w:rsidRDefault="00A712A7"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7909E" w14:textId="77777777" w:rsidR="00A712A7" w:rsidRDefault="00A712A7" w:rsidP="008340E2">
      <w:pPr>
        <w:spacing w:after="0" w:line="240" w:lineRule="auto"/>
      </w:pPr>
      <w:r>
        <w:separator/>
      </w:r>
    </w:p>
  </w:footnote>
  <w:footnote w:type="continuationSeparator" w:id="0">
    <w:p w14:paraId="4DE9046B" w14:textId="77777777" w:rsidR="00A712A7" w:rsidRDefault="00A712A7"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30992"/>
    <w:rsid w:val="00037A43"/>
    <w:rsid w:val="000D7704"/>
    <w:rsid w:val="001974E4"/>
    <w:rsid w:val="001C5629"/>
    <w:rsid w:val="0025070A"/>
    <w:rsid w:val="0027126D"/>
    <w:rsid w:val="002F1D56"/>
    <w:rsid w:val="00382E62"/>
    <w:rsid w:val="003B2C20"/>
    <w:rsid w:val="00410678"/>
    <w:rsid w:val="004160EC"/>
    <w:rsid w:val="00425CB0"/>
    <w:rsid w:val="00435289"/>
    <w:rsid w:val="0047439C"/>
    <w:rsid w:val="004D463F"/>
    <w:rsid w:val="004F6154"/>
    <w:rsid w:val="00521EBB"/>
    <w:rsid w:val="00526359"/>
    <w:rsid w:val="005569C9"/>
    <w:rsid w:val="005A5AE1"/>
    <w:rsid w:val="00650E6B"/>
    <w:rsid w:val="0065310D"/>
    <w:rsid w:val="006743F6"/>
    <w:rsid w:val="00745DF7"/>
    <w:rsid w:val="007550F3"/>
    <w:rsid w:val="00795D98"/>
    <w:rsid w:val="007C4B58"/>
    <w:rsid w:val="00801D0D"/>
    <w:rsid w:val="008340E2"/>
    <w:rsid w:val="00860DD4"/>
    <w:rsid w:val="008A2C25"/>
    <w:rsid w:val="008A7A54"/>
    <w:rsid w:val="008B6CB8"/>
    <w:rsid w:val="008D75D4"/>
    <w:rsid w:val="00957149"/>
    <w:rsid w:val="00A318AE"/>
    <w:rsid w:val="00A47649"/>
    <w:rsid w:val="00A6037E"/>
    <w:rsid w:val="00A607FD"/>
    <w:rsid w:val="00A712A7"/>
    <w:rsid w:val="00A96BE4"/>
    <w:rsid w:val="00AB3754"/>
    <w:rsid w:val="00AD5BED"/>
    <w:rsid w:val="00B05733"/>
    <w:rsid w:val="00B24D32"/>
    <w:rsid w:val="00B83F64"/>
    <w:rsid w:val="00B86C53"/>
    <w:rsid w:val="00BA06BB"/>
    <w:rsid w:val="00BE70D4"/>
    <w:rsid w:val="00C17B82"/>
    <w:rsid w:val="00C45C3D"/>
    <w:rsid w:val="00C637B2"/>
    <w:rsid w:val="00CC1970"/>
    <w:rsid w:val="00CF1AAD"/>
    <w:rsid w:val="00D9753F"/>
    <w:rsid w:val="00D97DD0"/>
    <w:rsid w:val="00DA0996"/>
    <w:rsid w:val="00DF0406"/>
    <w:rsid w:val="00DF6512"/>
    <w:rsid w:val="00E12ABC"/>
    <w:rsid w:val="00EB67E2"/>
    <w:rsid w:val="00F33019"/>
    <w:rsid w:val="00F46817"/>
    <w:rsid w:val="00FA4F8B"/>
    <w:rsid w:val="00FB6F7D"/>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B2"/>
    <w:pPr>
      <w:spacing w:line="256" w:lineRule="auto"/>
      <w:jc w:val="both"/>
    </w:pPr>
    <w:rPr>
      <w:rFonts w:ascii="Verdana" w:hAnsi="Verdana"/>
      <w:kern w:val="0"/>
      <w:sz w:val="20"/>
      <w:lang w:val="en-AU"/>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4971</Words>
  <Characters>27341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18</cp:revision>
  <dcterms:created xsi:type="dcterms:W3CDTF">2024-06-25T19:49:00Z</dcterms:created>
  <dcterms:modified xsi:type="dcterms:W3CDTF">2024-06-27T18:01:00Z</dcterms:modified>
</cp:coreProperties>
</file>