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0"/>
        <w:gridCol w:w="1200"/>
        <w:gridCol w:w="1200"/>
      </w:tblGrid>
      <w:tr w:rsidR="008935C8" w:rsidRPr="00FB35B2" w14:paraId="01B36CEB" w14:textId="77777777" w:rsidTr="00AF75F5">
        <w:trPr>
          <w:trHeight w:val="20"/>
        </w:trPr>
        <w:tc>
          <w:tcPr>
            <w:tcW w:w="5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335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A2C678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448D744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Yes</w:t>
            </w:r>
          </w:p>
        </w:tc>
      </w:tr>
      <w:tr w:rsidR="008935C8" w:rsidRPr="00FB35B2" w14:paraId="596F5256" w14:textId="77777777" w:rsidTr="00AF75F5">
        <w:trPr>
          <w:trHeight w:val="20"/>
        </w:trPr>
        <w:tc>
          <w:tcPr>
            <w:tcW w:w="534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14:paraId="5B6616A9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14:paraId="7680407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N=10</w:t>
            </w:r>
            <w:r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,</w:t>
            </w:r>
            <w:r w:rsidRPr="00FB35B2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809</w:t>
            </w:r>
          </w:p>
        </w:tc>
        <w:tc>
          <w:tcPr>
            <w:tcW w:w="120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14:paraId="313500E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N=74</w:t>
            </w:r>
            <w:r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,</w:t>
            </w:r>
            <w:r w:rsidRPr="00FB35B2">
              <w:rPr>
                <w:rFonts w:ascii="RooneySans Bold" w:eastAsia="Times New Roman" w:hAnsi="RooneySans Bold" w:cs="Calibri"/>
                <w:i/>
                <w:iCs/>
                <w:color w:val="222222"/>
                <w:sz w:val="16"/>
                <w:szCs w:val="16"/>
                <w:lang w:eastAsia="es-CL"/>
              </w:rPr>
              <w:t>239</w:t>
            </w:r>
          </w:p>
        </w:tc>
      </w:tr>
      <w:tr w:rsidR="008935C8" w:rsidRPr="00FB35B2" w14:paraId="0A36A919" w14:textId="77777777" w:rsidTr="00AF75F5">
        <w:trPr>
          <w:trHeight w:val="20"/>
        </w:trPr>
        <w:tc>
          <w:tcPr>
            <w:tcW w:w="5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B69997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Type</w:t>
            </w:r>
            <w:proofErr w:type="spellEnd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2F025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A485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063B750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E01D5FB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Outpatient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77AFD5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9830 (90.9%)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455AF8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62437 (84.1%)</w:t>
            </w:r>
          </w:p>
        </w:tc>
      </w:tr>
      <w:tr w:rsidR="008935C8" w:rsidRPr="00FB35B2" w14:paraId="403910B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4929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u w:val="single"/>
                <w:lang w:eastAsia="es-CL"/>
              </w:rPr>
            </w:pPr>
            <w:proofErr w:type="spellStart"/>
            <w:r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Residential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785B8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976 (9.03%)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5D595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11730 (15.8%)</w:t>
            </w:r>
          </w:p>
        </w:tc>
      </w:tr>
      <w:tr w:rsidR="008935C8" w:rsidRPr="00FB35B2" w14:paraId="5303603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843C3A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AB4CE5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 (0.03%)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55C5A5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72 (0.10%)</w:t>
            </w:r>
          </w:p>
        </w:tc>
      </w:tr>
      <w:tr w:rsidR="008935C8" w:rsidRPr="00FB35B2" w14:paraId="16F5B346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E6A21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Primary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Substance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at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8A598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8FB8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195CD9E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AEB405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E11625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5487 (50.8%)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BF677C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23372 (31.5%)</w:t>
            </w:r>
          </w:p>
        </w:tc>
      </w:tr>
      <w:tr w:rsidR="008935C8" w:rsidRPr="00FB35B2" w14:paraId="3BCDF2B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20C5B2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hydrochloride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4CEF6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2151 (19.9%)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89A6B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14000 (18.9%)</w:t>
            </w:r>
          </w:p>
        </w:tc>
      </w:tr>
      <w:tr w:rsidR="008935C8" w:rsidRPr="00FB35B2" w14:paraId="14D0B1DA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6E5BC82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67DC4F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709 (6.56%)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1F9BCE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5062 (6.82%)</w:t>
            </w:r>
          </w:p>
        </w:tc>
      </w:tr>
      <w:tr w:rsidR="008935C8" w:rsidRPr="00FB35B2" w14:paraId="769E1CE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43BA0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459E5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365 (3.38%)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D7BDE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1220 (1.64%)</w:t>
            </w:r>
          </w:p>
        </w:tc>
      </w:tr>
      <w:tr w:rsidR="008935C8" w:rsidRPr="00FB35B2" w14:paraId="667F71A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AC730F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paste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6AE615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2097 (19.4%)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AD9899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30584 (41.2%)</w:t>
            </w:r>
          </w:p>
        </w:tc>
      </w:tr>
      <w:tr w:rsidR="008935C8" w:rsidRPr="00FB35B2" w14:paraId="341F644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3784FB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F57A4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1FC7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8935C8" w:rsidRPr="00FB35B2" w14:paraId="1AB2CB8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356EC28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Sum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substances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8AE97B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D002C5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696D7C7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37729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3384D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4425 (40.9%)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7CD7B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18118 (24.4%)</w:t>
            </w:r>
          </w:p>
        </w:tc>
      </w:tr>
      <w:tr w:rsidR="008935C8" w:rsidRPr="00FB35B2" w14:paraId="2F1B987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84D0FE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F6760D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3666 (33.9%)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BF9F43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25635 (34.5%)</w:t>
            </w:r>
          </w:p>
        </w:tc>
      </w:tr>
      <w:tr w:rsidR="008935C8" w:rsidRPr="00FB35B2" w14:paraId="2A46B8D6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B59C1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3236C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2718 (25.1%)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6B9BD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30486 (41.1%)</w:t>
            </w:r>
          </w:p>
        </w:tc>
      </w:tr>
      <w:tr w:rsidR="008935C8" w:rsidRPr="00FB35B2" w14:paraId="1B0B65D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62DBDE2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First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Substance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Used: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3DA86A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16BAE5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39E9E18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4ED215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Alcohol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E40F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7099 (65.7%)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6F10F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39524 (53.2%)</w:t>
            </w:r>
          </w:p>
        </w:tc>
      </w:tr>
      <w:tr w:rsidR="008935C8" w:rsidRPr="00FB35B2" w14:paraId="3A385B5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C7CDBE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hydrochloride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D0CA55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354 (3.28%)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9303A4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2808 (3.78%)</w:t>
            </w:r>
          </w:p>
        </w:tc>
      </w:tr>
      <w:tr w:rsidR="008935C8" w:rsidRPr="00FB35B2" w14:paraId="4D00888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14A5CC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Marijuana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9356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1850 (17.1%)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F1EC3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21141 (28.5%)</w:t>
            </w:r>
          </w:p>
        </w:tc>
      </w:tr>
      <w:tr w:rsidR="008935C8" w:rsidRPr="00FB35B2" w14:paraId="7216E92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883390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D2F970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305 (2.82%)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5C217C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1682 (2.27%)</w:t>
            </w:r>
          </w:p>
        </w:tc>
      </w:tr>
      <w:tr w:rsidR="008935C8" w:rsidRPr="00FB35B2" w14:paraId="2F7EFF8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FBA8C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Cocaine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paste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85CC7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213 (1.97%)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015DF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3651 (4.92%)</w:t>
            </w:r>
          </w:p>
        </w:tc>
      </w:tr>
      <w:tr w:rsidR="008935C8" w:rsidRPr="00FB35B2" w14:paraId="62C5A4E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61D073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2AA1BB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988 (9.14%)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2F66D2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5433 (7.32%)</w:t>
            </w:r>
          </w:p>
        </w:tc>
      </w:tr>
      <w:tr w:rsidR="008935C8" w:rsidRPr="00FB35B2" w14:paraId="36BC384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39C1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Marital </w:t>
            </w:r>
            <w:proofErr w:type="gram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Status</w:t>
            </w:r>
            <w:proofErr w:type="gram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8E3D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9B11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31398AE6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DC7724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Married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/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Shared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gram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living</w:t>
            </w:r>
            <w:proofErr w:type="gram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arrangements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777E50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4366 (40.4%)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D99680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24750 (33.3%)</w:t>
            </w:r>
          </w:p>
        </w:tc>
      </w:tr>
      <w:tr w:rsidR="008935C8" w:rsidRPr="00FB35B2" w14:paraId="04A8A21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925AD2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Separated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/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Divorced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B2E5C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1335 (12.4%)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260C0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7714 (10.4%)</w:t>
            </w:r>
          </w:p>
        </w:tc>
      </w:tr>
      <w:tr w:rsidR="008935C8" w:rsidRPr="00FB35B2" w14:paraId="5DFA40E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5E362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gram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Single</w:t>
            </w:r>
            <w:proofErr w:type="gram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D4F3C3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4833 (44.7%)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3C52A7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40883 (55.1%)</w:t>
            </w:r>
          </w:p>
        </w:tc>
      </w:tr>
      <w:tr w:rsidR="008935C8" w:rsidRPr="00FB35B2" w14:paraId="4D577FE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99214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Widower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9DA90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254 (2.35%)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6B743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749 (1.01%)</w:t>
            </w:r>
          </w:p>
        </w:tc>
      </w:tr>
      <w:tr w:rsidR="008935C8" w:rsidRPr="00FB35B2" w14:paraId="0463322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0D1E9A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FFC87D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 (0.19%)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5F573A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143 (0.19%)</w:t>
            </w:r>
          </w:p>
        </w:tc>
      </w:tr>
      <w:tr w:rsidR="008935C8" w:rsidRPr="00FB35B2" w14:paraId="2DDB9E5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6C8A5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Educational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Attainment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CC45A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99A85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45F1567A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D566B5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3-Completed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primary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school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less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75FB1A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3155 (29.2%)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D2E57F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20788 (28.0%)</w:t>
            </w:r>
          </w:p>
        </w:tc>
      </w:tr>
      <w:tr w:rsidR="008935C8" w:rsidRPr="00FB35B2" w14:paraId="255BB30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8F658E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2-Completed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high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school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less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37CD4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5538 (51.2%)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CA1A3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41115 (55.4%)</w:t>
            </w:r>
          </w:p>
        </w:tc>
      </w:tr>
      <w:tr w:rsidR="008935C8" w:rsidRPr="00FB35B2" w14:paraId="74485A4E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9EEE1BD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1-More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than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high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school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C56E83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2049 (19.0%)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D17C75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12019 (16.2%)</w:t>
            </w:r>
          </w:p>
        </w:tc>
      </w:tr>
      <w:tr w:rsidR="008935C8" w:rsidRPr="00FB35B2" w14:paraId="07C7EAA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BD578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D38CD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67 (0.62%)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CDFF4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317 (0.43%)</w:t>
            </w:r>
          </w:p>
        </w:tc>
      </w:tr>
      <w:tr w:rsidR="008935C8" w:rsidRPr="00FB35B2" w14:paraId="7B233BC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B815BD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Primary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Substance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at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Usage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Frequency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CADEF4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7C2116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3B01DD2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8BEC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Did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use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7A78A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150 (1.39%)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72B12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1032 (1.39%)</w:t>
            </w:r>
          </w:p>
        </w:tc>
      </w:tr>
      <w:tr w:rsidR="008935C8" w:rsidRPr="00FB35B2" w14:paraId="6D6A360E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18F35A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Less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than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1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week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E094E5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400 (3.70%)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60FF65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2596 (3.50%)</w:t>
            </w:r>
          </w:p>
        </w:tc>
      </w:tr>
      <w:tr w:rsidR="008935C8" w:rsidRPr="00FB35B2" w14:paraId="38B58E76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</w:tcPr>
          <w:p w14:paraId="1EA897B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1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week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more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</w:tcPr>
          <w:p w14:paraId="44D23A2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823 (7.61%)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</w:tcPr>
          <w:p w14:paraId="500DB3B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4787 (6.45%)</w:t>
            </w:r>
          </w:p>
        </w:tc>
      </w:tr>
      <w:tr w:rsidR="008935C8" w:rsidRPr="00FB35B2" w14:paraId="72B92C2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272A2C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2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to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3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days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week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89A3A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3266 (30.2%)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57934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20450 (27.5%)</w:t>
            </w:r>
          </w:p>
        </w:tc>
      </w:tr>
      <w:tr w:rsidR="008935C8" w:rsidRPr="00FB35B2" w14:paraId="5CE3328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4DFF66D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4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to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6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days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week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EFD877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1861 (17.2%)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F41DDB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12062 (16.2%)</w:t>
            </w:r>
          </w:p>
        </w:tc>
      </w:tr>
      <w:tr w:rsidR="008935C8" w:rsidRPr="00FB35B2" w14:paraId="3A34CBD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3176E92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Daily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4F9899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4262 (39.4%)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4213D2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32938 (44.4%)</w:t>
            </w:r>
          </w:p>
        </w:tc>
      </w:tr>
      <w:tr w:rsidR="008935C8" w:rsidRPr="00FB35B2" w14:paraId="4DA41D7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7C4DD3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C247E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 (0.43%)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D683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374 (0.50%)</w:t>
            </w:r>
          </w:p>
        </w:tc>
      </w:tr>
      <w:tr w:rsidR="008935C8" w:rsidRPr="00FB35B2" w14:paraId="5B18883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C0C02A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Motive: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3CF7E8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A35555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2DBBD4F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2F292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Spontaneous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AC8A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5127 (47.4%)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01C3A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32901 (44.3%)</w:t>
            </w:r>
          </w:p>
        </w:tc>
      </w:tr>
      <w:tr w:rsidR="008935C8" w:rsidRPr="00FB35B2" w14:paraId="0B950DD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9E57513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Assisted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Referral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2C92AF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785 (7.26%)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A8280D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7182 (9.67%)</w:t>
            </w:r>
          </w:p>
        </w:tc>
      </w:tr>
      <w:tr w:rsidR="008935C8" w:rsidRPr="00FB35B2" w14:paraId="04C3637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41069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A690A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540 (5.00%)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7D00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3974 (5.35%)</w:t>
            </w:r>
          </w:p>
        </w:tc>
      </w:tr>
      <w:tr w:rsidR="008935C8" w:rsidRPr="00FB35B2" w14:paraId="3E6BB5DC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6CBD9C5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Justice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Sector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56E38F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423 (3.91%)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08CA39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7553 (10.2%)</w:t>
            </w:r>
          </w:p>
        </w:tc>
      </w:tr>
      <w:tr w:rsidR="008935C8" w:rsidRPr="00FB35B2" w14:paraId="0C246FD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2C9E0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Health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Sector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6411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3934 (36.4%)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ECCA9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22629 (30.5%)</w:t>
            </w:r>
          </w:p>
        </w:tc>
      </w:tr>
      <w:tr w:rsidR="008935C8" w:rsidRPr="00FB35B2" w14:paraId="6630170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CE2C665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Psychiatric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co-morbidity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2E1FB3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270386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52F957C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EFC14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Without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psychiatric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comorbidity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D5BB6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4780 (44.2%)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83EBC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27557 (37.1%)</w:t>
            </w:r>
          </w:p>
        </w:tc>
      </w:tr>
      <w:tr w:rsidR="008935C8" w:rsidRPr="00FB35B2" w14:paraId="331DB60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2A984B9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Diagnosis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unknown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(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under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study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C558AB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1489 (13.8%)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8B782B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14610 (19.7%)</w:t>
            </w:r>
          </w:p>
        </w:tc>
      </w:tr>
      <w:tr w:rsidR="008935C8" w:rsidRPr="00FB35B2" w14:paraId="2008E78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C78B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With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psychiatric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comorbidity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FE65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4540 (42.0%)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04539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32072 (43.2%)</w:t>
            </w:r>
          </w:p>
        </w:tc>
      </w:tr>
      <w:tr w:rsidR="008935C8" w:rsidRPr="00FB35B2" w14:paraId="3248AEC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0A828E7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Type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Center (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Public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):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E35D22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1CAF5E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2A53842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65FEE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F0D25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2130 (19.7%)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3099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21940 (29.6%)</w:t>
            </w:r>
          </w:p>
        </w:tc>
      </w:tr>
      <w:tr w:rsidR="008935C8" w:rsidRPr="00FB35B2" w14:paraId="4A979ABE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100A82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13FA28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8672 (80.2%)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14BF8E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52286 (70.4%)</w:t>
            </w:r>
          </w:p>
        </w:tc>
      </w:tr>
      <w:tr w:rsidR="008935C8" w:rsidRPr="00FB35B2" w14:paraId="4779B99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183E0C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110FB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 (0.06%)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95235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 (0.02%)</w:t>
            </w:r>
          </w:p>
        </w:tc>
      </w:tr>
      <w:tr w:rsidR="008935C8" w:rsidRPr="00FB35B2" w14:paraId="67A98D7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3D2A35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Sex: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2D1ECC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A750E1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5D81EEAE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538FD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lastRenderedPageBreak/>
              <w:t>Men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88408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8052 (74.5%)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20C71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55573 (74.9%)</w:t>
            </w:r>
          </w:p>
        </w:tc>
      </w:tr>
      <w:tr w:rsidR="008935C8" w:rsidRPr="00FB35B2" w14:paraId="7702CFA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CAE6DB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Women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AB2E90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2757 (25.5%)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CA2A78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18666 (25.1%)</w:t>
            </w:r>
          </w:p>
        </w:tc>
      </w:tr>
      <w:tr w:rsidR="008935C8" w:rsidRPr="00FB35B2" w14:paraId="7147A57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E4DDB5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Drug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Dependence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Diagnosis: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A50D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9BBA5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5139599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4A2CF1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EFB87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3435 (31.8%)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B83900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19776 (26.6%)</w:t>
            </w:r>
          </w:p>
        </w:tc>
      </w:tr>
      <w:tr w:rsidR="008935C8" w:rsidRPr="00FB35B2" w14:paraId="4D768A2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2F227E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026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7374 (68.2%)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A91AD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54462 (73.4%)</w:t>
            </w:r>
          </w:p>
        </w:tc>
      </w:tr>
      <w:tr w:rsidR="008935C8" w:rsidRPr="00FB35B2" w14:paraId="49888D0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79E1BC2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79BC06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D315B4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8935C8" w:rsidRPr="00FB35B2" w14:paraId="60D22DA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9779F9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Age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2F07E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41.1 [31.4;51.1]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4FA0A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33.4 [27.0;41.8]</w:t>
            </w:r>
          </w:p>
        </w:tc>
      </w:tr>
      <w:tr w:rsidR="008935C8" w:rsidRPr="00FB35B2" w14:paraId="370F865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A2E78D1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Admission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Date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3DDF49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16673 [15782;17449]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FE33A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16500 [15629;17305]</w:t>
            </w:r>
          </w:p>
        </w:tc>
      </w:tr>
      <w:tr w:rsidR="008935C8" w:rsidRPr="00FB35B2" w14:paraId="419E0E00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1DC85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Early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Dropout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95D28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95FD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22565E0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78BEE0A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E37DFE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9652 (89.3%)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094AA4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61682 (83.1%)</w:t>
            </w:r>
          </w:p>
        </w:tc>
      </w:tr>
      <w:tr w:rsidR="008935C8" w:rsidRPr="00FB35B2" w14:paraId="5F16D44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14D3D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DD072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1155 (10.7%)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6970B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12550 (16.9%)</w:t>
            </w:r>
          </w:p>
        </w:tc>
      </w:tr>
      <w:tr w:rsidR="008935C8" w:rsidRPr="00FB35B2" w14:paraId="6B99489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9D9BA6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0D0AD6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 (0.02%)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09913C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 (0.01%)</w:t>
            </w:r>
          </w:p>
        </w:tc>
      </w:tr>
      <w:tr w:rsidR="008935C8" w:rsidRPr="00FB35B2" w14:paraId="1CF1EBF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836342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No.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in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Database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83CC0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79F9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38B5738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7F5946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34C20E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9401 (87.0%)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A97B2D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57883 (78.0%)</w:t>
            </w:r>
          </w:p>
        </w:tc>
      </w:tr>
      <w:tr w:rsidR="008935C8" w:rsidRPr="00FB35B2" w14:paraId="3A0D434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1D87BD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ED300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1148 (10.6%)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57881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11763 (15.8%)</w:t>
            </w:r>
          </w:p>
        </w:tc>
      </w:tr>
      <w:tr w:rsidR="008935C8" w:rsidRPr="00FB35B2" w14:paraId="67C6B49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9DBFCE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781DD2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198 (1.83%)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C0E9DC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3206 (4.32%)</w:t>
            </w:r>
          </w:p>
        </w:tc>
      </w:tr>
      <w:tr w:rsidR="008935C8" w:rsidRPr="00FB35B2" w14:paraId="723F4E0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0A65D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F194F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49 (0.45%)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EB9EF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965 (1.30%)</w:t>
            </w:r>
          </w:p>
        </w:tc>
      </w:tr>
      <w:tr w:rsidR="008935C8" w:rsidRPr="00FB35B2" w14:paraId="4C55B25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1A0BDD5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E9F47D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 (0.08%)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F946E3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277 (0.37%)</w:t>
            </w:r>
          </w:p>
        </w:tc>
      </w:tr>
      <w:tr w:rsidR="008935C8" w:rsidRPr="00FB35B2" w14:paraId="1ED7EAD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A6F70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5F93A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 (0.03%)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0F5F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101 (0.14%)</w:t>
            </w:r>
          </w:p>
        </w:tc>
      </w:tr>
      <w:tr w:rsidR="008935C8" w:rsidRPr="00FB35B2" w14:paraId="225E0E8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C589D6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E9B892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FEA80D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 (0.04%)</w:t>
            </w:r>
          </w:p>
        </w:tc>
      </w:tr>
      <w:tr w:rsidR="008935C8" w:rsidRPr="00FB35B2" w14:paraId="4A87E1E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610B85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03AE0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39268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 (0.01%)</w:t>
            </w:r>
          </w:p>
        </w:tc>
      </w:tr>
      <w:tr w:rsidR="008935C8" w:rsidRPr="00FB35B2" w14:paraId="4CA2876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9F26B7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41129B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17B276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8935C8" w:rsidRPr="00FB35B2" w14:paraId="76C9792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319273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Drug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Dependence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Diagnosis: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CC0E5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4DBFF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0F1584E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A3AEAD9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1505A8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3435 (31.8%)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2ADC2C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19776 (26.6%)</w:t>
            </w:r>
          </w:p>
        </w:tc>
      </w:tr>
      <w:tr w:rsidR="008935C8" w:rsidRPr="00FB35B2" w14:paraId="2B3AFC9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97CE68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TRUE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D652B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7374 (68.2%)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30BFC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54462 (73.4%)</w:t>
            </w:r>
          </w:p>
        </w:tc>
      </w:tr>
      <w:tr w:rsidR="008935C8" w:rsidRPr="00FB35B2" w14:paraId="791B5FC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0F8A33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D99581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ED4E9D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8935C8" w:rsidRPr="00FB35B2" w14:paraId="7F64080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3729FE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Evaluation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Therapeutic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Process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2CC1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6D626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065F7F11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B94670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1-High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Achievement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742752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3285 (30.4%)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B9536A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13642 (18.4%)</w:t>
            </w:r>
          </w:p>
        </w:tc>
      </w:tr>
      <w:tr w:rsidR="008935C8" w:rsidRPr="00FB35B2" w14:paraId="40E07446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9A581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2-Medium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Achievement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32249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3221 (29.8%)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B1FA69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22771 (30.7%)</w:t>
            </w:r>
          </w:p>
        </w:tc>
      </w:tr>
      <w:tr w:rsidR="008935C8" w:rsidRPr="00FB35B2" w14:paraId="3DEC6FD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DD96B01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3-Minimum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Achievement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8EB13C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3324 (30.8%)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D6384D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33560 (45.2%)</w:t>
            </w:r>
          </w:p>
        </w:tc>
      </w:tr>
      <w:tr w:rsidR="008935C8" w:rsidRPr="00FB35B2" w14:paraId="216E43A9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8A8FD9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BD596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979 (9.06%)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1B17D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4266 (5.75%)</w:t>
            </w:r>
          </w:p>
        </w:tc>
      </w:tr>
      <w:tr w:rsidR="008935C8" w:rsidRPr="00FB35B2" w14:paraId="5C6111F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E2678D9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Employment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gram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Status</w:t>
            </w:r>
            <w:proofErr w:type="gram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4F6D72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CA7CC9A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5E98DE04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FA8799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Employed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30B6C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6177 (57.1%)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E09AA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35230 (47.5%)</w:t>
            </w:r>
          </w:p>
        </w:tc>
      </w:tr>
      <w:tr w:rsidR="008935C8" w:rsidRPr="00FB35B2" w14:paraId="04C25BC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98A1CE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Inactive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2831DB6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1538 (14.2%)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B17A28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7387 (9.95%)</w:t>
            </w:r>
          </w:p>
        </w:tc>
      </w:tr>
      <w:tr w:rsidR="008935C8" w:rsidRPr="00FB35B2" w14:paraId="1B82D1D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4883A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Looking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job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the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first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time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EEFEF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17 (0.16%)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B777F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176 (0.24%)</w:t>
            </w:r>
          </w:p>
        </w:tc>
      </w:tr>
      <w:tr w:rsidR="008935C8" w:rsidRPr="00FB35B2" w14:paraId="006D9B80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4BA0AE4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No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activity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0408D1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427 (3.95%)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7728BE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4074 (5.49%)</w:t>
            </w:r>
          </w:p>
        </w:tc>
      </w:tr>
      <w:tr w:rsidR="008935C8" w:rsidRPr="00FB35B2" w14:paraId="1D67ADF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F31FB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Not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seeking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for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work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15963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64 (0.59%)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317BC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768 (1.03%)</w:t>
            </w:r>
          </w:p>
        </w:tc>
      </w:tr>
      <w:tr w:rsidR="008935C8" w:rsidRPr="00FB35B2" w14:paraId="4EE241D7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D8AE030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Unemployed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3C74F07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2586 (23.9%)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02FA53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26603 (35.8%)</w:t>
            </w:r>
          </w:p>
        </w:tc>
      </w:tr>
      <w:tr w:rsidR="008935C8" w:rsidRPr="00FB35B2" w14:paraId="5FCA37F2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04AF8B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CF4A8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 (0.00%)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6BE20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 (0.00%)</w:t>
            </w:r>
          </w:p>
        </w:tc>
      </w:tr>
      <w:tr w:rsidR="008935C8" w:rsidRPr="00FB35B2" w14:paraId="2CD25C63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BD13B38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Tenure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gram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status</w:t>
            </w:r>
            <w:proofErr w:type="gram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household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D9BA4B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FCCBF4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733202A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2EFCC9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Illegal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Settlement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A4750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61 (0.56%)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B38E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845 (1.14%)</w:t>
            </w:r>
          </w:p>
        </w:tc>
      </w:tr>
      <w:tr w:rsidR="008935C8" w:rsidRPr="00FB35B2" w14:paraId="3EE76B70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09D9943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90D874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277 (2.56%)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70B131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2077 (2.80%)</w:t>
            </w:r>
          </w:p>
        </w:tc>
      </w:tr>
      <w:tr w:rsidR="008935C8" w:rsidRPr="00FB35B2" w14:paraId="10BC5AEE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116F9E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Owner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/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Transferred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dwellings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/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Pays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Dividends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F3E89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4850 (44.9%)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300F0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25084 (33.8%)</w:t>
            </w:r>
          </w:p>
        </w:tc>
      </w:tr>
      <w:tr w:rsidR="008935C8" w:rsidRPr="00FB35B2" w14:paraId="1977B49A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4F90D7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Renting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1866022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1659 (15.3%)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B2299E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12907 (17.4%)</w:t>
            </w:r>
          </w:p>
        </w:tc>
      </w:tr>
      <w:tr w:rsidR="008935C8" w:rsidRPr="00FB35B2" w14:paraId="338658C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829F6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Stays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temporarily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with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 relative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4E926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3529 (32.6%)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44FC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29080 (39.2%)</w:t>
            </w:r>
          </w:p>
        </w:tc>
      </w:tr>
      <w:tr w:rsidR="008935C8" w:rsidRPr="00FB35B2" w14:paraId="477D2127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4093E2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Missing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'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1A3742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433 (4.01%)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6AAF4C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4246 (5.72%)</w:t>
            </w:r>
          </w:p>
        </w:tc>
      </w:tr>
      <w:tr w:rsidR="008935C8" w:rsidRPr="00FB35B2" w14:paraId="7230EC18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6DAB1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Percentage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records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imputed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w/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crime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(vs. as a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victim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4A381F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. [.;.]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7ED2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66.7 [33.3;93.8]</w:t>
            </w:r>
          </w:p>
        </w:tc>
      </w:tr>
      <w:tr w:rsidR="008935C8" w:rsidRPr="00FB35B2" w14:paraId="5C08707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9DE3E24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Number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records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accused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Drug-related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crimes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E02DAC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. [.;.]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E90974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0.00 [0.00;0.00]</w:t>
            </w:r>
          </w:p>
        </w:tc>
      </w:tr>
      <w:tr w:rsidR="008935C8" w:rsidRPr="00FB35B2" w14:paraId="6FD9604B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F2766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Number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records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accused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Violent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crimes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7474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. [.;.]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E7273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1.00 [0.00;1.00]</w:t>
            </w:r>
          </w:p>
        </w:tc>
      </w:tr>
      <w:tr w:rsidR="008935C8" w:rsidRPr="00FB35B2" w14:paraId="0BCAB18F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150173C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Number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records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accused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of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Other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charges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898012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. [.;.]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A723E3D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3.00 [1.00;5.00]</w:t>
            </w:r>
          </w:p>
        </w:tc>
      </w:tr>
      <w:tr w:rsidR="008935C8" w:rsidRPr="00FB35B2" w14:paraId="7D17A310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0A771D" w14:textId="77777777" w:rsidR="008935C8" w:rsidRPr="00FB35B2" w:rsidRDefault="008935C8" w:rsidP="00AF75F5">
            <w:pPr>
              <w:spacing w:after="0" w:line="240" w:lineRule="auto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completion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at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baseline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888E44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6B4EC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</w:p>
        </w:tc>
      </w:tr>
      <w:tr w:rsidR="008935C8" w:rsidRPr="00FB35B2" w14:paraId="37736B6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ED79B25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Ongoing</w:t>
            </w:r>
            <w:proofErr w:type="spellEnd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treatment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0679783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1019 (9.43%)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12C317E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4502 (6.06%)</w:t>
            </w:r>
          </w:p>
        </w:tc>
      </w:tr>
      <w:tr w:rsidR="008935C8" w:rsidRPr="00FB35B2" w14:paraId="5BF20EE5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EBC187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Completion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C4EF5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3583 (33.1%)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DCA98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15695 (21.1%)</w:t>
            </w:r>
          </w:p>
        </w:tc>
      </w:tr>
      <w:tr w:rsidR="008935C8" w:rsidRPr="00FB35B2" w14:paraId="78CBA31D" w14:textId="77777777" w:rsidTr="00AF75F5">
        <w:trPr>
          <w:trHeight w:val="20"/>
        </w:trPr>
        <w:tc>
          <w:tcPr>
            <w:tcW w:w="53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03253AF" w14:textId="77777777" w:rsidR="008935C8" w:rsidRPr="00FB35B2" w:rsidRDefault="008935C8" w:rsidP="00AF75F5">
            <w:pPr>
              <w:spacing w:after="0" w:line="240" w:lineRule="auto"/>
              <w:ind w:firstLineChars="200" w:firstLine="320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lastRenderedPageBreak/>
              <w:t>Non-</w:t>
            </w:r>
            <w:proofErr w:type="spellStart"/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completion</w:t>
            </w:r>
            <w:proofErr w:type="spellEnd"/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5C16160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6207 (57.4%)</w:t>
            </w:r>
          </w:p>
        </w:tc>
        <w:tc>
          <w:tcPr>
            <w:tcW w:w="12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6C18301" w14:textId="77777777" w:rsidR="008935C8" w:rsidRPr="00FB35B2" w:rsidRDefault="008935C8" w:rsidP="00AF75F5">
            <w:pPr>
              <w:spacing w:after="0" w:line="240" w:lineRule="auto"/>
              <w:jc w:val="center"/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</w:pPr>
            <w:r w:rsidRPr="00FB35B2">
              <w:rPr>
                <w:rFonts w:ascii="RooneySans Bold" w:eastAsia="Times New Roman" w:hAnsi="RooneySans Bold" w:cs="Calibri"/>
                <w:color w:val="222222"/>
                <w:sz w:val="16"/>
                <w:szCs w:val="16"/>
                <w:lang w:eastAsia="es-CL"/>
              </w:rPr>
              <w:t>54042 (72.8%)</w:t>
            </w:r>
          </w:p>
        </w:tc>
      </w:tr>
    </w:tbl>
    <w:p w14:paraId="6C4051C4" w14:textId="77777777" w:rsidR="00333A0C" w:rsidRDefault="00333A0C"/>
    <w:sectPr w:rsidR="00333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oneySans Bold">
    <w:panose1 w:val="020B0803040302060204"/>
    <w:charset w:val="00"/>
    <w:family w:val="swiss"/>
    <w:notTrueType/>
    <w:pitch w:val="variable"/>
    <w:sig w:usb0="A00000E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8"/>
    <w:rsid w:val="00333A0C"/>
    <w:rsid w:val="0089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0727"/>
  <w15:chartTrackingRefBased/>
  <w15:docId w15:val="{D3C35089-54D3-49A9-941C-C8110E7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González-Santa Cruz</dc:creator>
  <cp:keywords/>
  <dc:description/>
  <cp:lastModifiedBy>Andrés González-Santa Cruz</cp:lastModifiedBy>
  <cp:revision>1</cp:revision>
  <dcterms:created xsi:type="dcterms:W3CDTF">2022-06-07T22:59:00Z</dcterms:created>
  <dcterms:modified xsi:type="dcterms:W3CDTF">2022-06-07T23:00:00Z</dcterms:modified>
</cp:coreProperties>
</file>