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1793"/>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Biopsychosocial compromise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Treatment duration (binary) (&lt;90 days)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Birth year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Primary substance (initial diagnosis): cocaine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Primary substance (initial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Psychiatric comorbidity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Occupational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Occupational Status: Unemployed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0500E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0500EC">
        <w:trPr>
          <w:trHeight w:val="300"/>
          <w:jc w:val="center"/>
        </w:trPr>
        <w:tc>
          <w:tcPr>
            <w:tcW w:w="0" w:type="auto"/>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r w:rsidR="000500EC" w:rsidRPr="00B50D35" w14:paraId="6122FD6A" w14:textId="77777777" w:rsidTr="000500EC">
        <w:trPr>
          <w:trHeight w:val="300"/>
          <w:jc w:val="center"/>
        </w:trPr>
        <w:tc>
          <w:tcPr>
            <w:tcW w:w="0" w:type="auto"/>
            <w:noWrap/>
            <w:vAlign w:val="center"/>
            <w:hideMark/>
          </w:tcPr>
          <w:p w14:paraId="4D94C1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Treatment setting (%)</w:t>
            </w:r>
          </w:p>
        </w:tc>
        <w:tc>
          <w:tcPr>
            <w:tcW w:w="0" w:type="auto"/>
            <w:noWrap/>
            <w:vAlign w:val="center"/>
            <w:hideMark/>
          </w:tcPr>
          <w:p w14:paraId="5EDDCE0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Basic ambulatory</w:t>
            </w:r>
          </w:p>
        </w:tc>
        <w:tc>
          <w:tcPr>
            <w:tcW w:w="0" w:type="auto"/>
            <w:noWrap/>
            <w:vAlign w:val="center"/>
            <w:hideMark/>
          </w:tcPr>
          <w:p w14:paraId="7E35590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1040 (43.6)</w:t>
            </w:r>
          </w:p>
        </w:tc>
        <w:tc>
          <w:tcPr>
            <w:tcW w:w="0" w:type="auto"/>
            <w:noWrap/>
            <w:vAlign w:val="center"/>
            <w:hideMark/>
          </w:tcPr>
          <w:p w14:paraId="5FA538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3320 (30.4)</w:t>
            </w:r>
          </w:p>
        </w:tc>
        <w:tc>
          <w:tcPr>
            <w:tcW w:w="0" w:type="auto"/>
            <w:noWrap/>
            <w:vAlign w:val="center"/>
            <w:hideMark/>
          </w:tcPr>
          <w:p w14:paraId="607F54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4360 (32.7)</w:t>
            </w:r>
          </w:p>
        </w:tc>
        <w:tc>
          <w:tcPr>
            <w:tcW w:w="0" w:type="auto"/>
            <w:noWrap/>
            <w:vAlign w:val="center"/>
            <w:hideMark/>
          </w:tcPr>
          <w:p w14:paraId="0FE50C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0.298</w:t>
            </w:r>
          </w:p>
        </w:tc>
      </w:tr>
      <w:tr w:rsidR="000500EC" w:rsidRPr="00B50D35" w14:paraId="62F180D1" w14:textId="77777777" w:rsidTr="000500EC">
        <w:trPr>
          <w:trHeight w:val="300"/>
          <w:jc w:val="center"/>
        </w:trPr>
        <w:tc>
          <w:tcPr>
            <w:tcW w:w="0" w:type="auto"/>
            <w:noWrap/>
            <w:vAlign w:val="center"/>
            <w:hideMark/>
          </w:tcPr>
          <w:p w14:paraId="1660C5CB"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1990C10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GP intensive ambulatory</w:t>
            </w:r>
          </w:p>
        </w:tc>
        <w:tc>
          <w:tcPr>
            <w:tcW w:w="0" w:type="auto"/>
            <w:noWrap/>
            <w:vAlign w:val="center"/>
            <w:hideMark/>
          </w:tcPr>
          <w:p w14:paraId="61492F6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786 (33.0)</w:t>
            </w:r>
          </w:p>
        </w:tc>
        <w:tc>
          <w:tcPr>
            <w:tcW w:w="0" w:type="auto"/>
            <w:noWrap/>
            <w:vAlign w:val="center"/>
            <w:hideMark/>
          </w:tcPr>
          <w:p w14:paraId="4FACA62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4212 (38.5)</w:t>
            </w:r>
          </w:p>
        </w:tc>
        <w:tc>
          <w:tcPr>
            <w:tcW w:w="0" w:type="auto"/>
            <w:noWrap/>
            <w:vAlign w:val="center"/>
            <w:hideMark/>
          </w:tcPr>
          <w:p w14:paraId="2D6E622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4998 (37.5)</w:t>
            </w:r>
          </w:p>
        </w:tc>
        <w:tc>
          <w:tcPr>
            <w:tcW w:w="0" w:type="auto"/>
            <w:noWrap/>
            <w:vAlign w:val="center"/>
            <w:hideMark/>
          </w:tcPr>
          <w:p w14:paraId="7EB78EE2"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0D06186D" w14:textId="77777777" w:rsidTr="000500EC">
        <w:trPr>
          <w:trHeight w:val="300"/>
          <w:jc w:val="center"/>
        </w:trPr>
        <w:tc>
          <w:tcPr>
            <w:tcW w:w="0" w:type="auto"/>
            <w:noWrap/>
            <w:vAlign w:val="center"/>
            <w:hideMark/>
          </w:tcPr>
          <w:p w14:paraId="65E7B08F"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046D479A"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GP residential</w:t>
            </w:r>
          </w:p>
        </w:tc>
        <w:tc>
          <w:tcPr>
            <w:tcW w:w="0" w:type="auto"/>
            <w:noWrap/>
            <w:vAlign w:val="center"/>
            <w:hideMark/>
          </w:tcPr>
          <w:p w14:paraId="6F6096C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272 (11.4)</w:t>
            </w:r>
          </w:p>
        </w:tc>
        <w:tc>
          <w:tcPr>
            <w:tcW w:w="0" w:type="auto"/>
            <w:noWrap/>
            <w:vAlign w:val="center"/>
            <w:hideMark/>
          </w:tcPr>
          <w:p w14:paraId="6784C36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1906 (17.4)</w:t>
            </w:r>
          </w:p>
        </w:tc>
        <w:tc>
          <w:tcPr>
            <w:tcW w:w="0" w:type="auto"/>
            <w:noWrap/>
            <w:vAlign w:val="center"/>
            <w:hideMark/>
          </w:tcPr>
          <w:p w14:paraId="6B493D5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2178 (16.4)</w:t>
            </w:r>
          </w:p>
        </w:tc>
        <w:tc>
          <w:tcPr>
            <w:tcW w:w="0" w:type="auto"/>
            <w:noWrap/>
            <w:vAlign w:val="center"/>
            <w:hideMark/>
          </w:tcPr>
          <w:p w14:paraId="73C2A378"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2CA6475D" w14:textId="77777777" w:rsidTr="000500EC">
        <w:trPr>
          <w:trHeight w:val="300"/>
          <w:jc w:val="center"/>
        </w:trPr>
        <w:tc>
          <w:tcPr>
            <w:tcW w:w="0" w:type="auto"/>
            <w:noWrap/>
            <w:vAlign w:val="center"/>
            <w:hideMark/>
          </w:tcPr>
          <w:p w14:paraId="3DE3BB61"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6498516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WO intensive ambulatory</w:t>
            </w:r>
          </w:p>
        </w:tc>
        <w:tc>
          <w:tcPr>
            <w:tcW w:w="0" w:type="auto"/>
            <w:noWrap/>
            <w:vAlign w:val="center"/>
            <w:hideMark/>
          </w:tcPr>
          <w:p w14:paraId="4277BC1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138 (5.8)</w:t>
            </w:r>
          </w:p>
        </w:tc>
        <w:tc>
          <w:tcPr>
            <w:tcW w:w="0" w:type="auto"/>
            <w:noWrap/>
            <w:vAlign w:val="center"/>
            <w:hideMark/>
          </w:tcPr>
          <w:p w14:paraId="0678099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607 (5.6)</w:t>
            </w:r>
          </w:p>
        </w:tc>
        <w:tc>
          <w:tcPr>
            <w:tcW w:w="0" w:type="auto"/>
            <w:noWrap/>
            <w:vAlign w:val="center"/>
            <w:hideMark/>
          </w:tcPr>
          <w:p w14:paraId="4613A42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745 (5.6)</w:t>
            </w:r>
          </w:p>
        </w:tc>
        <w:tc>
          <w:tcPr>
            <w:tcW w:w="0" w:type="auto"/>
            <w:noWrap/>
            <w:vAlign w:val="center"/>
            <w:hideMark/>
          </w:tcPr>
          <w:p w14:paraId="7A8DCAB4"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42EA260A" w14:textId="77777777" w:rsidTr="000500EC">
        <w:trPr>
          <w:trHeight w:val="300"/>
          <w:jc w:val="center"/>
        </w:trPr>
        <w:tc>
          <w:tcPr>
            <w:tcW w:w="0" w:type="auto"/>
            <w:tcBorders>
              <w:top w:val="nil"/>
              <w:left w:val="nil"/>
              <w:bottom w:val="single" w:sz="4" w:space="0" w:color="auto"/>
              <w:right w:val="nil"/>
            </w:tcBorders>
            <w:noWrap/>
            <w:vAlign w:val="center"/>
            <w:hideMark/>
          </w:tcPr>
          <w:p w14:paraId="020C8AE3" w14:textId="77777777" w:rsidR="000500EC" w:rsidRPr="00B50D35" w:rsidRDefault="000500EC">
            <w:pPr>
              <w:spacing w:after="0"/>
              <w:jc w:val="left"/>
              <w:rPr>
                <w:rFonts w:ascii="Times New Roman" w:hAnsi="Times New Roman" w:cs="Times New Roman"/>
                <w:szCs w:val="20"/>
                <w:lang w:val="es-CL" w:eastAsia="es-CL"/>
              </w:rPr>
            </w:pPr>
          </w:p>
        </w:tc>
        <w:tc>
          <w:tcPr>
            <w:tcW w:w="0" w:type="auto"/>
            <w:tcBorders>
              <w:top w:val="nil"/>
              <w:left w:val="nil"/>
              <w:bottom w:val="single" w:sz="4" w:space="0" w:color="auto"/>
              <w:right w:val="nil"/>
            </w:tcBorders>
            <w:noWrap/>
            <w:vAlign w:val="center"/>
            <w:hideMark/>
          </w:tcPr>
          <w:p w14:paraId="3638E09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WO residential</w:t>
            </w:r>
          </w:p>
        </w:tc>
        <w:tc>
          <w:tcPr>
            <w:tcW w:w="0" w:type="auto"/>
            <w:tcBorders>
              <w:top w:val="nil"/>
              <w:left w:val="nil"/>
              <w:bottom w:val="single" w:sz="4" w:space="0" w:color="auto"/>
              <w:right w:val="nil"/>
            </w:tcBorders>
            <w:noWrap/>
            <w:vAlign w:val="center"/>
            <w:hideMark/>
          </w:tcPr>
          <w:p w14:paraId="3F0D98B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147 (6.2)</w:t>
            </w:r>
          </w:p>
        </w:tc>
        <w:tc>
          <w:tcPr>
            <w:tcW w:w="0" w:type="auto"/>
            <w:tcBorders>
              <w:top w:val="nil"/>
              <w:left w:val="nil"/>
              <w:bottom w:val="single" w:sz="4" w:space="0" w:color="auto"/>
              <w:right w:val="nil"/>
            </w:tcBorders>
            <w:noWrap/>
            <w:vAlign w:val="center"/>
            <w:hideMark/>
          </w:tcPr>
          <w:p w14:paraId="07A87F5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889 (8.1)</w:t>
            </w:r>
          </w:p>
        </w:tc>
        <w:tc>
          <w:tcPr>
            <w:tcW w:w="0" w:type="auto"/>
            <w:tcBorders>
              <w:top w:val="nil"/>
              <w:left w:val="nil"/>
              <w:bottom w:val="single" w:sz="4" w:space="0" w:color="auto"/>
              <w:right w:val="nil"/>
            </w:tcBorders>
            <w:noWrap/>
            <w:vAlign w:val="center"/>
            <w:hideMark/>
          </w:tcPr>
          <w:p w14:paraId="662B1F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1036 (7.8)</w:t>
            </w:r>
          </w:p>
        </w:tc>
        <w:tc>
          <w:tcPr>
            <w:tcW w:w="0" w:type="auto"/>
            <w:tcBorders>
              <w:top w:val="nil"/>
              <w:left w:val="nil"/>
              <w:bottom w:val="single" w:sz="4" w:space="0" w:color="auto"/>
              <w:right w:val="nil"/>
            </w:tcBorders>
            <w:noWrap/>
            <w:vAlign w:val="center"/>
            <w:hideMark/>
          </w:tcPr>
          <w:p w14:paraId="1F6A0FBA" w14:textId="77777777" w:rsidR="000500EC" w:rsidRPr="00B50D35" w:rsidRDefault="000500EC">
            <w:pPr>
              <w:rPr>
                <w:rFonts w:ascii="Times New Roman" w:eastAsia="Times New Roman" w:hAnsi="Times New Roman" w:cs="Times New Roman"/>
                <w:color w:val="000000"/>
                <w:sz w:val="16"/>
                <w:szCs w:val="18"/>
                <w:lang w:val="es-CL" w:eastAsia="es-CL"/>
              </w:rPr>
            </w:pP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227FF5E2" w14:textId="7894A9BC"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t>Table 2. Incidence rates (per 1.000 person</w:t>
      </w:r>
      <w:r w:rsidR="00EB4832">
        <w:rPr>
          <w:rFonts w:ascii="Times New Roman" w:hAnsi="Times New Roman" w:cs="Times New Roman"/>
          <w:b/>
          <w:bCs/>
          <w:shd w:val="clear" w:color="auto" w:fill="FFFFFF"/>
        </w:rPr>
        <w:t>-</w:t>
      </w:r>
      <w:r w:rsidR="00B732A2" w:rsidRPr="00EF777B">
        <w:rPr>
          <w:rFonts w:ascii="Times New Roman" w:hAnsi="Times New Roman" w:cs="Times New Roman"/>
          <w:b/>
          <w:bCs/>
          <w:highlight w:val="yellow"/>
          <w:shd w:val="clear" w:color="auto" w:fill="FFFFFF"/>
        </w:rPr>
        <w:t>months</w:t>
      </w:r>
      <w:r w:rsidRPr="00B50D35">
        <w:rPr>
          <w:rFonts w:ascii="Times New Roman" w:hAnsi="Times New Roman" w:cs="Times New Roman"/>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0500EC" w:rsidRPr="00B50D35" w14:paraId="3C4B2949" w14:textId="77777777" w:rsidTr="000500EC">
        <w:trPr>
          <w:trHeight w:val="300"/>
        </w:trPr>
        <w:tc>
          <w:tcPr>
            <w:tcW w:w="6383"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type</w:t>
            </w:r>
          </w:p>
        </w:tc>
        <w:tc>
          <w:tcPr>
            <w:tcW w:w="198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1590"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1022"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220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0500EC" w:rsidRPr="00B50D35" w14:paraId="05A89D97" w14:textId="77777777" w:rsidTr="000500EC">
        <w:trPr>
          <w:trHeight w:val="300"/>
        </w:trPr>
        <w:tc>
          <w:tcPr>
            <w:tcW w:w="6383"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sidR="009D20C1">
              <w:rPr>
                <w:rFonts w:ascii="Times New Roman" w:hAnsi="Times New Roman" w:cs="Times New Roman"/>
                <w:color w:val="000000"/>
                <w:sz w:val="18"/>
                <w:szCs w:val="18"/>
              </w:rPr>
              <w:t>event of non-completion</w:t>
            </w:r>
          </w:p>
        </w:tc>
        <w:tc>
          <w:tcPr>
            <w:tcW w:w="1981"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2206"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0500EC" w:rsidRPr="00B50D35" w14:paraId="4F17D4CA" w14:textId="77777777" w:rsidTr="000500EC">
        <w:trPr>
          <w:trHeight w:val="300"/>
        </w:trPr>
        <w:tc>
          <w:tcPr>
            <w:tcW w:w="6383" w:type="dxa"/>
            <w:noWrap/>
            <w:tcMar>
              <w:top w:w="15" w:type="dxa"/>
              <w:left w:w="15" w:type="dxa"/>
              <w:bottom w:w="0" w:type="dxa"/>
              <w:right w:w="15" w:type="dxa"/>
            </w:tcMar>
            <w:vAlign w:val="center"/>
            <w:hideMark/>
          </w:tcPr>
          <w:p w14:paraId="30B25072"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43C4EDC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74E3706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545C936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2206" w:type="dxa"/>
            <w:noWrap/>
            <w:tcMar>
              <w:top w:w="15" w:type="dxa"/>
              <w:left w:w="15" w:type="dxa"/>
              <w:bottom w:w="0" w:type="dxa"/>
              <w:right w:w="15" w:type="dxa"/>
            </w:tcMar>
            <w:vAlign w:val="center"/>
            <w:hideMark/>
          </w:tcPr>
          <w:p w14:paraId="7E8F009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0500EC" w:rsidRPr="00B50D35" w14:paraId="0F6332E2" w14:textId="77777777" w:rsidTr="000500EC">
        <w:trPr>
          <w:trHeight w:val="300"/>
        </w:trPr>
        <w:tc>
          <w:tcPr>
            <w:tcW w:w="6383" w:type="dxa"/>
            <w:noWrap/>
            <w:tcMar>
              <w:top w:w="15" w:type="dxa"/>
              <w:left w:w="15" w:type="dxa"/>
              <w:bottom w:w="0" w:type="dxa"/>
              <w:right w:w="15" w:type="dxa"/>
            </w:tcMar>
            <w:vAlign w:val="center"/>
            <w:hideMark/>
          </w:tcPr>
          <w:p w14:paraId="604B1B21" w14:textId="7D773723"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sidR="009D20C1">
              <w:rPr>
                <w:rFonts w:ascii="Times New Roman" w:hAnsi="Times New Roman" w:cs="Times New Roman"/>
                <w:color w:val="000000"/>
                <w:sz w:val="18"/>
                <w:szCs w:val="18"/>
              </w:rPr>
              <w:t>event of non-completion</w:t>
            </w:r>
            <w:r w:rsidR="009D20C1">
              <w:rPr>
                <w:rFonts w:ascii="Times New Roman" w:hAnsi="Times New Roman" w:cs="Times New Roman"/>
                <w:color w:val="000000"/>
                <w:sz w:val="18"/>
                <w:szCs w:val="18"/>
              </w:rPr>
              <w:t xml:space="preserve"> at first treatment</w:t>
            </w:r>
          </w:p>
        </w:tc>
        <w:tc>
          <w:tcPr>
            <w:tcW w:w="1981" w:type="dxa"/>
            <w:noWrap/>
            <w:tcMar>
              <w:top w:w="15" w:type="dxa"/>
              <w:left w:w="15" w:type="dxa"/>
              <w:bottom w:w="0" w:type="dxa"/>
              <w:right w:w="15" w:type="dxa"/>
            </w:tcMar>
            <w:vAlign w:val="center"/>
            <w:hideMark/>
          </w:tcPr>
          <w:p w14:paraId="3C5CA159"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48A69D7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noWrap/>
            <w:tcMar>
              <w:top w:w="15" w:type="dxa"/>
              <w:left w:w="15" w:type="dxa"/>
              <w:bottom w:w="0" w:type="dxa"/>
              <w:right w:w="15" w:type="dxa"/>
            </w:tcMar>
            <w:vAlign w:val="center"/>
            <w:hideMark/>
          </w:tcPr>
          <w:p w14:paraId="3AF29D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2206" w:type="dxa"/>
            <w:noWrap/>
            <w:tcMar>
              <w:top w:w="15" w:type="dxa"/>
              <w:left w:w="15" w:type="dxa"/>
              <w:bottom w:w="0" w:type="dxa"/>
              <w:right w:w="15" w:type="dxa"/>
            </w:tcMar>
            <w:vAlign w:val="center"/>
            <w:hideMark/>
          </w:tcPr>
          <w:p w14:paraId="089D2363"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0500EC" w:rsidRPr="00B50D35" w14:paraId="555BBF9F" w14:textId="77777777" w:rsidTr="000500EC">
        <w:trPr>
          <w:trHeight w:val="300"/>
        </w:trPr>
        <w:tc>
          <w:tcPr>
            <w:tcW w:w="6383" w:type="dxa"/>
            <w:noWrap/>
            <w:tcMar>
              <w:top w:w="15" w:type="dxa"/>
              <w:left w:w="15" w:type="dxa"/>
              <w:bottom w:w="0" w:type="dxa"/>
              <w:right w:w="15" w:type="dxa"/>
            </w:tcMar>
            <w:vAlign w:val="center"/>
            <w:hideMark/>
          </w:tcPr>
          <w:p w14:paraId="6BA3B821"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02DBB464"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41A4111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4E311C2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2206" w:type="dxa"/>
            <w:noWrap/>
            <w:tcMar>
              <w:top w:w="15" w:type="dxa"/>
              <w:left w:w="15" w:type="dxa"/>
              <w:bottom w:w="0" w:type="dxa"/>
              <w:right w:w="15" w:type="dxa"/>
            </w:tcMar>
            <w:vAlign w:val="center"/>
            <w:hideMark/>
          </w:tcPr>
          <w:p w14:paraId="4D12628E"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0500EC" w:rsidRPr="00B50D35" w14:paraId="323ECE69" w14:textId="77777777" w:rsidTr="000500EC">
        <w:trPr>
          <w:trHeight w:val="300"/>
        </w:trPr>
        <w:tc>
          <w:tcPr>
            <w:tcW w:w="6383" w:type="dxa"/>
            <w:noWrap/>
            <w:tcMar>
              <w:top w:w="15" w:type="dxa"/>
              <w:left w:w="15" w:type="dxa"/>
              <w:bottom w:w="0" w:type="dxa"/>
              <w:right w:w="15" w:type="dxa"/>
            </w:tcMar>
            <w:vAlign w:val="center"/>
            <w:hideMark/>
          </w:tcPr>
          <w:p w14:paraId="3BD30F07" w14:textId="28CCE40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sidR="009D20C1">
              <w:rPr>
                <w:rFonts w:ascii="Times New Roman" w:hAnsi="Times New Roman" w:cs="Times New Roman"/>
                <w:color w:val="000000"/>
                <w:sz w:val="18"/>
                <w:szCs w:val="18"/>
              </w:rPr>
              <w:t>event of non-completion</w:t>
            </w:r>
          </w:p>
        </w:tc>
        <w:tc>
          <w:tcPr>
            <w:tcW w:w="1981" w:type="dxa"/>
            <w:noWrap/>
            <w:tcMar>
              <w:top w:w="15" w:type="dxa"/>
              <w:left w:w="15" w:type="dxa"/>
              <w:bottom w:w="0" w:type="dxa"/>
              <w:right w:w="15" w:type="dxa"/>
            </w:tcMar>
            <w:vAlign w:val="center"/>
            <w:hideMark/>
          </w:tcPr>
          <w:p w14:paraId="2AF45856"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7AED981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07F04A5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2206" w:type="dxa"/>
            <w:noWrap/>
            <w:tcMar>
              <w:top w:w="15" w:type="dxa"/>
              <w:left w:w="15" w:type="dxa"/>
              <w:bottom w:w="0" w:type="dxa"/>
              <w:right w:w="15" w:type="dxa"/>
            </w:tcMar>
            <w:vAlign w:val="center"/>
            <w:hideMark/>
          </w:tcPr>
          <w:p w14:paraId="286127C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0500EC" w:rsidRPr="00B50D35" w14:paraId="3224C8DF" w14:textId="77777777" w:rsidTr="000500EC">
        <w:trPr>
          <w:trHeight w:val="300"/>
        </w:trPr>
        <w:tc>
          <w:tcPr>
            <w:tcW w:w="6383" w:type="dxa"/>
            <w:noWrap/>
            <w:tcMar>
              <w:top w:w="15" w:type="dxa"/>
              <w:left w:w="15" w:type="dxa"/>
              <w:bottom w:w="0" w:type="dxa"/>
              <w:right w:w="15" w:type="dxa"/>
            </w:tcMar>
            <w:vAlign w:val="center"/>
            <w:hideMark/>
          </w:tcPr>
          <w:p w14:paraId="2E816DEF"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366330D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165622E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noWrap/>
            <w:tcMar>
              <w:top w:w="15" w:type="dxa"/>
              <w:left w:w="15" w:type="dxa"/>
              <w:bottom w:w="0" w:type="dxa"/>
              <w:right w:w="15" w:type="dxa"/>
            </w:tcMar>
            <w:vAlign w:val="center"/>
            <w:hideMark/>
          </w:tcPr>
          <w:p w14:paraId="01855CC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2206" w:type="dxa"/>
            <w:noWrap/>
            <w:tcMar>
              <w:top w:w="15" w:type="dxa"/>
              <w:left w:w="15" w:type="dxa"/>
              <w:bottom w:w="0" w:type="dxa"/>
              <w:right w:w="15" w:type="dxa"/>
            </w:tcMar>
            <w:vAlign w:val="center"/>
            <w:hideMark/>
          </w:tcPr>
          <w:p w14:paraId="7445BB06"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0500EC" w:rsidRPr="00B50D35" w14:paraId="35B0649D" w14:textId="77777777" w:rsidTr="000500EC">
        <w:trPr>
          <w:trHeight w:val="300"/>
        </w:trPr>
        <w:tc>
          <w:tcPr>
            <w:tcW w:w="6383" w:type="dxa"/>
            <w:noWrap/>
            <w:tcMar>
              <w:top w:w="15" w:type="dxa"/>
              <w:left w:w="15" w:type="dxa"/>
              <w:bottom w:w="0" w:type="dxa"/>
              <w:right w:w="15" w:type="dxa"/>
            </w:tcMar>
            <w:vAlign w:val="center"/>
            <w:hideMark/>
          </w:tcPr>
          <w:p w14:paraId="483AE369" w14:textId="12059D8B"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1633092A"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3EF357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187CB25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2206" w:type="dxa"/>
            <w:noWrap/>
            <w:tcMar>
              <w:top w:w="15" w:type="dxa"/>
              <w:left w:w="15" w:type="dxa"/>
              <w:bottom w:w="0" w:type="dxa"/>
              <w:right w:w="15" w:type="dxa"/>
            </w:tcMar>
            <w:vAlign w:val="center"/>
            <w:hideMark/>
          </w:tcPr>
          <w:p w14:paraId="02D1622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0500EC" w:rsidRPr="00B50D35" w14:paraId="6A2E5D29" w14:textId="77777777" w:rsidTr="000500EC">
        <w:trPr>
          <w:trHeight w:val="300"/>
        </w:trPr>
        <w:tc>
          <w:tcPr>
            <w:tcW w:w="6383"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0500EC" w:rsidRPr="00B50D35" w:rsidRDefault="000500EC">
            <w:pPr>
              <w:rPr>
                <w:rFonts w:ascii="Times New Roman" w:hAnsi="Times New Roman" w:cs="Times New Roman"/>
                <w:color w:val="000000"/>
                <w:sz w:val="18"/>
                <w:szCs w:val="18"/>
              </w:rPr>
            </w:pPr>
          </w:p>
        </w:tc>
        <w:tc>
          <w:tcPr>
            <w:tcW w:w="1981"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2206"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77777777"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90" w:type="dxa"/>
        <w:jc w:val="center"/>
        <w:tblCellMar>
          <w:left w:w="70" w:type="dxa"/>
          <w:right w:w="70" w:type="dxa"/>
        </w:tblCellMar>
        <w:tblLook w:val="04A0" w:firstRow="1" w:lastRow="0" w:firstColumn="1" w:lastColumn="0" w:noHBand="0" w:noVBand="1"/>
      </w:tblPr>
      <w:tblGrid>
        <w:gridCol w:w="2835"/>
        <w:gridCol w:w="1701"/>
        <w:gridCol w:w="3827"/>
        <w:gridCol w:w="3827"/>
      </w:tblGrid>
      <w:tr w:rsidR="000500EC" w:rsidRPr="00B50D35" w14:paraId="5B84E5FD" w14:textId="77777777" w:rsidTr="00800AF3">
        <w:trPr>
          <w:trHeight w:val="300"/>
          <w:jc w:val="center"/>
        </w:trPr>
        <w:tc>
          <w:tcPr>
            <w:tcW w:w="2835" w:type="dxa"/>
            <w:tcBorders>
              <w:top w:val="single" w:sz="4" w:space="0" w:color="auto"/>
              <w:left w:val="nil"/>
              <w:bottom w:val="single" w:sz="4" w:space="0" w:color="auto"/>
              <w:right w:val="nil"/>
            </w:tcBorders>
            <w:noWrap/>
            <w:vAlign w:val="center"/>
            <w:hideMark/>
          </w:tcPr>
          <w:p w14:paraId="53F300D5"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r w:rsidRPr="00B50D35">
              <w:rPr>
                <w:rFonts w:ascii="Times New Roman" w:eastAsia="Times New Roman" w:hAnsi="Times New Roman" w:cs="Times New Roman"/>
                <w:b/>
                <w:bCs/>
                <w:color w:val="000000"/>
                <w:sz w:val="18"/>
                <w:szCs w:val="18"/>
                <w:lang w:val="es-CL" w:eastAsia="es-CL"/>
              </w:rPr>
              <w:t>Treatment setting</w:t>
            </w:r>
          </w:p>
        </w:tc>
        <w:tc>
          <w:tcPr>
            <w:tcW w:w="1701" w:type="dxa"/>
            <w:tcBorders>
              <w:top w:val="single" w:sz="4" w:space="0" w:color="auto"/>
              <w:left w:val="nil"/>
              <w:bottom w:val="single" w:sz="4" w:space="0" w:color="auto"/>
              <w:right w:val="nil"/>
            </w:tcBorders>
            <w:noWrap/>
            <w:vAlign w:val="center"/>
            <w:hideMark/>
          </w:tcPr>
          <w:p w14:paraId="2C73CB37"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r w:rsidRPr="00B50D35">
              <w:rPr>
                <w:rFonts w:ascii="Times New Roman" w:eastAsia="Times New Roman" w:hAnsi="Times New Roman" w:cs="Times New Roman"/>
                <w:b/>
                <w:bCs/>
                <w:color w:val="000000"/>
                <w:sz w:val="18"/>
                <w:szCs w:val="18"/>
                <w:lang w:val="es-CL" w:eastAsia="es-CL"/>
              </w:rPr>
              <w:t>RR (95%CI)</w:t>
            </w:r>
          </w:p>
        </w:tc>
        <w:tc>
          <w:tcPr>
            <w:tcW w:w="3827" w:type="dxa"/>
            <w:tcBorders>
              <w:top w:val="single" w:sz="4" w:space="0" w:color="auto"/>
              <w:left w:val="nil"/>
              <w:bottom w:val="single" w:sz="4" w:space="0" w:color="auto"/>
              <w:right w:val="nil"/>
            </w:tcBorders>
            <w:vAlign w:val="center"/>
            <w:hideMark/>
          </w:tcPr>
          <w:p w14:paraId="7147BCAB"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r>
      <w:tr w:rsidR="000500EC" w:rsidRPr="00B50D35" w14:paraId="4F271F60" w14:textId="77777777" w:rsidTr="00800AF3">
        <w:trPr>
          <w:trHeight w:val="300"/>
          <w:jc w:val="center"/>
        </w:trPr>
        <w:tc>
          <w:tcPr>
            <w:tcW w:w="2835" w:type="dxa"/>
            <w:tcBorders>
              <w:top w:val="single" w:sz="4" w:space="0" w:color="auto"/>
              <w:left w:val="nil"/>
              <w:bottom w:val="nil"/>
              <w:right w:val="nil"/>
            </w:tcBorders>
            <w:noWrap/>
            <w:vAlign w:val="center"/>
            <w:hideMark/>
          </w:tcPr>
          <w:p w14:paraId="147806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Basic ambulatory</w:t>
            </w:r>
          </w:p>
        </w:tc>
        <w:tc>
          <w:tcPr>
            <w:tcW w:w="1701" w:type="dxa"/>
            <w:tcBorders>
              <w:top w:val="single" w:sz="4" w:space="0" w:color="auto"/>
              <w:left w:val="nil"/>
              <w:bottom w:val="nil"/>
              <w:right w:val="nil"/>
            </w:tcBorders>
            <w:noWrap/>
            <w:vAlign w:val="center"/>
          </w:tcPr>
          <w:p w14:paraId="5BA9FC4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tcPr>
          <w:p w14:paraId="233F274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C2E54FF" w14:textId="77777777" w:rsidTr="00800AF3">
        <w:trPr>
          <w:trHeight w:val="300"/>
          <w:jc w:val="center"/>
        </w:trPr>
        <w:tc>
          <w:tcPr>
            <w:tcW w:w="2835" w:type="dxa"/>
            <w:noWrap/>
            <w:vAlign w:val="center"/>
            <w:hideMark/>
          </w:tcPr>
          <w:p w14:paraId="2AEB8735"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28AED439" w14:textId="0D3180E4"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w:t>
            </w:r>
            <w:r w:rsidR="00070E12">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c>
          <w:tcPr>
            <w:tcW w:w="3827" w:type="dxa"/>
            <w:hideMark/>
          </w:tcPr>
          <w:p w14:paraId="56104B9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r>
      <w:tr w:rsidR="000500EC" w:rsidRPr="00B50D35" w14:paraId="048798B9" w14:textId="77777777" w:rsidTr="00800AF3">
        <w:trPr>
          <w:trHeight w:val="300"/>
          <w:jc w:val="center"/>
        </w:trPr>
        <w:tc>
          <w:tcPr>
            <w:tcW w:w="2835" w:type="dxa"/>
            <w:noWrap/>
            <w:vAlign w:val="center"/>
            <w:hideMark/>
          </w:tcPr>
          <w:p w14:paraId="187FB812"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General-population, intensive ambulatory</w:t>
            </w:r>
          </w:p>
        </w:tc>
        <w:tc>
          <w:tcPr>
            <w:tcW w:w="1701" w:type="dxa"/>
            <w:noWrap/>
            <w:vAlign w:val="center"/>
          </w:tcPr>
          <w:p w14:paraId="76C540B6"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8506C79"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B07F5F8" w14:textId="77777777" w:rsidTr="00800AF3">
        <w:trPr>
          <w:trHeight w:val="300"/>
          <w:jc w:val="center"/>
        </w:trPr>
        <w:tc>
          <w:tcPr>
            <w:tcW w:w="2835" w:type="dxa"/>
            <w:noWrap/>
            <w:vAlign w:val="center"/>
            <w:hideMark/>
          </w:tcPr>
          <w:p w14:paraId="60FAA907"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0B3357C0"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3827" w:type="dxa"/>
            <w:hideMark/>
          </w:tcPr>
          <w:p w14:paraId="4BBA0AE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0500EC" w:rsidRPr="00B50D35" w14:paraId="76206396" w14:textId="77777777" w:rsidTr="00800AF3">
        <w:trPr>
          <w:trHeight w:val="300"/>
          <w:jc w:val="center"/>
        </w:trPr>
        <w:tc>
          <w:tcPr>
            <w:tcW w:w="2835" w:type="dxa"/>
            <w:noWrap/>
            <w:vAlign w:val="center"/>
            <w:hideMark/>
          </w:tcPr>
          <w:p w14:paraId="7B741796"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General-population, residential</w:t>
            </w:r>
          </w:p>
        </w:tc>
        <w:tc>
          <w:tcPr>
            <w:tcW w:w="1701" w:type="dxa"/>
            <w:noWrap/>
            <w:vAlign w:val="center"/>
          </w:tcPr>
          <w:p w14:paraId="2FB9D64C"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75EDE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251134AD" w14:textId="77777777" w:rsidTr="00800AF3">
        <w:trPr>
          <w:trHeight w:val="300"/>
          <w:jc w:val="center"/>
        </w:trPr>
        <w:tc>
          <w:tcPr>
            <w:tcW w:w="2835" w:type="dxa"/>
            <w:noWrap/>
            <w:vAlign w:val="center"/>
            <w:hideMark/>
          </w:tcPr>
          <w:p w14:paraId="53996E2C"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024716A"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hideMark/>
          </w:tcPr>
          <w:p w14:paraId="511FCAC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r>
      <w:tr w:rsidR="000500EC" w:rsidRPr="00B50D35" w14:paraId="5057FE3F" w14:textId="77777777" w:rsidTr="00800AF3">
        <w:trPr>
          <w:trHeight w:val="300"/>
          <w:jc w:val="center"/>
        </w:trPr>
        <w:tc>
          <w:tcPr>
            <w:tcW w:w="2835" w:type="dxa"/>
            <w:noWrap/>
            <w:vAlign w:val="center"/>
            <w:hideMark/>
          </w:tcPr>
          <w:p w14:paraId="201EA631"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Women-only, intensive ambulatory</w:t>
            </w:r>
          </w:p>
        </w:tc>
        <w:tc>
          <w:tcPr>
            <w:tcW w:w="1701" w:type="dxa"/>
            <w:noWrap/>
            <w:vAlign w:val="center"/>
          </w:tcPr>
          <w:p w14:paraId="52DA7B5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22BBAF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347C4017" w14:textId="77777777" w:rsidTr="00800AF3">
        <w:trPr>
          <w:trHeight w:val="300"/>
          <w:jc w:val="center"/>
        </w:trPr>
        <w:tc>
          <w:tcPr>
            <w:tcW w:w="2835" w:type="dxa"/>
            <w:noWrap/>
            <w:vAlign w:val="center"/>
            <w:hideMark/>
          </w:tcPr>
          <w:p w14:paraId="5AC18B8E"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E13AA2A" w14:textId="594DD28A"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sidR="00070E12">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c>
          <w:tcPr>
            <w:tcW w:w="3827" w:type="dxa"/>
            <w:hideMark/>
          </w:tcPr>
          <w:p w14:paraId="6373F67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sidR="00070E12">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r>
      <w:tr w:rsidR="000500EC" w:rsidRPr="00B50D35" w14:paraId="7D12016D" w14:textId="77777777" w:rsidTr="00800AF3">
        <w:trPr>
          <w:trHeight w:val="300"/>
          <w:jc w:val="center"/>
        </w:trPr>
        <w:tc>
          <w:tcPr>
            <w:tcW w:w="2835" w:type="dxa"/>
            <w:noWrap/>
            <w:vAlign w:val="center"/>
            <w:hideMark/>
          </w:tcPr>
          <w:p w14:paraId="1DB380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Women-only, residential</w:t>
            </w:r>
          </w:p>
        </w:tc>
        <w:tc>
          <w:tcPr>
            <w:tcW w:w="1701" w:type="dxa"/>
            <w:noWrap/>
            <w:vAlign w:val="center"/>
          </w:tcPr>
          <w:p w14:paraId="0A613F7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4FCDAAC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53C4B13B" w14:textId="77777777" w:rsidTr="00800AF3">
        <w:trPr>
          <w:trHeight w:val="300"/>
          <w:jc w:val="center"/>
        </w:trPr>
        <w:tc>
          <w:tcPr>
            <w:tcW w:w="2835" w:type="dxa"/>
            <w:tcBorders>
              <w:top w:val="nil"/>
              <w:left w:val="nil"/>
              <w:bottom w:val="single" w:sz="4" w:space="0" w:color="auto"/>
              <w:right w:val="nil"/>
            </w:tcBorders>
            <w:noWrap/>
            <w:vAlign w:val="center"/>
          </w:tcPr>
          <w:p w14:paraId="36CDBD84"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
        </w:tc>
        <w:tc>
          <w:tcPr>
            <w:tcW w:w="1701" w:type="dxa"/>
            <w:tcBorders>
              <w:top w:val="nil"/>
              <w:left w:val="nil"/>
              <w:bottom w:val="single" w:sz="4" w:space="0" w:color="auto"/>
              <w:right w:val="nil"/>
            </w:tcBorders>
            <w:noWrap/>
            <w:vAlign w:val="center"/>
            <w:hideMark/>
          </w:tcPr>
          <w:p w14:paraId="0DEC41C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c>
          <w:tcPr>
            <w:tcW w:w="3827" w:type="dxa"/>
            <w:tcBorders>
              <w:top w:val="nil"/>
              <w:left w:val="nil"/>
              <w:bottom w:val="single" w:sz="4" w:space="0" w:color="auto"/>
              <w:right w:val="nil"/>
            </w:tcBorders>
            <w:hideMark/>
          </w:tcPr>
          <w:p w14:paraId="3BA52EF0" w14:textId="4E29EDAF"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sidR="00070E12">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r>
    </w:tbl>
    <w:p w14:paraId="3BD01726" w14:textId="77777777"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xml:space="preserve">,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299F9" w14:textId="77777777" w:rsidR="004818D6" w:rsidRDefault="004818D6" w:rsidP="0074226C">
      <w:pPr>
        <w:spacing w:after="0" w:line="240" w:lineRule="auto"/>
      </w:pPr>
      <w:r>
        <w:separator/>
      </w:r>
    </w:p>
  </w:endnote>
  <w:endnote w:type="continuationSeparator" w:id="0">
    <w:p w14:paraId="1718AADA" w14:textId="77777777" w:rsidR="004818D6" w:rsidRDefault="004818D6"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738BC" w14:textId="77777777" w:rsidR="004818D6" w:rsidRDefault="004818D6" w:rsidP="0074226C">
      <w:pPr>
        <w:spacing w:after="0" w:line="240" w:lineRule="auto"/>
      </w:pPr>
      <w:r>
        <w:separator/>
      </w:r>
    </w:p>
  </w:footnote>
  <w:footnote w:type="continuationSeparator" w:id="0">
    <w:p w14:paraId="618AD3D1" w14:textId="77777777" w:rsidR="004818D6" w:rsidRDefault="004818D6"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070E12"/>
    <w:rsid w:val="001B347A"/>
    <w:rsid w:val="002721C5"/>
    <w:rsid w:val="0039548F"/>
    <w:rsid w:val="004818D6"/>
    <w:rsid w:val="004D4F56"/>
    <w:rsid w:val="005B0227"/>
    <w:rsid w:val="005C26D2"/>
    <w:rsid w:val="0074226C"/>
    <w:rsid w:val="00751D28"/>
    <w:rsid w:val="007A46CA"/>
    <w:rsid w:val="007C2C42"/>
    <w:rsid w:val="00800AF3"/>
    <w:rsid w:val="008A2C25"/>
    <w:rsid w:val="009D20C1"/>
    <w:rsid w:val="00B3191B"/>
    <w:rsid w:val="00B50D35"/>
    <w:rsid w:val="00B732A2"/>
    <w:rsid w:val="00B8662B"/>
    <w:rsid w:val="00EB4832"/>
    <w:rsid w:val="00EF7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814</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12</cp:revision>
  <dcterms:created xsi:type="dcterms:W3CDTF">2024-06-25T20:46:00Z</dcterms:created>
  <dcterms:modified xsi:type="dcterms:W3CDTF">2024-06-27T16:59:00Z</dcterms:modified>
</cp:coreProperties>
</file>