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Effects of 2019’s social protests on emergency health services utilization and case severity in Santiago, Chile</w:t>
      </w:r>
    </w:p>
    <w:p w:rsidR="00000000" w:rsidDel="00000000" w:rsidP="00000000" w:rsidRDefault="00000000" w:rsidRPr="00000000" w14:paraId="00000002">
      <w:pPr>
        <w:rPr>
          <w:vertAlign w:val="superscript"/>
        </w:rPr>
      </w:pPr>
      <w:r w:rsidDel="00000000" w:rsidR="00000000" w:rsidRPr="00000000">
        <w:rPr>
          <w:rtl w:val="0"/>
        </w:rPr>
        <w:t xml:space="preserve">Abraham I.J. Gajardo</w:t>
      </w:r>
      <w:r w:rsidDel="00000000" w:rsidR="00000000" w:rsidRPr="00000000">
        <w:rPr>
          <w:vertAlign w:val="superscript"/>
          <w:rtl w:val="0"/>
        </w:rPr>
        <w:t xml:space="preserve">1</w:t>
      </w:r>
      <w:r w:rsidDel="00000000" w:rsidR="00000000" w:rsidRPr="00000000">
        <w:rPr>
          <w:rtl w:val="0"/>
        </w:rPr>
        <w:t xml:space="preserve">, Thomas D. Wagner</w:t>
      </w:r>
      <w:r w:rsidDel="00000000" w:rsidR="00000000" w:rsidRPr="00000000">
        <w:rPr>
          <w:vertAlign w:val="superscript"/>
          <w:rtl w:val="0"/>
        </w:rPr>
        <w:t xml:space="preserve">2</w:t>
      </w:r>
      <w:r w:rsidDel="00000000" w:rsidR="00000000" w:rsidRPr="00000000">
        <w:rPr>
          <w:rtl w:val="0"/>
        </w:rPr>
        <w:t xml:space="preserve">, Kristina Devi Howell</w:t>
      </w:r>
      <w:r w:rsidDel="00000000" w:rsidR="00000000" w:rsidRPr="00000000">
        <w:rPr>
          <w:vertAlign w:val="superscript"/>
          <w:rtl w:val="0"/>
        </w:rPr>
        <w:t xml:space="preserve">3</w:t>
      </w:r>
      <w:r w:rsidDel="00000000" w:rsidR="00000000" w:rsidRPr="00000000">
        <w:rPr>
          <w:rtl w:val="0"/>
        </w:rPr>
        <w:t xml:space="preserve">, Andrés González-Santa Cruz</w:t>
      </w:r>
      <w:r w:rsidDel="00000000" w:rsidR="00000000" w:rsidRPr="00000000">
        <w:rPr>
          <w:vertAlign w:val="superscript"/>
          <w:rtl w:val="0"/>
        </w:rPr>
        <w:t xml:space="preserve">4</w:t>
      </w:r>
      <w:r w:rsidDel="00000000" w:rsidR="00000000" w:rsidRPr="00000000">
        <w:rPr>
          <w:rtl w:val="0"/>
        </w:rPr>
        <w:t xml:space="preserve">, Jay S. Kaufman</w:t>
      </w:r>
      <w:r w:rsidDel="00000000" w:rsidR="00000000" w:rsidRPr="00000000">
        <w:rPr>
          <w:vertAlign w:val="superscript"/>
          <w:rtl w:val="0"/>
        </w:rPr>
        <w:t xml:space="preserve">5</w:t>
      </w:r>
      <w:r w:rsidDel="00000000" w:rsidR="00000000" w:rsidRPr="00000000">
        <w:rPr>
          <w:rtl w:val="0"/>
        </w:rPr>
        <w:t xml:space="preserve">, Alvaro Castillo-Carniglia</w:t>
      </w:r>
      <w:r w:rsidDel="00000000" w:rsidR="00000000" w:rsidRPr="00000000">
        <w:rPr>
          <w:vertAlign w:val="superscript"/>
          <w:rtl w:val="0"/>
        </w:rPr>
        <w:t xml:space="preserve">4,6</w:t>
      </w:r>
    </w:p>
    <w:p w:rsidR="00000000" w:rsidDel="00000000" w:rsidP="00000000" w:rsidRDefault="00000000" w:rsidRPr="00000000" w14:paraId="00000003">
      <w:pPr>
        <w:rPr>
          <w:vertAlign w:val="superscript"/>
        </w:rPr>
      </w:pPr>
      <w:r w:rsidDel="00000000" w:rsidR="00000000" w:rsidRPr="00000000">
        <w:rPr>
          <w:rtl w:val="0"/>
        </w:rPr>
      </w:r>
    </w:p>
    <w:p w:rsidR="00000000" w:rsidDel="00000000" w:rsidP="00000000" w:rsidRDefault="00000000" w:rsidRPr="00000000" w14:paraId="00000004">
      <w:pPr>
        <w:rPr/>
      </w:pPr>
      <w:r w:rsidDel="00000000" w:rsidR="00000000" w:rsidRPr="00000000">
        <w:rPr>
          <w:vertAlign w:val="superscript"/>
          <w:rtl w:val="0"/>
        </w:rPr>
        <w:t xml:space="preserve">1 </w:t>
      </w:r>
      <w:r w:rsidDel="00000000" w:rsidR="00000000" w:rsidRPr="00000000">
        <w:rPr>
          <w:rtl w:val="0"/>
        </w:rPr>
        <w:t xml:space="preserve">Intensive Care Unit, Department of Medicine, Hospital Clínico Universidad de Chile, Universidad de Chile, Santiago, Chile</w:t>
      </w:r>
    </w:p>
    <w:p w:rsidR="00000000" w:rsidDel="00000000" w:rsidP="00000000" w:rsidRDefault="00000000" w:rsidRPr="00000000" w14:paraId="00000005">
      <w:pPr>
        <w:rPr/>
      </w:pPr>
      <w:r w:rsidDel="00000000" w:rsidR="00000000" w:rsidRPr="00000000">
        <w:rPr>
          <w:vertAlign w:val="superscript"/>
          <w:rtl w:val="0"/>
        </w:rPr>
        <w:t xml:space="preserve">2</w:t>
      </w:r>
      <w:r w:rsidDel="00000000" w:rsidR="00000000" w:rsidRPr="00000000">
        <w:rPr>
          <w:rtl w:val="0"/>
        </w:rPr>
        <w:t xml:space="preserve"> Vagelos College of Physicians &amp; Surgeons, Columbia University, New York, NY</w:t>
      </w:r>
    </w:p>
    <w:p w:rsidR="00000000" w:rsidDel="00000000" w:rsidP="00000000" w:rsidRDefault="00000000" w:rsidRPr="00000000" w14:paraId="00000006">
      <w:pPr>
        <w:rPr/>
      </w:pPr>
      <w:r w:rsidDel="00000000" w:rsidR="00000000" w:rsidRPr="00000000">
        <w:rPr>
          <w:vertAlign w:val="superscript"/>
          <w:rtl w:val="0"/>
        </w:rPr>
        <w:t xml:space="preserve">3</w:t>
      </w:r>
      <w:r w:rsidDel="00000000" w:rsidR="00000000" w:rsidRPr="00000000">
        <w:rPr>
          <w:rtl w:val="0"/>
        </w:rPr>
        <w:t xml:space="preserve"> Department of Epidemiology, Columbia University, New York, NY</w:t>
      </w:r>
    </w:p>
    <w:p w:rsidR="00000000" w:rsidDel="00000000" w:rsidP="00000000" w:rsidRDefault="00000000" w:rsidRPr="00000000" w14:paraId="00000007">
      <w:pPr>
        <w:rPr>
          <w:vertAlign w:val="superscript"/>
        </w:rPr>
      </w:pPr>
      <w:r w:rsidDel="00000000" w:rsidR="00000000" w:rsidRPr="00000000">
        <w:rPr>
          <w:vertAlign w:val="superscript"/>
          <w:rtl w:val="0"/>
        </w:rPr>
        <w:t xml:space="preserve">4 </w:t>
      </w:r>
      <w:r w:rsidDel="00000000" w:rsidR="00000000" w:rsidRPr="00000000">
        <w:rPr>
          <w:rtl w:val="0"/>
        </w:rPr>
        <w:t xml:space="preserve">Society and Health Research Center and School of Public Health, Universidad Mayor, Chile</w:t>
      </w:r>
      <w:r w:rsidDel="00000000" w:rsidR="00000000" w:rsidRPr="00000000">
        <w:rPr>
          <w:rtl w:val="0"/>
        </w:rPr>
      </w:r>
    </w:p>
    <w:p w:rsidR="00000000" w:rsidDel="00000000" w:rsidP="00000000" w:rsidRDefault="00000000" w:rsidRPr="00000000" w14:paraId="00000008">
      <w:pPr>
        <w:rPr/>
      </w:pPr>
      <w:r w:rsidDel="00000000" w:rsidR="00000000" w:rsidRPr="00000000">
        <w:rPr>
          <w:vertAlign w:val="superscript"/>
          <w:rtl w:val="0"/>
        </w:rPr>
        <w:t xml:space="preserve">5 </w:t>
      </w:r>
      <w:r w:rsidDel="00000000" w:rsidR="00000000" w:rsidRPr="00000000">
        <w:rPr>
          <w:rtl w:val="0"/>
        </w:rPr>
        <w:t xml:space="preserve">Department of Epidemiology, Biostatistics and Occupational Health, McGill University, Montreal, Canada</w:t>
      </w:r>
    </w:p>
    <w:p w:rsidR="00000000" w:rsidDel="00000000" w:rsidP="00000000" w:rsidRDefault="00000000" w:rsidRPr="00000000" w14:paraId="00000009">
      <w:pPr>
        <w:rPr/>
      </w:pPr>
      <w:r w:rsidDel="00000000" w:rsidR="00000000" w:rsidRPr="00000000">
        <w:rPr>
          <w:vertAlign w:val="superscript"/>
          <w:rtl w:val="0"/>
        </w:rPr>
        <w:t xml:space="preserve">6</w:t>
      </w:r>
      <w:r w:rsidDel="00000000" w:rsidR="00000000" w:rsidRPr="00000000">
        <w:rPr>
          <w:rtl w:val="0"/>
        </w:rPr>
        <w:t xml:space="preserve"> Department of Population Health, New York University Grossman School of Medicine, New York, NY.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000000"/>
        </w:rPr>
      </w:pPr>
      <w:r w:rsidDel="00000000" w:rsidR="00000000" w:rsidRPr="00000000">
        <w:rPr>
          <w:b w:val="1"/>
          <w:rtl w:val="0"/>
        </w:rPr>
        <w:t xml:space="preserve">Corresponding author</w:t>
      </w:r>
      <w:r w:rsidDel="00000000" w:rsidR="00000000" w:rsidRPr="00000000">
        <w:rPr>
          <w:rtl w:val="0"/>
        </w:rPr>
        <w:t xml:space="preserve">: Alvaro Castillo-Carniglia, Society and Health Research Center, Facultad de Humanidades, Universidad Mayor, Chile. Badajoz 130, Suite 1305, Las Condes, Santiago, Chile. Phone: +56.2.2518.9800. Email: </w:t>
      </w:r>
      <w:hyperlink r:id="rId9">
        <w:r w:rsidDel="00000000" w:rsidR="00000000" w:rsidRPr="00000000">
          <w:rPr>
            <w:rtl w:val="0"/>
          </w:rPr>
          <w:t xml:space="preserve">alvacasti@gmail.com</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Word count abstract</w:t>
      </w:r>
      <w:r w:rsidDel="00000000" w:rsidR="00000000" w:rsidRPr="00000000">
        <w:rPr>
          <w:rtl w:val="0"/>
        </w:rPr>
        <w:t xml:space="preserve">: 319</w:t>
      </w:r>
    </w:p>
    <w:p w:rsidR="00000000" w:rsidDel="00000000" w:rsidP="00000000" w:rsidRDefault="00000000" w:rsidRPr="00000000" w14:paraId="00000010">
      <w:pPr>
        <w:rPr/>
      </w:pPr>
      <w:r w:rsidDel="00000000" w:rsidR="00000000" w:rsidRPr="00000000">
        <w:rPr>
          <w:b w:val="1"/>
          <w:rtl w:val="0"/>
        </w:rPr>
        <w:t xml:space="preserve">Word count manuscript</w:t>
      </w:r>
      <w:r w:rsidDel="00000000" w:rsidR="00000000" w:rsidRPr="00000000">
        <w:rPr>
          <w:rtl w:val="0"/>
        </w:rPr>
        <w:t xml:space="preserve">: 2771</w:t>
      </w:r>
    </w:p>
    <w:p w:rsidR="00000000" w:rsidDel="00000000" w:rsidP="00000000" w:rsidRDefault="00000000" w:rsidRPr="00000000" w14:paraId="00000011">
      <w:pPr>
        <w:rPr/>
      </w:pPr>
      <w:r w:rsidDel="00000000" w:rsidR="00000000" w:rsidRPr="00000000">
        <w:rPr>
          <w:b w:val="1"/>
          <w:highlight w:val="yellow"/>
          <w:rtl w:val="0"/>
        </w:rPr>
        <w:t xml:space="preserve">Acknowledgements</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Conflict of interests</w:t>
      </w:r>
      <w:r w:rsidDel="00000000" w:rsidR="00000000" w:rsidRPr="00000000">
        <w:rPr>
          <w:rtl w:val="0"/>
        </w:rPr>
        <w:t xml:space="preserve">: None</w:t>
      </w:r>
    </w:p>
    <w:p w:rsidR="00000000" w:rsidDel="00000000" w:rsidP="00000000" w:rsidRDefault="00000000" w:rsidRPr="00000000" w14:paraId="00000013">
      <w:pPr>
        <w:rPr/>
      </w:pPr>
      <w:r w:rsidDel="00000000" w:rsidR="00000000" w:rsidRPr="00000000">
        <w:rPr>
          <w:b w:val="1"/>
          <w:rtl w:val="0"/>
        </w:rPr>
        <w:t xml:space="preserve">Role of funding</w:t>
      </w:r>
      <w:r w:rsidDel="00000000" w:rsidR="00000000" w:rsidRPr="00000000">
        <w:rPr>
          <w:rtl w:val="0"/>
        </w:rPr>
        <w:t xml:space="preserve">: Alvaro Castillo-Carniglia was supported by the Comisión Nacional de Investigación Científica y Tecnológica of Chile (FONDECYT regular #1191282).</w:t>
      </w:r>
    </w:p>
    <w:p w:rsidR="00000000" w:rsidDel="00000000" w:rsidP="00000000" w:rsidRDefault="00000000" w:rsidRPr="00000000" w14:paraId="00000014">
      <w:pPr>
        <w:pStyle w:val="Heading1"/>
        <w:rPr/>
      </w:pPr>
      <w:r w:rsidDel="00000000" w:rsidR="00000000" w:rsidRPr="00000000">
        <w:br w:type="column"/>
      </w:r>
      <w:r w:rsidDel="00000000" w:rsidR="00000000" w:rsidRPr="00000000">
        <w:rPr>
          <w:rtl w:val="0"/>
        </w:rPr>
        <w:t xml:space="preserve">Abstract</w:t>
      </w:r>
    </w:p>
    <w:p w:rsidR="00000000" w:rsidDel="00000000" w:rsidP="00000000" w:rsidRDefault="00000000" w:rsidRPr="00000000" w14:paraId="00000015">
      <w:pPr>
        <w:spacing w:line="480" w:lineRule="auto"/>
        <w:rPr>
          <w:color w:val="000000"/>
        </w:rPr>
      </w:pPr>
      <w:r w:rsidDel="00000000" w:rsidR="00000000" w:rsidRPr="00000000">
        <w:rPr>
          <w:i w:val="1"/>
          <w:rtl w:val="0"/>
        </w:rPr>
        <w:t xml:space="preserve">Background</w:t>
      </w:r>
      <w:r w:rsidDel="00000000" w:rsidR="00000000" w:rsidRPr="00000000">
        <w:rPr>
          <w:rtl w:val="0"/>
        </w:rPr>
        <w:t xml:space="preserve">: On October 18</w:t>
      </w:r>
      <w:r w:rsidDel="00000000" w:rsidR="00000000" w:rsidRPr="00000000">
        <w:rPr>
          <w:vertAlign w:val="superscript"/>
          <w:rtl w:val="0"/>
        </w:rPr>
        <w:t xml:space="preserve">th</w:t>
      </w:r>
      <w:r w:rsidDel="00000000" w:rsidR="00000000" w:rsidRPr="00000000">
        <w:rPr>
          <w:rtl w:val="0"/>
        </w:rPr>
        <w:t xml:space="preserve">, 2019, protestors gathered across Chile to call for social equaty. The government responded by declaring a state of emergency and deploying the Chilean army and police, who utilized anti-riot shotguns and tear gas as means of crowd control. </w:t>
      </w: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i w:val="1"/>
          <w:color w:val="000000"/>
          <w:rtl w:val="0"/>
        </w:rPr>
        <w:t xml:space="preserve">Aim</w:t>
      </w:r>
      <w:r w:rsidDel="00000000" w:rsidR="00000000" w:rsidRPr="00000000">
        <w:rPr>
          <w:color w:val="000000"/>
          <w:rtl w:val="0"/>
        </w:rPr>
        <w:t xml:space="preserve">: To quantify the effects of the October 2019 Chilean protests on emergency health services utilization and inpatient admission rates in public hospitals </w:t>
      </w:r>
      <w:r w:rsidDel="00000000" w:rsidR="00000000" w:rsidRPr="00000000">
        <w:rPr>
          <w:rtl w:val="0"/>
        </w:rPr>
        <w:t xml:space="preserve">near the protest focal point in Santiago, Chile.</w:t>
      </w:r>
    </w:p>
    <w:p w:rsidR="00000000" w:rsidDel="00000000" w:rsidP="00000000" w:rsidRDefault="00000000" w:rsidRPr="00000000" w14:paraId="00000017">
      <w:pPr>
        <w:spacing w:line="480" w:lineRule="auto"/>
        <w:rPr/>
      </w:pPr>
      <w:r w:rsidDel="00000000" w:rsidR="00000000" w:rsidRPr="00000000">
        <w:rPr>
          <w:i w:val="1"/>
          <w:rtl w:val="0"/>
        </w:rPr>
        <w:t xml:space="preserve">Methods:</w:t>
      </w:r>
      <w:r w:rsidDel="00000000" w:rsidR="00000000" w:rsidRPr="00000000">
        <w:rPr>
          <w:rtl w:val="0"/>
        </w:rPr>
        <w:t xml:space="preserve"> We used a time series analysis of aggregated weekly emergency department (ED) admissions (2015-2019). Data included three public hospitals located within 3 km of the focal point of the main protest in Santiago, Chile. The exposure period was defined by the onset of social protests on October 18 to December 31, 2019. We considered six outcomes, namely the number of weekly consultations and hospitalizations by trauma and respiratory causes, as well as the proportion of hospitalizations among consultants per 1,000. We implemented Bayesian structural time series models to calculate the absolute and relative effects and their 95% credible intervals (CrI).</w:t>
      </w:r>
    </w:p>
    <w:p w:rsidR="00000000" w:rsidDel="00000000" w:rsidP="00000000" w:rsidRDefault="00000000" w:rsidRPr="00000000" w14:paraId="00000018">
      <w:pPr>
        <w:spacing w:line="480" w:lineRule="auto"/>
        <w:rPr/>
      </w:pPr>
      <w:bookmarkStart w:colFirst="0" w:colLast="0" w:name="_heading=h.gjdgxs" w:id="0"/>
      <w:bookmarkEnd w:id="0"/>
      <w:r w:rsidDel="00000000" w:rsidR="00000000" w:rsidRPr="00000000">
        <w:rPr>
          <w:i w:val="1"/>
          <w:rtl w:val="0"/>
        </w:rPr>
        <w:t xml:space="preserve">Results</w:t>
      </w:r>
      <w:r w:rsidDel="00000000" w:rsidR="00000000" w:rsidRPr="00000000">
        <w:rPr>
          <w:rtl w:val="0"/>
        </w:rPr>
        <w:t xml:space="preserve">: 28,155 ED consultations and 3,022 hospitalizations were observed in the ten week period following the start of social protests. Health services utilization, assessed through ED consultations, declined by 15% (trauma; 95% CrI: -42.6%, 12.1%) and 46% (respiratory; 95% CrI: -95.3%, 3.9%) during the social protests. In contrast, trauma hospitalizations increased by 17% (95% CrI: 4.9%, 29.1%), and the proportion of hospitalizations among consultations increased by 41% for trauma (95% CrI: 11.1%, 69.1%) and 71% for respiratory causes (95% CrI: 36.5%, 106.7%).</w:t>
      </w:r>
    </w:p>
    <w:p w:rsidR="00000000" w:rsidDel="00000000" w:rsidP="00000000" w:rsidRDefault="00000000" w:rsidRPr="00000000" w14:paraId="00000019">
      <w:pPr>
        <w:spacing w:line="480" w:lineRule="auto"/>
        <w:rPr/>
      </w:pPr>
      <w:r w:rsidDel="00000000" w:rsidR="00000000" w:rsidRPr="00000000">
        <w:rPr>
          <w:i w:val="1"/>
          <w:rtl w:val="0"/>
        </w:rPr>
        <w:t xml:space="preserve">Conclusion:</w:t>
      </w:r>
      <w:r w:rsidDel="00000000" w:rsidR="00000000" w:rsidRPr="00000000">
        <w:rPr>
          <w:rtl w:val="0"/>
        </w:rPr>
        <w:t xml:space="preserve"> The 2019 Chilean protests appear to have affected the use of emergency health system services by lowering the number of consultations due to trauma and respiratory causes, while increasing the proportion of hopitalizations among consulting patients. Although this shifts may be attributed in part to civil unrest, crowd-control protocols must be reviewed to limit adverse effects of civil unrest on population health.</w:t>
      </w:r>
    </w:p>
    <w:p w:rsidR="00000000" w:rsidDel="00000000" w:rsidP="00000000" w:rsidRDefault="00000000" w:rsidRPr="00000000" w14:paraId="0000001A">
      <w:pPr>
        <w:spacing w:line="480" w:lineRule="auto"/>
        <w:rPr/>
      </w:pPr>
      <w:r w:rsidDel="00000000" w:rsidR="00000000" w:rsidRPr="00000000">
        <w:rPr>
          <w:b w:val="1"/>
          <w:rtl w:val="0"/>
        </w:rPr>
        <w:t xml:space="preserve">Keywords: </w:t>
      </w:r>
      <w:r w:rsidDel="00000000" w:rsidR="00000000" w:rsidRPr="00000000">
        <w:rPr>
          <w:rtl w:val="0"/>
        </w:rPr>
        <w:t xml:space="preserve">social protests; civil unrest; emergency department; trauma, respiratory, Chile</w:t>
      </w:r>
    </w:p>
    <w:p w:rsidR="00000000" w:rsidDel="00000000" w:rsidP="00000000" w:rsidRDefault="00000000" w:rsidRPr="00000000" w14:paraId="0000001B">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Introduction</w:t>
      </w:r>
    </w:p>
    <w:p w:rsidR="00000000" w:rsidDel="00000000" w:rsidP="00000000" w:rsidRDefault="00000000" w:rsidRPr="00000000" w14:paraId="0000001D">
      <w:pPr>
        <w:spacing w:line="480" w:lineRule="auto"/>
        <w:jc w:val="both"/>
        <w:rPr/>
      </w:pPr>
      <w:bookmarkStart w:colFirst="0" w:colLast="0" w:name="_heading=h.30j0zll" w:id="1"/>
      <w:bookmarkEnd w:id="1"/>
      <w:r w:rsidDel="00000000" w:rsidR="00000000" w:rsidRPr="00000000">
        <w:rPr>
          <w:rtl w:val="0"/>
        </w:rPr>
        <w:t xml:space="preserve">Throughout history, the world has continually witnessed social movements and civil unrest on the local, national, and global levels </w:t>
      </w:r>
      <w:sdt>
        <w:sdtPr>
          <w:tag w:val="goog_rdk_0"/>
        </w:sdtPr>
        <w:sdtContent>
          <w:commentRangeStart w:id="0"/>
        </w:sdtContent>
      </w:sdt>
      <w:r w:rsidDel="00000000" w:rsidR="00000000" w:rsidRPr="00000000">
        <w:rPr>
          <w:vertAlign w:val="superscript"/>
          <w:rtl w:val="0"/>
        </w:rPr>
        <w:t xml:space="preserve">1</w:t>
      </w:r>
      <w:commentRangeEnd w:id="0"/>
      <w:r w:rsidDel="00000000" w:rsidR="00000000" w:rsidRPr="00000000">
        <w:commentReference w:id="0"/>
      </w:r>
      <w:r w:rsidDel="00000000" w:rsidR="00000000" w:rsidRPr="00000000">
        <w:rPr>
          <w:rtl w:val="0"/>
        </w:rPr>
        <w:t xml:space="preserve">. Social movements are defined as organized efforts by a group (or groups) of people working toward a common goa</w:t>
      </w:r>
      <w:sdt>
        <w:sdtPr>
          <w:tag w:val="goog_rdk_1"/>
        </w:sdtPr>
        <w:sdtContent>
          <w:commentRangeStart w:id="1"/>
        </w:sdtContent>
      </w:sdt>
      <w:r w:rsidDel="00000000" w:rsidR="00000000" w:rsidRPr="00000000">
        <w:rPr>
          <w:rtl w:val="0"/>
        </w:rPr>
        <w:t xml:space="preserve">l</w:t>
      </w:r>
      <w:commentRangeEnd w:id="1"/>
      <w:r w:rsidDel="00000000" w:rsidR="00000000" w:rsidRPr="00000000">
        <w:commentReference w:id="1"/>
      </w:r>
      <w:r w:rsidDel="00000000" w:rsidR="00000000" w:rsidRPr="00000000">
        <w:rPr>
          <w:rtl w:val="0"/>
        </w:rPr>
        <w:t xml:space="preserve">. During a movement, participants may intentionally cause a public disturbance that violates the law, an act known as civil unrest; non-authorized peaceful protests may also receive violent police responses, also resulting in unrests </w:t>
      </w:r>
      <w:r w:rsidDel="00000000" w:rsidR="00000000" w:rsidRPr="00000000">
        <w:rPr>
          <w:vertAlign w:val="superscript"/>
          <w:rtl w:val="0"/>
        </w:rPr>
        <w:t xml:space="preserve">2</w:t>
      </w:r>
      <w:r w:rsidDel="00000000" w:rsidR="00000000" w:rsidRPr="00000000">
        <w:rPr>
          <w:rtl w:val="0"/>
        </w:rPr>
        <w:t xml:space="preserve">. In Chile, in October of 2019, a metro fare increase of 30 pesos (about USD 0.04) triggered protests that quickly began to encompass concerns stemming from historical injustices and social inequality. Protestors called for structural changes related to wealth distribution, rising costs of living, stagnant wages, access to and quality of basic public services (e.g., health, education, transport, and justice systems), and retirement pensions, among other structural processe</w:t>
      </w:r>
      <w:sdt>
        <w:sdtPr>
          <w:tag w:val="goog_rdk_2"/>
        </w:sdtPr>
        <w:sdtContent>
          <w:commentRangeStart w:id="2"/>
        </w:sdtContent>
      </w:sdt>
      <w:r w:rsidDel="00000000" w:rsidR="00000000" w:rsidRPr="00000000">
        <w:rPr>
          <w:rtl w:val="0"/>
        </w:rPr>
        <w:t xml:space="preserve">s</w:t>
      </w:r>
      <w:commentRangeEnd w:id="2"/>
      <w:r w:rsidDel="00000000" w:rsidR="00000000" w:rsidRPr="00000000">
        <w:commentReference w:id="2"/>
      </w:r>
      <w:r w:rsidDel="00000000" w:rsidR="00000000" w:rsidRPr="00000000">
        <w:rPr>
          <w:rtl w:val="0"/>
        </w:rPr>
        <w:t xml:space="preserve">. Despite a lack of organized leadership, this social movement featured high attendance rates and strong national support. However, civil unrest occurred collaterally with the social protests, which led the government to declare a state of emergency characterized by restricted mobility, a curfew, and the deployment of armed soldiers and policemen to control street disturbances </w:t>
      </w:r>
      <w:sdt>
        <w:sdtPr>
          <w:tag w:val="goog_rdk_3"/>
        </w:sdtPr>
        <w:sdtContent>
          <w:commentRangeStart w:id="3"/>
        </w:sdtContent>
      </w:sdt>
      <w:r w:rsidDel="00000000" w:rsidR="00000000" w:rsidRPr="00000000">
        <w:rPr>
          <w:vertAlign w:val="superscript"/>
          <w:rtl w:val="0"/>
        </w:rPr>
        <w:t xml:space="preserve">3</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1E">
      <w:pPr>
        <w:spacing w:line="480" w:lineRule="auto"/>
        <w:jc w:val="both"/>
        <w:rPr/>
      </w:pPr>
      <w:r w:rsidDel="00000000" w:rsidR="00000000" w:rsidRPr="00000000">
        <w:rPr>
          <w:rtl w:val="0"/>
        </w:rPr>
        <w:t xml:space="preserve">Much of the current research linking social movements and health has focused on the indirect effects of protests, demonstrations, and civil unrest. For instance, civil unrest and violence often expose people to stress, contributing to mental health burdens </w:t>
      </w:r>
      <w:sdt>
        <w:sdtPr>
          <w:tag w:val="goog_rdk_4"/>
        </w:sdtPr>
        <w:sdtContent>
          <w:commentRangeStart w:id="4"/>
        </w:sdtContent>
      </w:sdt>
      <w:r w:rsidDel="00000000" w:rsidR="00000000" w:rsidRPr="00000000">
        <w:rPr>
          <w:vertAlign w:val="superscript"/>
          <w:rtl w:val="0"/>
        </w:rPr>
        <w:t xml:space="preserve">4</w:t>
      </w:r>
      <w:commentRangeEnd w:id="4"/>
      <w:r w:rsidDel="00000000" w:rsidR="00000000" w:rsidRPr="00000000">
        <w:commentReference w:id="4"/>
      </w:r>
      <w:r w:rsidDel="00000000" w:rsidR="00000000" w:rsidRPr="00000000">
        <w:rPr>
          <w:rtl w:val="0"/>
        </w:rPr>
        <w:t xml:space="preserve">. Similarly, the shutdown of city streets, disruption of public transportation, and damage to public and private infrastructure may affect health services utilization by restricting patient access </w:t>
      </w:r>
      <w:sdt>
        <w:sdtPr>
          <w:tag w:val="goog_rdk_5"/>
        </w:sdtPr>
        <w:sdtContent>
          <w:commentRangeStart w:id="5"/>
        </w:sdtContent>
      </w:sdt>
      <w:r w:rsidDel="00000000" w:rsidR="00000000" w:rsidRPr="00000000">
        <w:rPr>
          <w:vertAlign w:val="superscript"/>
          <w:rtl w:val="0"/>
        </w:rPr>
        <w:t xml:space="preserve">5,6</w:t>
      </w:r>
      <w:commentRangeEnd w:id="5"/>
      <w:r w:rsidDel="00000000" w:rsidR="00000000" w:rsidRPr="00000000">
        <w:commentReference w:id="5"/>
      </w:r>
      <w:r w:rsidDel="00000000" w:rsidR="00000000" w:rsidRPr="00000000">
        <w:rPr>
          <w:rtl w:val="0"/>
        </w:rPr>
        <w:t xml:space="preserve">. Emergency department (ED) consultations are heavily influenced by barriers to access </w:t>
      </w:r>
      <w:r w:rsidDel="00000000" w:rsidR="00000000" w:rsidRPr="00000000">
        <w:rPr>
          <w:vertAlign w:val="superscript"/>
          <w:rtl w:val="0"/>
        </w:rPr>
        <w:t xml:space="preserve">7-9</w:t>
      </w:r>
      <w:r w:rsidDel="00000000" w:rsidR="00000000" w:rsidRPr="00000000">
        <w:rPr>
          <w:rtl w:val="0"/>
        </w:rPr>
        <w:t xml:space="preserve"> and serve as a measure of health services utilization. </w:t>
      </w:r>
    </w:p>
    <w:p w:rsidR="00000000" w:rsidDel="00000000" w:rsidP="00000000" w:rsidRDefault="00000000" w:rsidRPr="00000000" w14:paraId="0000001F">
      <w:pPr>
        <w:spacing w:line="480" w:lineRule="auto"/>
        <w:jc w:val="both"/>
        <w:rPr/>
      </w:pPr>
      <w:r w:rsidDel="00000000" w:rsidR="00000000" w:rsidRPr="00000000">
        <w:rPr>
          <w:rtl w:val="0"/>
        </w:rPr>
        <w:t xml:space="preserve">Other mechanisms likely influence ED visits during civil unrest as well. Crowd control techniques such as pellet guns, tear gas, and other chemical irritants have been shown to have adverse effects on individual health, and the way these are used can impact the overall rate of ED consultations </w:t>
      </w:r>
      <w:r w:rsidDel="00000000" w:rsidR="00000000" w:rsidRPr="00000000">
        <w:rPr>
          <w:vertAlign w:val="superscript"/>
          <w:rtl w:val="0"/>
        </w:rPr>
        <w:t xml:space="preserve">10</w:t>
      </w:r>
      <w:r w:rsidDel="00000000" w:rsidR="00000000" w:rsidRPr="00000000">
        <w:rPr>
          <w:rtl w:val="0"/>
        </w:rPr>
        <w:t xml:space="preserve">. Rubber bullets have been cited for causing eye injuries, lacerations, contusions, and hematoma. Burns and physical blows from batons, bottles, bricks, boots, and other objects also account for physical injury during protests</w:t>
      </w:r>
      <w:sdt>
        <w:sdtPr>
          <w:tag w:val="goog_rdk_6"/>
        </w:sdtPr>
        <w:sdtContent>
          <w:commentRangeStart w:id="6"/>
        </w:sdtContent>
      </w:sdt>
      <w:r w:rsidDel="00000000" w:rsidR="00000000" w:rsidRPr="00000000">
        <w:rPr>
          <w:rtl w:val="0"/>
        </w:rPr>
        <w:t xml:space="preserve"> </w:t>
      </w:r>
      <w:r w:rsidDel="00000000" w:rsidR="00000000" w:rsidRPr="00000000">
        <w:rPr>
          <w:vertAlign w:val="superscript"/>
          <w:rtl w:val="0"/>
        </w:rPr>
        <w:t xml:space="preserve">9-12</w:t>
      </w:r>
      <w:r w:rsidDel="00000000" w:rsidR="00000000" w:rsidRPr="00000000">
        <w:rPr>
          <w:rtl w:val="0"/>
        </w:rPr>
        <w:t xml:space="preserve">. </w:t>
      </w:r>
      <w:commentRangeEnd w:id="6"/>
      <w:r w:rsidDel="00000000" w:rsidR="00000000" w:rsidRPr="00000000">
        <w:commentReference w:id="6"/>
      </w:r>
      <w:r w:rsidDel="00000000" w:rsidR="00000000" w:rsidRPr="00000000">
        <w:rPr>
          <w:rtl w:val="0"/>
        </w:rPr>
        <w:t xml:space="preserve">The use of tear gases —a subset of riot control agents that cause tears, eye pain, and difficulty keeping the eyes open— has been associated with short and long-term effects on the respiratory system </w:t>
      </w:r>
      <w:sdt>
        <w:sdtPr>
          <w:tag w:val="goog_rdk_7"/>
        </w:sdtPr>
        <w:sdtContent>
          <w:commentRangeStart w:id="7"/>
        </w:sdtContent>
      </w:sdt>
      <w:r w:rsidDel="00000000" w:rsidR="00000000" w:rsidRPr="00000000">
        <w:rPr>
          <w:vertAlign w:val="superscript"/>
          <w:rtl w:val="0"/>
        </w:rPr>
        <w:t xml:space="preserve">9,11,13</w:t>
      </w:r>
      <w:commentRangeEnd w:id="7"/>
      <w:r w:rsidDel="00000000" w:rsidR="00000000" w:rsidRPr="00000000">
        <w:commentReference w:id="7"/>
      </w:r>
      <w:r w:rsidDel="00000000" w:rsidR="00000000" w:rsidRPr="00000000">
        <w:rPr>
          <w:rtl w:val="0"/>
        </w:rPr>
        <w:t xml:space="preserve">. Thus, the more immediate and direct exposure consequences of crowd control techniques are dermatological (e.g., irritation, dermatitis, skin rashes), traumatological (injuries and disabilities), and respiratory (e.g., dyspnea, coughing, choking, and chest tightness) </w:t>
      </w:r>
      <w:sdt>
        <w:sdtPr>
          <w:tag w:val="goog_rdk_8"/>
        </w:sdtPr>
        <w:sdtContent>
          <w:commentRangeStart w:id="8"/>
        </w:sdtContent>
      </w:sdt>
      <w:r w:rsidDel="00000000" w:rsidR="00000000" w:rsidRPr="00000000">
        <w:rPr>
          <w:vertAlign w:val="superscript"/>
          <w:rtl w:val="0"/>
        </w:rPr>
        <w:t xml:space="preserve">14</w:t>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14:paraId="00000020">
      <w:pPr>
        <w:spacing w:line="480" w:lineRule="auto"/>
        <w:jc w:val="both"/>
        <w:rPr/>
      </w:pPr>
      <w:r w:rsidDel="00000000" w:rsidR="00000000" w:rsidRPr="00000000">
        <w:rPr>
          <w:rtl w:val="0"/>
        </w:rPr>
        <w:t xml:space="preserve">Despite the known burden on individual health and well-being, evidence regarding the effects of social movements on population health is still lacking and continuously evolving. Some studies have reported the number and patterns of injuries and deaths during periods of civil unrest </w:t>
      </w:r>
      <w:sdt>
        <w:sdtPr>
          <w:tag w:val="goog_rdk_9"/>
        </w:sdtPr>
        <w:sdtContent>
          <w:commentRangeStart w:id="9"/>
        </w:sdtContent>
      </w:sdt>
      <w:r w:rsidDel="00000000" w:rsidR="00000000" w:rsidRPr="00000000">
        <w:rPr>
          <w:vertAlign w:val="superscript"/>
          <w:rtl w:val="0"/>
        </w:rPr>
        <w:t xml:space="preserve">15-19</w:t>
      </w:r>
      <w:commentRangeEnd w:id="9"/>
      <w:r w:rsidDel="00000000" w:rsidR="00000000" w:rsidRPr="00000000">
        <w:commentReference w:id="9"/>
      </w:r>
      <w:r w:rsidDel="00000000" w:rsidR="00000000" w:rsidRPr="00000000">
        <w:rPr>
          <w:rFonts w:ascii="Georgia" w:cs="Georgia" w:eastAsia="Georgia" w:hAnsi="Georgia"/>
          <w:sz w:val="16"/>
          <w:szCs w:val="16"/>
          <w:rtl w:val="0"/>
        </w:rPr>
        <w:t xml:space="preserve">;</w:t>
      </w:r>
      <w:r w:rsidDel="00000000" w:rsidR="00000000" w:rsidRPr="00000000">
        <w:rPr>
          <w:rtl w:val="0"/>
        </w:rPr>
        <w:t xml:space="preserve"> however, most of them are descriptive and do not consider identification strategies to generate causal conclusions about the impact of social movements on health. </w:t>
      </w:r>
    </w:p>
    <w:p w:rsidR="00000000" w:rsidDel="00000000" w:rsidP="00000000" w:rsidRDefault="00000000" w:rsidRPr="00000000" w14:paraId="00000021">
      <w:pPr>
        <w:spacing w:line="480" w:lineRule="auto"/>
        <w:jc w:val="both"/>
        <w:rPr>
          <w:color w:val="000000"/>
        </w:rPr>
      </w:pPr>
      <w:r w:rsidDel="00000000" w:rsidR="00000000" w:rsidRPr="00000000">
        <w:rPr>
          <w:rtl w:val="0"/>
        </w:rPr>
        <w:t xml:space="preserve">In this study, we</w:t>
      </w:r>
      <w:r w:rsidDel="00000000" w:rsidR="00000000" w:rsidRPr="00000000">
        <w:rPr>
          <w:color w:val="000000"/>
          <w:rtl w:val="0"/>
        </w:rPr>
        <w:t xml:space="preserve"> aimed to quantify the effects of the so-called “October 2019” Chilean protests on emergency health system services utilization and inpatient admission rates by trauma and respiratory causes.</w:t>
      </w:r>
    </w:p>
    <w:p w:rsidR="00000000" w:rsidDel="00000000" w:rsidP="00000000" w:rsidRDefault="00000000" w:rsidRPr="00000000" w14:paraId="00000022">
      <w:pPr>
        <w:pStyle w:val="Heading1"/>
        <w:rPr/>
      </w:pPr>
      <w:r w:rsidDel="00000000" w:rsidR="00000000" w:rsidRPr="00000000">
        <w:rPr>
          <w:rtl w:val="0"/>
        </w:rPr>
        <w:t xml:space="preserve">Methods</w:t>
      </w:r>
    </w:p>
    <w:p w:rsidR="00000000" w:rsidDel="00000000" w:rsidP="00000000" w:rsidRDefault="00000000" w:rsidRPr="00000000" w14:paraId="00000023">
      <w:pPr>
        <w:spacing w:line="480" w:lineRule="auto"/>
        <w:jc w:val="both"/>
        <w:rPr>
          <w:i w:val="1"/>
        </w:rPr>
      </w:pPr>
      <w:r w:rsidDel="00000000" w:rsidR="00000000" w:rsidRPr="00000000">
        <w:rPr>
          <w:i w:val="1"/>
          <w:rtl w:val="0"/>
        </w:rPr>
        <w:t xml:space="preserve">Design</w:t>
      </w:r>
    </w:p>
    <w:p w:rsidR="00000000" w:rsidDel="00000000" w:rsidP="00000000" w:rsidRDefault="00000000" w:rsidRPr="00000000" w14:paraId="00000024">
      <w:pPr>
        <w:spacing w:line="480" w:lineRule="auto"/>
        <w:jc w:val="both"/>
        <w:rPr/>
      </w:pPr>
      <w:r w:rsidDel="00000000" w:rsidR="00000000" w:rsidRPr="00000000">
        <w:rPr>
          <w:rtl w:val="0"/>
        </w:rPr>
        <w:t xml:space="preserve">We used an interrupted time series analysis of aggregated weekly hospital ED admissions. The total daily emergency admission data of three major public hospitals in Santiago were gathered from 2015 to 2019 for both consultations and hospitalizations and aggregated into a weekly sum.  The data were then refined to isolate cases from ages 15-64, as most protesters were within this age range </w:t>
      </w:r>
      <w:r w:rsidDel="00000000" w:rsidR="00000000" w:rsidRPr="00000000">
        <w:rPr>
          <w:vertAlign w:val="superscript"/>
          <w:rtl w:val="0"/>
        </w:rPr>
        <w:t xml:space="preserve">10</w:t>
      </w:r>
      <w:r w:rsidDel="00000000" w:rsidR="00000000" w:rsidRPr="00000000">
        <w:rPr>
          <w:rtl w:val="0"/>
        </w:rPr>
        <w:t xml:space="preserve">, and cases were categorized according to their primary cause of admission.</w:t>
      </w:r>
    </w:p>
    <w:p w:rsidR="00000000" w:rsidDel="00000000" w:rsidP="00000000" w:rsidRDefault="00000000" w:rsidRPr="00000000" w14:paraId="00000025">
      <w:pPr>
        <w:spacing w:line="480" w:lineRule="auto"/>
        <w:jc w:val="both"/>
        <w:rPr/>
      </w:pPr>
      <w:r w:rsidDel="00000000" w:rsidR="00000000" w:rsidRPr="00000000">
        <w:rPr>
          <w:rtl w:val="0"/>
        </w:rPr>
        <w:t xml:space="preserve">Chile’s capital, Santiago, was one of the areas most affected by the social protests in 2019, particularly around the historic focal point of social protest known as “Plaza Baquedano”, “Plaza Italia”, and more recently, “Plaza Dignidad”. We included cases from tertiary public hospitals located within 3 kilometers of this focal point (Hospital de Urgencia Asistencia Pública, Hospital del Salvador de Santiago, and Complejo Hospitalario San José). Two of these hospitals are within 1 kilometer of the “Plaza”. The ED’s from the included hospitals are reference centers in the city, being among the largest hospitals in the region with about 2 million of the assigned adult population. The Hospital de Urgencia Asistencia Pública is a national referent center for severe trauma and burns. </w:t>
      </w:r>
    </w:p>
    <w:p w:rsidR="00000000" w:rsidDel="00000000" w:rsidP="00000000" w:rsidRDefault="00000000" w:rsidRPr="00000000" w14:paraId="00000026">
      <w:pPr>
        <w:spacing w:line="480" w:lineRule="auto"/>
        <w:jc w:val="both"/>
        <w:rPr>
          <w:i w:val="1"/>
        </w:rPr>
      </w:pPr>
      <w:r w:rsidDel="00000000" w:rsidR="00000000" w:rsidRPr="00000000">
        <w:rPr>
          <w:i w:val="1"/>
          <w:rtl w:val="0"/>
        </w:rPr>
        <w:t xml:space="preserve">Data acquisition</w:t>
      </w:r>
    </w:p>
    <w:p w:rsidR="00000000" w:rsidDel="00000000" w:rsidP="00000000" w:rsidRDefault="00000000" w:rsidRPr="00000000" w14:paraId="00000027">
      <w:pPr>
        <w:spacing w:line="480" w:lineRule="auto"/>
        <w:jc w:val="both"/>
        <w:rPr/>
      </w:pPr>
      <w:r w:rsidDel="00000000" w:rsidR="00000000" w:rsidRPr="00000000">
        <w:rPr>
          <w:rtl w:val="0"/>
        </w:rPr>
        <w:t xml:space="preserve">The data was obtained through the Chilean Department of Health Information and Statistics, which collects daily ED consultation and hospitalization data from public health centers. Information from ED medical forms is used to obtain the consultation date, patients’ age, ICD-10 diagnosis at ED discharge, and hospital admission status. Data were deidentified and tabulated by each center and reported to the Ministry of Health, which then published the datasets containing the aggregated counts by cause (trauma, respiratory, circulatory system) and center. The dataset was publicly available on the internet (http://www.deis.cl); thus, no IRB approval was necessary to conduct and publish this work.</w:t>
      </w:r>
    </w:p>
    <w:p w:rsidR="00000000" w:rsidDel="00000000" w:rsidP="00000000" w:rsidRDefault="00000000" w:rsidRPr="00000000" w14:paraId="00000028">
      <w:pPr>
        <w:spacing w:line="480" w:lineRule="auto"/>
        <w:jc w:val="both"/>
        <w:rPr>
          <w:i w:val="1"/>
        </w:rPr>
      </w:pPr>
      <w:r w:rsidDel="00000000" w:rsidR="00000000" w:rsidRPr="00000000">
        <w:rPr>
          <w:i w:val="1"/>
          <w:rtl w:val="0"/>
        </w:rPr>
        <w:t xml:space="preserve">Variables</w:t>
      </w:r>
    </w:p>
    <w:p w:rsidR="00000000" w:rsidDel="00000000" w:rsidP="00000000" w:rsidRDefault="00000000" w:rsidRPr="00000000" w14:paraId="00000029">
      <w:pPr>
        <w:spacing w:before="120" w:line="480" w:lineRule="auto"/>
        <w:jc w:val="both"/>
        <w:rPr/>
      </w:pPr>
      <w:r w:rsidDel="00000000" w:rsidR="00000000" w:rsidRPr="00000000">
        <w:rPr>
          <w:u w:val="single"/>
          <w:rtl w:val="0"/>
        </w:rPr>
        <w:t xml:space="preserve">Outcome.</w:t>
      </w:r>
      <w:r w:rsidDel="00000000" w:rsidR="00000000" w:rsidRPr="00000000">
        <w:rPr>
          <w:rtl w:val="0"/>
        </w:rPr>
        <w:t xml:space="preserve"> Health services utilization was measured as the weekly counts of ED consultations and hospitalizations for trauma and respiratory causes. We also looked at the rates of hospitalizations for each cause among those consulting for that cause per 1,000.</w:t>
      </w:r>
    </w:p>
    <w:p w:rsidR="00000000" w:rsidDel="00000000" w:rsidP="00000000" w:rsidRDefault="00000000" w:rsidRPr="00000000" w14:paraId="0000002A">
      <w:pPr>
        <w:spacing w:line="480" w:lineRule="auto"/>
        <w:jc w:val="both"/>
        <w:rPr/>
      </w:pPr>
      <w:r w:rsidDel="00000000" w:rsidR="00000000" w:rsidRPr="00000000">
        <w:rPr>
          <w:u w:val="single"/>
          <w:rtl w:val="0"/>
        </w:rPr>
        <w:t xml:space="preserve">Exposure</w:t>
      </w:r>
      <w:r w:rsidDel="00000000" w:rsidR="00000000" w:rsidRPr="00000000">
        <w:rPr>
          <w:rtl w:val="0"/>
        </w:rPr>
        <w:t xml:space="preserve">. We defined the exposure period as the onset of social protests from October 18 to December 31, 2019. This period consisted of most of the protests’ milestones (see Supplemental Table 1 with a timeline of these milestones). Although protests continued during January and February (typically summer vacation months in Chile), they were far less in number and intensity than in previous months and the first two weeks of March, before the Covid-19 pandemic started in Chile. Due to the format of the data, we set the exposure period from October 21, 2019 (week number 43, according to ISO-8601). The pre-exposure period was from January 2015 to October 20, 2019.</w:t>
      </w:r>
    </w:p>
    <w:p w:rsidR="00000000" w:rsidDel="00000000" w:rsidP="00000000" w:rsidRDefault="00000000" w:rsidRPr="00000000" w14:paraId="0000002B">
      <w:pPr>
        <w:spacing w:line="480" w:lineRule="auto"/>
        <w:jc w:val="both"/>
        <w:rPr>
          <w:i w:val="1"/>
        </w:rPr>
      </w:pPr>
      <w:sdt>
        <w:sdtPr>
          <w:tag w:val="goog_rdk_10"/>
        </w:sdtPr>
        <w:sdtContent>
          <w:commentRangeStart w:id="10"/>
        </w:sdtContent>
      </w:sdt>
      <w:r w:rsidDel="00000000" w:rsidR="00000000" w:rsidRPr="00000000">
        <w:rPr>
          <w:i w:val="1"/>
          <w:rtl w:val="0"/>
        </w:rPr>
        <w:t xml:space="preserve">Analysis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C">
      <w:pPr>
        <w:spacing w:line="480" w:lineRule="auto"/>
        <w:jc w:val="both"/>
        <w:rPr/>
      </w:pPr>
      <w:r w:rsidDel="00000000" w:rsidR="00000000" w:rsidRPr="00000000">
        <w:rPr>
          <w:rtl w:val="0"/>
        </w:rPr>
        <w:t xml:space="preserve">To evaluate the effect of social protests on ED service utilization, we used Bayesian structural time series (BSTS) model</w:t>
      </w:r>
      <w:sdt>
        <w:sdtPr>
          <w:tag w:val="goog_rdk_11"/>
        </w:sdtPr>
        <w:sdtContent>
          <w:commentRangeStart w:id="11"/>
        </w:sdtContent>
      </w:sdt>
      <w:r w:rsidDel="00000000" w:rsidR="00000000" w:rsidRPr="00000000">
        <w:rPr>
          <w:rtl w:val="0"/>
        </w:rPr>
        <w:t xml:space="preserve">s</w:t>
      </w:r>
      <w:commentRangeEnd w:id="11"/>
      <w:r w:rsidDel="00000000" w:rsidR="00000000" w:rsidRPr="00000000">
        <w:commentReference w:id="11"/>
      </w:r>
      <w:r w:rsidDel="00000000" w:rsidR="00000000" w:rsidRPr="00000000">
        <w:rPr>
          <w:rtl w:val="0"/>
        </w:rPr>
        <w:t xml:space="preserve"> implemented through the </w:t>
      </w:r>
      <w:r w:rsidDel="00000000" w:rsidR="00000000" w:rsidRPr="00000000">
        <w:rPr>
          <w:i w:val="1"/>
          <w:rtl w:val="0"/>
        </w:rPr>
        <w:t xml:space="preserve">CausalImpact </w:t>
      </w:r>
      <w:r w:rsidDel="00000000" w:rsidR="00000000" w:rsidRPr="00000000">
        <w:rPr>
          <w:rtl w:val="0"/>
        </w:rPr>
        <w:t xml:space="preserve">R package in R v4.0.2</w:t>
      </w:r>
      <w:sdt>
        <w:sdtPr>
          <w:tag w:val="goog_rdk_12"/>
        </w:sdtPr>
        <w:sdtContent>
          <w:commentRangeStart w:id="12"/>
        </w:sdtContent>
      </w:sdt>
      <w:r w:rsidDel="00000000" w:rsidR="00000000" w:rsidRPr="00000000">
        <w:rPr>
          <w:vertAlign w:val="superscript"/>
          <w:rtl w:val="0"/>
        </w:rPr>
        <w:t xml:space="preserve">20</w:t>
      </w:r>
      <w:commentRangeEnd w:id="12"/>
      <w:r w:rsidDel="00000000" w:rsidR="00000000" w:rsidRPr="00000000">
        <w:commentReference w:id="12"/>
      </w:r>
      <w:r w:rsidDel="00000000" w:rsidR="00000000" w:rsidRPr="00000000">
        <w:rPr>
          <w:rtl w:val="0"/>
        </w:rPr>
        <w:t xml:space="preserve">. This approach compares the observed trend of consultations and hospitalizations after the exposure, with an estimated average trend under the hypothetical scenario in which social protests did not occur (i.e., the counterfactual</w:t>
      </w:r>
      <w:sdt>
        <w:sdtPr>
          <w:tag w:val="goog_rdk_13"/>
        </w:sdtPr>
        <w:sdtContent>
          <w:commentRangeStart w:id="13"/>
        </w:sdtContent>
      </w:sdt>
      <w:r w:rsidDel="00000000" w:rsidR="00000000" w:rsidRPr="00000000">
        <w:rPr>
          <w:rtl w:val="0"/>
        </w:rPr>
        <w:t xml:space="preserve">)</w:t>
      </w:r>
      <w:commentRangeEnd w:id="13"/>
      <w:r w:rsidDel="00000000" w:rsidR="00000000" w:rsidRPr="00000000">
        <w:commentReference w:id="13"/>
      </w:r>
      <w:r w:rsidDel="00000000" w:rsidR="00000000" w:rsidRPr="00000000">
        <w:rPr>
          <w:rtl w:val="0"/>
        </w:rPr>
        <w:t xml:space="preserve">. The estimated effect is then the difference between the counterfactual and the observed number of consultations and hospitalizations following the social protest that started in October 2019.</w:t>
      </w:r>
    </w:p>
    <w:p w:rsidR="00000000" w:rsidDel="00000000" w:rsidP="00000000" w:rsidRDefault="00000000" w:rsidRPr="00000000" w14:paraId="0000002D">
      <w:pPr>
        <w:spacing w:line="480" w:lineRule="auto"/>
        <w:jc w:val="both"/>
        <w:rPr/>
      </w:pPr>
      <w:r w:rsidDel="00000000" w:rsidR="00000000" w:rsidRPr="00000000">
        <w:rPr>
          <w:rtl w:val="0"/>
        </w:rPr>
        <w:t xml:space="preserve">This method allows for flexibility in the inference of counterfactuals, temporal evolution, and incremental attributable impact. Its estimations were achieved by incorporating features such as level, trends, seasonality, and regression to capture the time-series dynamics</w:t>
      </w:r>
      <w:sdt>
        <w:sdtPr>
          <w:tag w:val="goog_rdk_14"/>
        </w:sdtPr>
        <w:sdtContent>
          <w:commentRangeStart w:id="14"/>
        </w:sdtContent>
      </w:sdt>
      <w:r w:rsidDel="00000000" w:rsidR="00000000" w:rsidRPr="00000000">
        <w:rPr>
          <w:rtl w:val="0"/>
        </w:rPr>
        <w:t xml:space="preserve">. </w:t>
      </w:r>
      <w:commentRangeEnd w:id="14"/>
      <w:r w:rsidDel="00000000" w:rsidR="00000000" w:rsidRPr="00000000">
        <w:commentReference w:id="14"/>
      </w:r>
      <w:r w:rsidDel="00000000" w:rsidR="00000000" w:rsidRPr="00000000">
        <w:rPr>
          <w:rtl w:val="0"/>
        </w:rPr>
        <w:t xml:space="preserve">We predefined additive monthly and yearly seasonal components. After estimating several models with different specifications, we selected those with lower cumulative absolute one-step ahead errors. The selected models assumed a studentized distributed noise, which was robust against outliers and shocks, and included a random-walk that does not rely on an observable pattern or trend drift and has the advantage that it adapts to local variation. Such an approach was preferable for short-term prediction</w:t>
      </w:r>
      <w:sdt>
        <w:sdtPr>
          <w:tag w:val="goog_rdk_15"/>
        </w:sdtPr>
        <w:sdtContent>
          <w:commentRangeStart w:id="15"/>
        </w:sdtContent>
      </w:sdt>
      <w:sdt>
        <w:sdtPr>
          <w:tag w:val="goog_rdk_16"/>
        </w:sdtPr>
        <w:sdtContent>
          <w:commentRangeStart w:id="16"/>
        </w:sdtContent>
      </w:sdt>
      <w:r w:rsidDel="00000000" w:rsidR="00000000" w:rsidRPr="00000000">
        <w:rPr>
          <w:rtl w:val="0"/>
        </w:rPr>
        <w:t xml:space="preserve">s</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w:t>
      </w:r>
      <w:r w:rsidDel="00000000" w:rsidR="00000000" w:rsidRPr="00000000">
        <w:rPr>
          <w:vertAlign w:val="superscript"/>
          <w:rtl w:val="0"/>
        </w:rPr>
        <w:t xml:space="preserve">20</w:t>
      </w:r>
      <w:r w:rsidDel="00000000" w:rsidR="00000000" w:rsidRPr="00000000">
        <w:rPr>
          <w:rtl w:val="0"/>
        </w:rPr>
        <w:t xml:space="preserve">.</w:t>
      </w:r>
    </w:p>
    <w:p w:rsidR="00000000" w:rsidDel="00000000" w:rsidP="00000000" w:rsidRDefault="00000000" w:rsidRPr="00000000" w14:paraId="0000002E">
      <w:pPr>
        <w:spacing w:line="480" w:lineRule="auto"/>
        <w:jc w:val="both"/>
        <w:rPr/>
      </w:pPr>
      <w:r w:rsidDel="00000000" w:rsidR="00000000" w:rsidRPr="00000000">
        <w:rPr>
          <w:rtl w:val="0"/>
        </w:rPr>
        <w:t xml:space="preserve">The point effects of social protest and their 95% credible intervals (CrI) were generated as the differences between the estimated forecasts and the observed trends across each 30,000 Markov Chain Monte Carlo iterations, following a 10% burn-in period. The tail-area probability can be interpreted as the probability —across model iterations— of observing a response at least as extreme as the observed point estimat</w:t>
      </w:r>
      <w:sdt>
        <w:sdtPr>
          <w:tag w:val="goog_rdk_17"/>
        </w:sdtPr>
        <w:sdtContent>
          <w:commentRangeStart w:id="17"/>
        </w:sdtContent>
      </w:sdt>
      <w:r w:rsidDel="00000000" w:rsidR="00000000" w:rsidRPr="00000000">
        <w:rPr>
          <w:rtl w:val="0"/>
        </w:rPr>
        <w:t xml:space="preserve">e</w:t>
      </w:r>
      <w:commentRangeEnd w:id="17"/>
      <w:r w:rsidDel="00000000" w:rsidR="00000000" w:rsidRPr="00000000">
        <w:commentReference w:id="17"/>
      </w:r>
      <w:r w:rsidDel="00000000" w:rsidR="00000000" w:rsidRPr="00000000">
        <w:rPr>
          <w:rtl w:val="0"/>
        </w:rPr>
        <w:t xml:space="preserve"> </w:t>
      </w:r>
      <w:r w:rsidDel="00000000" w:rsidR="00000000" w:rsidRPr="00000000">
        <w:rPr>
          <w:vertAlign w:val="superscript"/>
          <w:rtl w:val="0"/>
        </w:rPr>
        <w:t xml:space="preserve">20</w:t>
      </w:r>
      <w:r w:rsidDel="00000000" w:rsidR="00000000" w:rsidRPr="00000000">
        <w:rPr>
          <w:rtl w:val="0"/>
        </w:rPr>
        <w:t xml:space="preserve">. Additional details on the modeling approach and statistics are described in the Supplemental Material.</w:t>
      </w:r>
    </w:p>
    <w:p w:rsidR="00000000" w:rsidDel="00000000" w:rsidP="00000000" w:rsidRDefault="00000000" w:rsidRPr="00000000" w14:paraId="0000002F">
      <w:pPr>
        <w:spacing w:line="480" w:lineRule="auto"/>
        <w:jc w:val="both"/>
        <w:rPr/>
      </w:pPr>
      <w:r w:rsidDel="00000000" w:rsidR="00000000" w:rsidRPr="00000000">
        <w:rPr>
          <w:rtl w:val="0"/>
        </w:rPr>
        <w:t xml:space="preserve">Finally, we performed a sensitivity analysis through a traditional difference-in-differences model using historical controls from 2015 to 2018, expressing the observed trend for each outcome in the same three hospitals but in years in which social protest did not occur. The difference-in-differences model included year fixed-effects and a dummy variable for each month to capture seasonal variations in outcomes</w:t>
      </w:r>
      <w:sdt>
        <w:sdtPr>
          <w:tag w:val="goog_rdk_18"/>
        </w:sdtPr>
        <w:sdtContent>
          <w:commentRangeStart w:id="18"/>
        </w:sdtContent>
      </w:sdt>
      <w:r w:rsidDel="00000000" w:rsidR="00000000" w:rsidRPr="00000000">
        <w:rPr>
          <w:rtl w:val="0"/>
        </w:rPr>
        <w:t xml:space="preserve"> </w:t>
      </w:r>
      <w:r w:rsidDel="00000000" w:rsidR="00000000" w:rsidRPr="00000000">
        <w:rPr>
          <w:vertAlign w:val="superscript"/>
          <w:rtl w:val="0"/>
        </w:rPr>
        <w:t xml:space="preserve">21</w:t>
      </w:r>
      <w:commentRangeEnd w:id="18"/>
      <w:r w:rsidDel="00000000" w:rsidR="00000000" w:rsidRPr="00000000">
        <w:commentReference w:id="18"/>
      </w:r>
      <w:r w:rsidDel="00000000" w:rsidR="00000000" w:rsidRPr="00000000">
        <w:rPr>
          <w:rtl w:val="0"/>
        </w:rPr>
        <w:t xml:space="preserve">. Inferences were computed with robust standard errors to account for heteroscedasticity and autocorrelation.</w:t>
      </w:r>
    </w:p>
    <w:p w:rsidR="00000000" w:rsidDel="00000000" w:rsidP="00000000" w:rsidRDefault="00000000" w:rsidRPr="00000000" w14:paraId="00000030">
      <w:pPr>
        <w:spacing w:line="480" w:lineRule="auto"/>
        <w:jc w:val="both"/>
        <w:rPr/>
      </w:pPr>
      <w:r w:rsidDel="00000000" w:rsidR="00000000" w:rsidRPr="00000000">
        <w:rPr>
          <w:rtl w:val="0"/>
        </w:rPr>
        <w:t xml:space="preserve">Data and markdown with all software codes and outputs are available in https://bit.ly/3k1AUzj.</w:t>
      </w:r>
    </w:p>
    <w:p w:rsidR="00000000" w:rsidDel="00000000" w:rsidP="00000000" w:rsidRDefault="00000000" w:rsidRPr="00000000" w14:paraId="00000031">
      <w:pPr>
        <w:pStyle w:val="Heading1"/>
        <w:rPr/>
      </w:pPr>
      <w:r w:rsidDel="00000000" w:rsidR="00000000" w:rsidRPr="00000000">
        <w:rPr>
          <w:rtl w:val="0"/>
        </w:rPr>
        <w:t xml:space="preserve">Results</w:t>
      </w:r>
    </w:p>
    <w:p w:rsidR="00000000" w:rsidDel="00000000" w:rsidP="00000000" w:rsidRDefault="00000000" w:rsidRPr="00000000" w14:paraId="00000032">
      <w:pPr>
        <w:spacing w:line="480" w:lineRule="auto"/>
        <w:jc w:val="both"/>
        <w:rPr/>
      </w:pPr>
      <w:r w:rsidDel="00000000" w:rsidR="00000000" w:rsidRPr="00000000">
        <w:rPr>
          <w:rtl w:val="0"/>
        </w:rPr>
        <w:t xml:space="preserve">A total of 28,155 ED consultations with 3,022 hospital admissions for ages 15 - 64 were registered in the exposure period (10 weeks following the start of the protests, from October 21</w:t>
      </w:r>
      <w:r w:rsidDel="00000000" w:rsidR="00000000" w:rsidRPr="00000000">
        <w:rPr>
          <w:vertAlign w:val="superscript"/>
          <w:rtl w:val="0"/>
        </w:rPr>
        <w:t xml:space="preserve">st</w:t>
      </w:r>
      <w:r w:rsidDel="00000000" w:rsidR="00000000" w:rsidRPr="00000000">
        <w:rPr>
          <w:rtl w:val="0"/>
        </w:rPr>
        <w:t xml:space="preserve"> to December 31</w:t>
      </w:r>
      <w:r w:rsidDel="00000000" w:rsidR="00000000" w:rsidRPr="00000000">
        <w:rPr>
          <w:vertAlign w:val="superscript"/>
          <w:rtl w:val="0"/>
        </w:rPr>
        <w:t xml:space="preserve">st</w:t>
      </w:r>
      <w:r w:rsidDel="00000000" w:rsidR="00000000" w:rsidRPr="00000000">
        <w:rPr>
          <w:rtl w:val="0"/>
        </w:rPr>
        <w:t xml:space="preserve"> of 2019) in the three hospitals under study. Median weekly total consultations and hospitalizations during the entire pre-exposure period (January 2015 to October 2019) were 3,137 and 288, respectively (Table 1), while in the exposure period were 2,854 and 298. Overall, during 2015-2019, trauma cases represent 26% of total consultations and 21% of total hospitalizations, and respiratory cases represent 5% and 7%, respectively. </w:t>
      </w:r>
    </w:p>
    <w:p w:rsidR="00000000" w:rsidDel="00000000" w:rsidP="00000000" w:rsidRDefault="00000000" w:rsidRPr="00000000" w14:paraId="00000033">
      <w:pPr>
        <w:spacing w:line="480" w:lineRule="auto"/>
        <w:jc w:val="both"/>
        <w:rPr/>
      </w:pPr>
      <w:r w:rsidDel="00000000" w:rsidR="00000000" w:rsidRPr="00000000">
        <w:rPr>
          <w:rtl w:val="0"/>
        </w:rPr>
        <w:t xml:space="preserve">The weekly number of consultations and hospitalizations by trauma and respiratory causes are shown in Supplemental Figure 1. The number of respiratory ED consultations and hospitalizations show a clear seasonal pattern with a large increase in the winter months, although the relative severity of cases does not appear to present with a seasonal variation. The number of trauma ED consultations and hospitalizations were higher than respiratory cases, with hospitalizations demonstrating fairly large variations throughout the time-series.</w:t>
      </w:r>
    </w:p>
    <w:p w:rsidR="00000000" w:rsidDel="00000000" w:rsidP="00000000" w:rsidRDefault="00000000" w:rsidRPr="00000000" w14:paraId="00000034">
      <w:pPr>
        <w:spacing w:line="480" w:lineRule="auto"/>
        <w:jc w:val="both"/>
        <w:rPr/>
      </w:pPr>
      <w:r w:rsidDel="00000000" w:rsidR="00000000" w:rsidRPr="00000000">
        <w:rPr>
          <w:rtl w:val="0"/>
        </w:rPr>
        <w:t xml:space="preserve">Differences between model predictions and the observed data in the pre and post-October protests are graphed in Figure 1. We only present pre-exposure differences for the last 10 weeks prior to the social protests for ease of visualization. Overall, model predictions fit the observed pre-exposure data for all outcomes (Supplemental Figure 1 and Figure 1). The absolute and cumulative differences between the predicted and the observed trend are shown in Figures 1 and 2. Consultations dropped following social protests along with the absolute number of respiratory hospitalizations. However, none of these three results were statistically distinguishable from the null in the Bayesian time series model. Nonetheless, the absolute number of trauma hospitalizations, as well as the relative severity of consultations (rate of hospitalizations per 1000 consultations), increased following the social protests. The number of trauma hospitalizations increased by 17% (95% CrI: 4.9, 29.1), while trauma hospitalizations per 1,000 consultations increased by 41%, relative to the counterfactual (95% CrI: 11.1, 69.1); respiratory hospitalizations per 1,000 consultations increased by 71% (95% CrI: 36.5, 106.7).</w:t>
      </w:r>
    </w:p>
    <w:p w:rsidR="00000000" w:rsidDel="00000000" w:rsidP="00000000" w:rsidRDefault="00000000" w:rsidRPr="00000000" w14:paraId="00000035">
      <w:pPr>
        <w:spacing w:line="480" w:lineRule="auto"/>
        <w:jc w:val="both"/>
        <w:rPr/>
      </w:pPr>
      <w:r w:rsidDel="00000000" w:rsidR="00000000" w:rsidRPr="00000000">
        <w:rPr>
          <w:rtl w:val="0"/>
        </w:rPr>
        <w:t xml:space="preserve">Sensitivity analysis with a frequentist “differences-in-differences” model showed consistent results in terms of both direction and magnitude of the effects, although confidence intervals were narrower. Social protest were associated with a 16% (95% CI: -25.5, -7.4) decline in trauma consultations and a 44% decline in respiratory consultation (95% CI: -72.8, -15.8). As with the Bayesian time-series approach, both trauma and respiratory hospitalizations per consultations showed increases in the magnitude of 28% (95% CI: 17.9, 37.4) and 50% (95% CI: 37.5, 60.4), respectively, as well as trauma hospitalizations, which experienced an increase of 12% (95% CI: 1.6,21.8) (Supplemental Table 3).</w:t>
      </w:r>
    </w:p>
    <w:p w:rsidR="00000000" w:rsidDel="00000000" w:rsidP="00000000" w:rsidRDefault="00000000" w:rsidRPr="00000000" w14:paraId="00000036">
      <w:pPr>
        <w:pStyle w:val="Heading1"/>
        <w:rPr/>
      </w:pPr>
      <w:r w:rsidDel="00000000" w:rsidR="00000000" w:rsidRPr="00000000">
        <w:rPr>
          <w:rtl w:val="0"/>
        </w:rPr>
        <w:t xml:space="preserve">Discussion</w:t>
      </w:r>
    </w:p>
    <w:p w:rsidR="00000000" w:rsidDel="00000000" w:rsidP="00000000" w:rsidRDefault="00000000" w:rsidRPr="00000000" w14:paraId="00000037">
      <w:pPr>
        <w:spacing w:line="480" w:lineRule="auto"/>
        <w:jc w:val="both"/>
        <w:rPr/>
      </w:pPr>
      <w:r w:rsidDel="00000000" w:rsidR="00000000" w:rsidRPr="00000000">
        <w:rPr>
          <w:rtl w:val="0"/>
        </w:rPr>
        <w:t xml:space="preserve">In this study, we aimed to quantify the effects of social protest and widespread crowd-control techniques on health service utilization within the Chilean context. Our findings suggest that, following the onset of the Chilean social movement on October 18, 2019, there was a decrease in consultations to ED services near the protest’s focal point. However, the severity of trauma and respiratory cases appeared to increase, particularly when we looked at the proportion of hospitalizations per 1,000 trauma/respiratory ED consultations. Hospitalizations among consultations for trauma were 41% higher than expected, while, for respiratory conditions, hospitalizations were 71% higher. These results provide novel insights on the impact of social movements and violence during civil unrest on health service utilization and population health.</w:t>
      </w:r>
    </w:p>
    <w:p w:rsidR="00000000" w:rsidDel="00000000" w:rsidP="00000000" w:rsidRDefault="00000000" w:rsidRPr="00000000" w14:paraId="00000038">
      <w:pPr>
        <w:spacing w:line="480" w:lineRule="auto"/>
        <w:jc w:val="both"/>
        <w:rPr/>
      </w:pPr>
      <w:r w:rsidDel="00000000" w:rsidR="00000000" w:rsidRPr="00000000">
        <w:rPr>
          <w:rtl w:val="0"/>
        </w:rPr>
        <w:t xml:space="preserve">The overall decline in ED consultations could likely be explained through access; during this period, individuals with non-severe or life-threatening emergencies who would generally visit emergency services might reasonably avoid these hospitals </w:t>
      </w:r>
      <w:r w:rsidDel="00000000" w:rsidR="00000000" w:rsidRPr="00000000">
        <w:rPr>
          <w:vertAlign w:val="superscript"/>
          <w:rtl w:val="0"/>
        </w:rPr>
        <w:t xml:space="preserve">5</w:t>
      </w:r>
      <w:r w:rsidDel="00000000" w:rsidR="00000000" w:rsidRPr="00000000">
        <w:rPr>
          <w:rtl w:val="0"/>
        </w:rPr>
        <w:t xml:space="preserve">. In fact, public transportation was significantly disrupted throughout the time of the protests, particularly in the area surrounding the protest’s focal point. It is also known that incident cases due to police confrontations and exposure to crowd-control methods, particularly those with minor and mild injuries, were treated on-site by volunteering health professionals, possibly lessening the ED burden from mild or non-life-threatening problems </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39">
      <w:pPr>
        <w:spacing w:line="480" w:lineRule="auto"/>
        <w:jc w:val="both"/>
        <w:rPr/>
      </w:pPr>
      <w:r w:rsidDel="00000000" w:rsidR="00000000" w:rsidRPr="00000000">
        <w:rPr>
          <w:rtl w:val="0"/>
        </w:rPr>
        <w:t xml:space="preserve">The increase in the number and proportion of trauma hospitalizations during the social protest period suggests that confrontations and police brutality resulted in an increased number of civilians injured that needed medical attention. This is consistent with a previous study that evidenced an increase in severe ocular trauma by kinetic impact projectiles during this period </w:t>
      </w:r>
      <w:r w:rsidDel="00000000" w:rsidR="00000000" w:rsidRPr="00000000">
        <w:rPr>
          <w:vertAlign w:val="superscript"/>
          <w:rtl w:val="0"/>
        </w:rPr>
        <w:t xml:space="preserve">10</w:t>
      </w:r>
      <w:r w:rsidDel="00000000" w:rsidR="00000000" w:rsidRPr="00000000">
        <w:rPr>
          <w:rtl w:val="0"/>
        </w:rPr>
        <w:t xml:space="preserve">, as well as another study that demonstrated increased levels of trauma at the beginning of the social crisis in the south-east area of Santiago (fairly far from the protests’ focal point), though the authors found no unambiguous differences compared with 2018 </w:t>
      </w:r>
      <w:r w:rsidDel="00000000" w:rsidR="00000000" w:rsidRPr="00000000">
        <w:rPr>
          <w:vertAlign w:val="superscript"/>
          <w:rtl w:val="0"/>
        </w:rPr>
        <w:t xml:space="preserve">22</w:t>
      </w:r>
      <w:r w:rsidDel="00000000" w:rsidR="00000000" w:rsidRPr="00000000">
        <w:rPr>
          <w:rtl w:val="0"/>
        </w:rPr>
        <w:t xml:space="preserve">. Moreover, due to access issues, patients with trauma or respiratory diseases could have delayed their ED consultations during this period, worsening the disease severity at ED presentation. In other words, the observed increase in disease severity of trauma and respiratory consultations could be explained by the widespread use of crowd-control techniques in confrontations between the police and protesters and a late consultation due to access barriers during this period.</w:t>
      </w:r>
    </w:p>
    <w:p w:rsidR="00000000" w:rsidDel="00000000" w:rsidP="00000000" w:rsidRDefault="00000000" w:rsidRPr="00000000" w14:paraId="0000003A">
      <w:pPr>
        <w:spacing w:line="480" w:lineRule="auto"/>
        <w:jc w:val="both"/>
        <w:rPr/>
      </w:pPr>
      <w:r w:rsidDel="00000000" w:rsidR="00000000" w:rsidRPr="00000000">
        <w:rPr>
          <w:rtl w:val="0"/>
        </w:rPr>
        <w:t xml:space="preserve">During the “October 2019” protests, many human rights organizations were present in Chile. The evidence contained in reports from the United Nations, The Interamerican Commission of Human Rights, The National Institute of Human Rights, Amnesty International, and Human Rights Watch, all agree in a disproportionated use of force by the police and soldiers, resulting in many cases in severe injuries and deaths among civilians </w:t>
      </w:r>
      <w:r w:rsidDel="00000000" w:rsidR="00000000" w:rsidRPr="00000000">
        <w:rPr>
          <w:vertAlign w:val="superscript"/>
          <w:rtl w:val="0"/>
        </w:rPr>
        <w:t xml:space="preserve">23,24</w:t>
      </w:r>
      <w:sdt>
        <w:sdtPr>
          <w:tag w:val="goog_rdk_19"/>
        </w:sdtPr>
        <w:sdtContent>
          <w:commentRangeStart w:id="19"/>
        </w:sdtContent>
      </w:sdt>
      <w:r w:rsidDel="00000000" w:rsidR="00000000" w:rsidRPr="00000000">
        <w:rPr>
          <w:rtl w:val="0"/>
        </w:rPr>
        <w:t xml:space="preserve">. </w:t>
      </w:r>
      <w:commentRangeEnd w:id="19"/>
      <w:r w:rsidDel="00000000" w:rsidR="00000000" w:rsidRPr="00000000">
        <w:commentReference w:id="19"/>
      </w:r>
      <w:r w:rsidDel="00000000" w:rsidR="00000000" w:rsidRPr="00000000">
        <w:rPr>
          <w:rtl w:val="0"/>
        </w:rPr>
        <w:t xml:space="preserve">The same reports state that policemen fired at short-distance and to the head of protesters—despite national and international protocols—with kinetic weapons or tear gas canisters. In fact, the world’s largest number of ocular trauma by kinetic impact projectiles was documented in Chile during this period </w:t>
      </w:r>
      <w:sdt>
        <w:sdtPr>
          <w:tag w:val="goog_rdk_20"/>
        </w:sdtPr>
        <w:sdtContent>
          <w:commentRangeStart w:id="20"/>
        </w:sdtContent>
      </w:sdt>
      <w:r w:rsidDel="00000000" w:rsidR="00000000" w:rsidRPr="00000000">
        <w:rPr>
          <w:vertAlign w:val="superscript"/>
          <w:rtl w:val="0"/>
        </w:rPr>
        <w:t xml:space="preserve">10</w:t>
      </w:r>
      <w:commentRangeEnd w:id="20"/>
      <w:r w:rsidDel="00000000" w:rsidR="00000000" w:rsidRPr="00000000">
        <w:commentReference w:id="20"/>
      </w:r>
      <w:r w:rsidDel="00000000" w:rsidR="00000000" w:rsidRPr="00000000">
        <w:rPr>
          <w:rtl w:val="0"/>
        </w:rPr>
        <w:t xml:space="preserve">, which is consistent with the increase in ED case severity illustrated by our results.</w:t>
      </w:r>
    </w:p>
    <w:p w:rsidR="00000000" w:rsidDel="00000000" w:rsidP="00000000" w:rsidRDefault="00000000" w:rsidRPr="00000000" w14:paraId="0000003B">
      <w:pPr>
        <w:spacing w:line="480" w:lineRule="auto"/>
        <w:jc w:val="both"/>
        <w:rPr/>
      </w:pPr>
      <w:r w:rsidDel="00000000" w:rsidR="00000000" w:rsidRPr="00000000">
        <w:rPr>
          <w:rtl w:val="0"/>
        </w:rPr>
        <w:t xml:space="preserve">Social movements resulting in civil unrest are far from being merely a Chilean or even Latin American issue. Recent demonstrations have occurred for different reasons in countries such as France, Hong Kong, Syria, and the United States. As in Chile, many of these protests resulted in the widespread use of anti-riot shotguns and tear gas as a means of crowd control. The medical and public health community have raised concerns about the indiscriminate use of these methods and the potential harm to those involved in the confrontation and surrounding areas </w:t>
      </w:r>
      <w:sdt>
        <w:sdtPr>
          <w:tag w:val="goog_rdk_21"/>
        </w:sdtPr>
        <w:sdtContent>
          <w:commentRangeStart w:id="21"/>
        </w:sdtContent>
      </w:sdt>
      <w:r w:rsidDel="00000000" w:rsidR="00000000" w:rsidRPr="00000000">
        <w:rPr>
          <w:vertAlign w:val="superscript"/>
          <w:rtl w:val="0"/>
        </w:rPr>
        <w:t xml:space="preserve">6,25-28</w:t>
      </w:r>
      <w:commentRangeEnd w:id="21"/>
      <w:r w:rsidDel="00000000" w:rsidR="00000000" w:rsidRPr="00000000">
        <w:commentReference w:id="21"/>
      </w:r>
      <w:r w:rsidDel="00000000" w:rsidR="00000000" w:rsidRPr="00000000">
        <w:rPr>
          <w:rtl w:val="0"/>
        </w:rPr>
        <w:t xml:space="preserve">. These concerns may only increase in the future, as many authors have suggested that social movements are expected to increase in the near future due to the economic crisis derived from COVID-19 </w:t>
      </w:r>
      <w:r w:rsidDel="00000000" w:rsidR="00000000" w:rsidRPr="00000000">
        <w:rPr>
          <w:vertAlign w:val="superscript"/>
          <w:rtl w:val="0"/>
        </w:rPr>
        <w:t xml:space="preserve">29</w:t>
      </w:r>
      <w:r w:rsidDel="00000000" w:rsidR="00000000" w:rsidRPr="00000000">
        <w:rPr>
          <w:rtl w:val="0"/>
        </w:rPr>
        <w:t xml:space="preserve">.</w:t>
      </w:r>
    </w:p>
    <w:p w:rsidR="00000000" w:rsidDel="00000000" w:rsidP="00000000" w:rsidRDefault="00000000" w:rsidRPr="00000000" w14:paraId="0000003C">
      <w:pPr>
        <w:spacing w:line="480" w:lineRule="auto"/>
        <w:jc w:val="both"/>
        <w:rPr>
          <w:i w:val="1"/>
        </w:rPr>
      </w:pPr>
      <w:r w:rsidDel="00000000" w:rsidR="00000000" w:rsidRPr="00000000">
        <w:rPr>
          <w:i w:val="1"/>
          <w:rtl w:val="0"/>
        </w:rPr>
        <w:t xml:space="preserve">Implications</w:t>
      </w:r>
    </w:p>
    <w:p w:rsidR="00000000" w:rsidDel="00000000" w:rsidP="00000000" w:rsidRDefault="00000000" w:rsidRPr="00000000" w14:paraId="0000003D">
      <w:pPr>
        <w:spacing w:line="480" w:lineRule="auto"/>
        <w:jc w:val="both"/>
        <w:rPr/>
      </w:pPr>
      <w:r w:rsidDel="00000000" w:rsidR="00000000" w:rsidRPr="00000000">
        <w:rPr>
          <w:rtl w:val="0"/>
        </w:rPr>
        <w:t xml:space="preserve">The results of this study should be seen as a first step in better understanding the broader health effects of large-scale social movements. We believe that our rigorous analytical approach may help to anticipate changes in ED consultation and hospitalization patterns as well as disruptions in healthcare access during periods of widespread violence in order to allocate efforts and resources accordingly. Second, and most importantly, we hope this study will be used to advise and advocate for policy change regarding police responses to civil unrest to prevent the escalation of violence and harm among protesters, the police force, and bystanders in surrounding areas. </w:t>
      </w:r>
    </w:p>
    <w:p w:rsidR="00000000" w:rsidDel="00000000" w:rsidP="00000000" w:rsidRDefault="00000000" w:rsidRPr="00000000" w14:paraId="0000003E">
      <w:pPr>
        <w:spacing w:line="480" w:lineRule="auto"/>
        <w:jc w:val="both"/>
        <w:rPr>
          <w:i w:val="1"/>
        </w:rPr>
      </w:pPr>
      <w:r w:rsidDel="00000000" w:rsidR="00000000" w:rsidRPr="00000000">
        <w:rPr>
          <w:i w:val="1"/>
          <w:rtl w:val="0"/>
        </w:rPr>
        <w:t xml:space="preserve">Limitations</w:t>
      </w:r>
    </w:p>
    <w:p w:rsidR="00000000" w:rsidDel="00000000" w:rsidP="00000000" w:rsidRDefault="00000000" w:rsidRPr="00000000" w14:paraId="0000003F">
      <w:pPr>
        <w:spacing w:line="480" w:lineRule="auto"/>
        <w:jc w:val="both"/>
        <w:rPr/>
      </w:pPr>
      <w:r w:rsidDel="00000000" w:rsidR="00000000" w:rsidRPr="00000000">
        <w:rPr>
          <w:rtl w:val="0"/>
        </w:rPr>
        <w:t xml:space="preserve">The results of this study should be seen in the light of the following limitations. The first and perhaps most crucial limitation was the difficulty obtaining hospital data from private institutions near the focal point of the protests. Although around 75% of the Chilean population have public health insurance </w:t>
      </w:r>
      <w:r w:rsidDel="00000000" w:rsidR="00000000" w:rsidRPr="00000000">
        <w:rPr>
          <w:vertAlign w:val="superscript"/>
          <w:rtl w:val="0"/>
        </w:rPr>
        <w:t xml:space="preserve">30</w:t>
      </w:r>
      <w:r w:rsidDel="00000000" w:rsidR="00000000" w:rsidRPr="00000000">
        <w:rPr>
          <w:rtl w:val="0"/>
        </w:rPr>
        <w:t xml:space="preserve"> and likely use the public health system, there was a still fraction of the population that was not included in our study, which limits the generalizability of our findings. In addition, the degree of detail for emergency data in Chile is far from ideal. We were only able to use the grouped primary cause of admission; thus, contributory causes were not explored in the study. Finally, the precision of our main results was fairly poor, limiting our possibilities to generate robust conclusions on effect estimates for trauma and respiratory consultations. This is largely because the Bayesian structural time-series model is a fairly conservative approach due to its flexibility. However, the most consistent results using a more traditional difference-in-difference model give us confidence in our interpretation and final conclusions.</w:t>
      </w:r>
    </w:p>
    <w:p w:rsidR="00000000" w:rsidDel="00000000" w:rsidP="00000000" w:rsidRDefault="00000000" w:rsidRPr="00000000" w14:paraId="00000040">
      <w:pPr>
        <w:pStyle w:val="Heading1"/>
        <w:rPr/>
      </w:pPr>
      <w:r w:rsidDel="00000000" w:rsidR="00000000" w:rsidRPr="00000000">
        <w:rPr>
          <w:rtl w:val="0"/>
        </w:rPr>
        <w:t xml:space="preserve">Conclusions</w:t>
      </w:r>
    </w:p>
    <w:p w:rsidR="00000000" w:rsidDel="00000000" w:rsidP="00000000" w:rsidRDefault="00000000" w:rsidRPr="00000000" w14:paraId="00000041">
      <w:pPr>
        <w:spacing w:line="480" w:lineRule="auto"/>
        <w:jc w:val="both"/>
        <w:rPr/>
      </w:pPr>
      <w:r w:rsidDel="00000000" w:rsidR="00000000" w:rsidRPr="00000000">
        <w:rPr>
          <w:rtl w:val="0"/>
        </w:rPr>
        <w:t xml:space="preserve">The October 2019 Chilean protests appear to affect emergency health system services by lowering the number of consultations due to trauma and respiratory causes, while simultaneously increasing the proportion of hospitalizations among admitted patients. It is necessary to implement policy changes regarding law enforcement actions and crowd control measures during civil unrest in order to limit adverse effects on population health.</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t xml:space="preserve">References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Berger S, Nehring H. Introduction: Towards a Global History of Social Movements. In: S. Berger HN, ed. The History of Social Movements in Global Perspective; 2017: 1-35.</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Diani M. The Concept of Social Movement.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Sociological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1-25.</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Somma NM, Bargsted M, Disi R, Medel RM. No water in the oasis: the Chilean Spring of 2019–2020.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Social Movement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1-8.</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Ni MY, Kim Y, McDowell I, et al. Mental health during and after protests, riots and revolutions: A systematic review.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Australian &amp; New Zealand Journal of Psychiatry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232-43.</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Robertson E. Venezuelan unrest increases pressure on health services.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Lancet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(9921): 942.</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The Lancet O. Hong Kong: long civil unrest with long-term consequences.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Lancet Oncol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Jones AP, Bentham G, Horwell C. Health service accessibility and deaths from asthma.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 J Epidemiol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101-5.</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tab/>
        <w:t xml:space="preserve">Nicholl J, West J, Goodacre S, Turner J. The relationship between distance to hospital and patient mortality in emergencies: an observational study.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Emergency Medicine Journal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665-8.</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tab/>
        <w:t xml:space="preserve">Ballantyne B. Medical management of the traumatic consequences of civil unrest incidents: causation, clinical approaches, needs and advanced planning criteria.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Toxicological reviews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155–97.</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tab/>
        <w:t xml:space="preserve">Rodríguez Á, Peña S, Cavieres I, et al. Ocular trauma by kinetic impact projectiles during civil unrest in Chile.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Eye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Haar RJ, Iacopino V, Ranadive N, Dandu M, Weiser SD. Death, injury and disability from kinetic impact projectiles in crowd-control settings: a systematic review.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BMJ Open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e018154.</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Ifantides C, Deitz GA, Christopher KL, Slingsby TJ, Subramanian PS. Less-Lethal Weapons Resulting in OphthalmicInjuries: A Review and Recent Example of Eye Trauma.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Ophthalmology and Therapy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1-7.</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Rothenberg C, Achanta S, Svendsen ER, Jordt SE. Tear gas: an epidemiological and mechanistic reassessment.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Annals of the New York Academy of Sciences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1378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96-107.</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Haar J, Iacopino V. Lethal in Disguise. The Health Consequences of Crowd-Control Weapons. Geneva, Switzerland: International Network of Civil Liberties Organizations; 2016, March 01.</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El Warea M, Sasso R, Bachir R, El Sayed M. Riots in Beirut: Description of the Impact of a New Type of Mass Casualty Event on the Emergency System in Lebanon.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Disaster Medicine and Public Health Preparedness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849-52.</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tab/>
        <w:t xml:space="preserve">Suyama J, Panagos PD, Sztajnkrycer MD, FitzGerald DJ, Barnes D. Injury patterns related to use of less-lethal weapons during a period of civil unrest.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Emerg 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219-27.</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tab/>
        <w:t xml:space="preserve">Mahajna A, Aboud N, Harbaji I, et al. Blunt and penetrating injuries caused by rubber bullets during the Israeli-Arab conflict in October, 2000: a retrospective study.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Lancet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(9320): 1795-800.</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tab/>
        <w:t xml:space="preserve">Unuvar U, Yilmaz D, Ozyildirim I, et al. Usage of Riot Control Agents and other methods resulting in physical and psychological injuries sustained during civil unrest in Turkey in 2013.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 Forensic Leg 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47-52.</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tab/>
        <w:t xml:space="preserve">Knobel GJ. Effect of civil unrest on the incidence of violent and non-natural deaths.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 Afr Med 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1986;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83-8.</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tab/>
        <w:t xml:space="preserve">Brodersen KH, Gallusser F, Koehler J, Remy N, Scott SL. Inferring causal impact using Bayesian structural time-series models.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Ann Appl Stat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247-74.</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Driscoll JC, Kraay AC. Consistent Covariance Matrix Estimation with Spatially Dependent Panel Data.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Review of Economics and Statistics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1998;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549-60.</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t xml:space="preserve">Ramos Perkis JP, Achurra Tirado P, Raykar N, et al. Different Crises, Different Patterns of Trauma. The Impact of a Social Crisis and the COVID-19 Health Pandemic on a High Violence Area.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World J Surg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1-7.</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tab/>
        <w:t xml:space="preserve">Office of the United Nations High Commissioner [OHCHR]. Report of the Mission to Chile 30 October - 22 November 2019. Geneva, Switzerland: United Nations; 2019, December 13.</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tab/>
        <w:t xml:space="preserve">Instituto Nacional de Derechos Humanos [INDH]. Informe Anual. Sobre la situación de los Derechos Humanos en Chile en el contexto de la crisis social. 17 de Octubre – 30 de noviembre 2019 [Annual report on the situation of human rights in Chile in the context of the social crisis. October 17- November 30, 2019]. 2019, December 23.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https://bibliotecadigital.indh.cl/bitstream/handle/123456789/1701/Informe%20Final-2019.pdf?sequence=1&amp;isAllowed=y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March, 21 2021).</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tab/>
        <w:t xml:space="preserve">Elm E, Madrid Aris E, Urrútia G. Chile: civil unrest and Cochrane Colloquium cancelled.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Lancet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(10210).</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tab/>
        <w:t xml:space="preserve">Chan EYY, Hung KKC, Hung HHY, Graham CA. Use of tear gas for crowd control in Hong Kong.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Lancet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(10208): 1517-8.</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tab/>
        <w:t xml:space="preserve">Heisler M, Hampton K, McKay D. Dangerous use of crowd-control weapons against medics and protesters in Portland,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Lancet (London, England)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396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(10259): e59-e60.</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tab/>
        <w:t xml:space="preserve">Wright S. The role of sub-lethal weapons in human rights abuse.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Med Confl Surviv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221-33.</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tab/>
        <w:t xml:space="preserve">Institute for Economics &amp; Peace [IEP]. Global Peace Index 2020: Measuring Peace in a Complex World. 2020. </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https://visionofhumanity.org/wp-content/uploads/2020/10/GPI_2020_web.pdf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December 08 2020).</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tab/>
        <w:t xml:space="preserve">Fondo Nacional de Salud [FONASA]. Caracterización sociodemográfica y socioeconómica en la población asegurada inscrita [Sociodemographic breakdown of insured registered population]. 2020. </w:t>
      </w:r>
      <w:hyperlink r:id="rId1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https://www.fonasa.cl/sites/fonasa/adjuntos/Informe_caracterizacion_poblacion_asegurada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(accessed January 13 2021).</w:t>
      </w:r>
    </w:p>
    <w:p w:rsidR="00000000" w:rsidDel="00000000" w:rsidP="00000000" w:rsidRDefault="00000000" w:rsidRPr="00000000" w14:paraId="00000062">
      <w:pPr>
        <w:spacing w:line="480" w:lineRule="auto"/>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br w:type="column"/>
      </w:r>
      <w:r w:rsidDel="00000000" w:rsidR="00000000" w:rsidRPr="00000000">
        <w:rPr>
          <w:b w:val="1"/>
          <w:rtl w:val="0"/>
        </w:rPr>
        <w:t xml:space="preserve">Table 1. Median emergency department weekly consultations and hospitalizations, pre and post “October 2019” social protests in Chile</w:t>
      </w:r>
    </w:p>
    <w:tbl>
      <w:tblPr>
        <w:tblStyle w:val="Table1"/>
        <w:tblW w:w="8931.0" w:type="dxa"/>
        <w:jc w:val="left"/>
        <w:tblInd w:w="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5103"/>
        <w:gridCol w:w="1985"/>
        <w:gridCol w:w="1843"/>
        <w:tblGridChange w:id="0">
          <w:tblGrid>
            <w:gridCol w:w="5103"/>
            <w:gridCol w:w="1985"/>
            <w:gridCol w:w="1843"/>
          </w:tblGrid>
        </w:tblGridChange>
      </w:tblGrid>
      <w:tr>
        <w:trPr>
          <w:cantSplit w:val="0"/>
          <w:trHeight w:val="170" w:hRule="atLeast"/>
          <w:tblHeader w:val="0"/>
        </w:trPr>
        <w:tc>
          <w:tcPr>
            <w:tcBorders>
              <w:bottom w:color="000000" w:space="0" w:sz="0" w:val="nil"/>
            </w:tcBorders>
          </w:tcPr>
          <w:p w:rsidR="00000000" w:rsidDel="00000000" w:rsidP="00000000" w:rsidRDefault="00000000" w:rsidRPr="00000000" w14:paraId="00000064">
            <w:pPr>
              <w:rPr>
                <w:sz w:val="20"/>
                <w:szCs w:val="20"/>
              </w:rPr>
            </w:pPr>
            <w:r w:rsidDel="00000000" w:rsidR="00000000" w:rsidRPr="00000000">
              <w:rPr>
                <w:rtl w:val="0"/>
              </w:rPr>
            </w:r>
          </w:p>
        </w:tc>
        <w:tc>
          <w:tcPr>
            <w:tcBorders>
              <w:bottom w:color="000000" w:space="0" w:sz="0" w:val="nil"/>
            </w:tcBorders>
          </w:tcPr>
          <w:p w:rsidR="00000000" w:rsidDel="00000000" w:rsidP="00000000" w:rsidRDefault="00000000" w:rsidRPr="00000000" w14:paraId="00000065">
            <w:pPr>
              <w:jc w:val="center"/>
              <w:rPr>
                <w:b w:val="1"/>
                <w:sz w:val="20"/>
                <w:szCs w:val="20"/>
              </w:rPr>
            </w:pPr>
            <w:r w:rsidDel="00000000" w:rsidR="00000000" w:rsidRPr="00000000">
              <w:rPr>
                <w:b w:val="1"/>
                <w:sz w:val="20"/>
                <w:szCs w:val="20"/>
                <w:rtl w:val="0"/>
              </w:rPr>
              <w:t xml:space="preserve">Previous to social protests</w:t>
            </w:r>
          </w:p>
        </w:tc>
        <w:tc>
          <w:tcPr>
            <w:tcBorders>
              <w:bottom w:color="000000" w:space="0" w:sz="0" w:val="nil"/>
            </w:tcBorders>
          </w:tcPr>
          <w:p w:rsidR="00000000" w:rsidDel="00000000" w:rsidP="00000000" w:rsidRDefault="00000000" w:rsidRPr="00000000" w14:paraId="00000066">
            <w:pPr>
              <w:jc w:val="center"/>
              <w:rPr>
                <w:b w:val="1"/>
                <w:sz w:val="20"/>
                <w:szCs w:val="20"/>
              </w:rPr>
            </w:pPr>
            <w:r w:rsidDel="00000000" w:rsidR="00000000" w:rsidRPr="00000000">
              <w:rPr>
                <w:b w:val="1"/>
                <w:sz w:val="20"/>
                <w:szCs w:val="20"/>
                <w:rtl w:val="0"/>
              </w:rPr>
              <w:t xml:space="preserve">During social protests</w:t>
            </w:r>
          </w:p>
        </w:tc>
      </w:tr>
      <w:tr>
        <w:trPr>
          <w:cantSplit w:val="0"/>
          <w:trHeight w:val="170" w:hRule="atLeast"/>
          <w:tblHeader w:val="0"/>
        </w:trPr>
        <w:tc>
          <w:tcPr>
            <w:tcBorders>
              <w:top w:color="000000" w:space="0" w:sz="0" w:val="nil"/>
              <w:bottom w:color="000000" w:space="0" w:sz="4" w:val="single"/>
            </w:tcBorders>
          </w:tcPr>
          <w:p w:rsidR="00000000" w:rsidDel="00000000" w:rsidP="00000000" w:rsidRDefault="00000000" w:rsidRPr="00000000" w14:paraId="00000067">
            <w:pPr>
              <w:rPr>
                <w:i w:val="1"/>
                <w:sz w:val="20"/>
                <w:szCs w:val="20"/>
              </w:rPr>
            </w:pPr>
            <w:r w:rsidDel="00000000" w:rsidR="00000000" w:rsidRPr="00000000">
              <w:rPr>
                <w:i w:val="1"/>
                <w:sz w:val="20"/>
                <w:szCs w:val="20"/>
                <w:rtl w:val="0"/>
              </w:rPr>
              <w:t xml:space="preserve"> </w:t>
            </w:r>
          </w:p>
        </w:tc>
        <w:tc>
          <w:tcPr>
            <w:tcBorders>
              <w:top w:color="000000" w:space="0" w:sz="0" w:val="nil"/>
              <w:bottom w:color="000000" w:space="0" w:sz="4" w:val="single"/>
            </w:tcBorders>
          </w:tcPr>
          <w:p w:rsidR="00000000" w:rsidDel="00000000" w:rsidP="00000000" w:rsidRDefault="00000000" w:rsidRPr="00000000" w14:paraId="00000068">
            <w:pPr>
              <w:jc w:val="center"/>
              <w:rPr>
                <w:i w:val="1"/>
                <w:sz w:val="20"/>
                <w:szCs w:val="20"/>
              </w:rPr>
            </w:pPr>
            <w:r w:rsidDel="00000000" w:rsidR="00000000" w:rsidRPr="00000000">
              <w:rPr>
                <w:i w:val="1"/>
                <w:sz w:val="20"/>
                <w:szCs w:val="20"/>
                <w:rtl w:val="0"/>
              </w:rPr>
              <w:t xml:space="preserve">N=252 weeks</w:t>
            </w:r>
          </w:p>
        </w:tc>
        <w:tc>
          <w:tcPr>
            <w:tcBorders>
              <w:top w:color="000000" w:space="0" w:sz="0" w:val="nil"/>
              <w:bottom w:color="000000" w:space="0" w:sz="4" w:val="single"/>
            </w:tcBorders>
          </w:tcPr>
          <w:p w:rsidR="00000000" w:rsidDel="00000000" w:rsidP="00000000" w:rsidRDefault="00000000" w:rsidRPr="00000000" w14:paraId="00000069">
            <w:pPr>
              <w:jc w:val="center"/>
              <w:rPr>
                <w:i w:val="1"/>
                <w:sz w:val="20"/>
                <w:szCs w:val="20"/>
              </w:rPr>
            </w:pPr>
            <w:r w:rsidDel="00000000" w:rsidR="00000000" w:rsidRPr="00000000">
              <w:rPr>
                <w:i w:val="1"/>
                <w:sz w:val="20"/>
                <w:szCs w:val="20"/>
                <w:rtl w:val="0"/>
              </w:rPr>
              <w:t xml:space="preserve">N=10 weeks</w:t>
            </w:r>
          </w:p>
        </w:tc>
      </w:tr>
      <w:tr>
        <w:trPr>
          <w:cantSplit w:val="0"/>
          <w:trHeight w:val="170" w:hRule="atLeast"/>
          <w:tblHeader w:val="0"/>
        </w:trPr>
        <w:tc>
          <w:tcPr>
            <w:tcBorders>
              <w:top w:color="000000" w:space="0" w:sz="4" w:val="single"/>
            </w:tcBorders>
          </w:tcPr>
          <w:p w:rsidR="00000000" w:rsidDel="00000000" w:rsidP="00000000" w:rsidRDefault="00000000" w:rsidRPr="00000000" w14:paraId="0000006A">
            <w:pPr>
              <w:rPr>
                <w:sz w:val="20"/>
                <w:szCs w:val="20"/>
              </w:rPr>
            </w:pPr>
            <w:r w:rsidDel="00000000" w:rsidR="00000000" w:rsidRPr="00000000">
              <w:rPr>
                <w:sz w:val="20"/>
                <w:szCs w:val="20"/>
                <w:rtl w:val="0"/>
              </w:rPr>
              <w:t xml:space="preserve">Total consultations</w:t>
            </w:r>
          </w:p>
        </w:tc>
        <w:tc>
          <w:tcPr>
            <w:tcBorders>
              <w:top w:color="000000" w:space="0" w:sz="4" w:val="single"/>
            </w:tcBorders>
          </w:tcPr>
          <w:p w:rsidR="00000000" w:rsidDel="00000000" w:rsidP="00000000" w:rsidRDefault="00000000" w:rsidRPr="00000000" w14:paraId="0000006B">
            <w:pPr>
              <w:jc w:val="center"/>
              <w:rPr>
                <w:sz w:val="20"/>
                <w:szCs w:val="20"/>
              </w:rPr>
            </w:pPr>
            <w:r w:rsidDel="00000000" w:rsidR="00000000" w:rsidRPr="00000000">
              <w:rPr>
                <w:sz w:val="20"/>
                <w:szCs w:val="20"/>
                <w:rtl w:val="0"/>
              </w:rPr>
              <w:t xml:space="preserve">3137 [2924; 3361]</w:t>
            </w:r>
          </w:p>
        </w:tc>
        <w:tc>
          <w:tcPr>
            <w:tcBorders>
              <w:top w:color="000000" w:space="0" w:sz="4" w:val="single"/>
            </w:tcBorders>
          </w:tcPr>
          <w:p w:rsidR="00000000" w:rsidDel="00000000" w:rsidP="00000000" w:rsidRDefault="00000000" w:rsidRPr="00000000" w14:paraId="0000006C">
            <w:pPr>
              <w:jc w:val="center"/>
              <w:rPr>
                <w:sz w:val="20"/>
                <w:szCs w:val="20"/>
              </w:rPr>
            </w:pPr>
            <w:r w:rsidDel="00000000" w:rsidR="00000000" w:rsidRPr="00000000">
              <w:rPr>
                <w:sz w:val="20"/>
                <w:szCs w:val="20"/>
                <w:rtl w:val="0"/>
              </w:rPr>
              <w:t xml:space="preserve">2854 [2754; 2898]</w:t>
            </w:r>
          </w:p>
        </w:tc>
      </w:tr>
      <w:tr>
        <w:trPr>
          <w:cantSplit w:val="0"/>
          <w:trHeight w:val="170" w:hRule="atLeast"/>
          <w:tblHeader w:val="0"/>
        </w:trPr>
        <w:tc>
          <w:tcPr/>
          <w:p w:rsidR="00000000" w:rsidDel="00000000" w:rsidP="00000000" w:rsidRDefault="00000000" w:rsidRPr="00000000" w14:paraId="0000006D">
            <w:pPr>
              <w:rPr>
                <w:sz w:val="20"/>
                <w:szCs w:val="20"/>
              </w:rPr>
            </w:pPr>
            <w:r w:rsidDel="00000000" w:rsidR="00000000" w:rsidRPr="00000000">
              <w:rPr>
                <w:sz w:val="20"/>
                <w:szCs w:val="20"/>
                <w:rtl w:val="0"/>
              </w:rPr>
              <w:t xml:space="preserve">Trauma consultations</w:t>
            </w:r>
          </w:p>
        </w:tc>
        <w:tc>
          <w:tcPr/>
          <w:p w:rsidR="00000000" w:rsidDel="00000000" w:rsidP="00000000" w:rsidRDefault="00000000" w:rsidRPr="00000000" w14:paraId="0000006E">
            <w:pPr>
              <w:jc w:val="center"/>
              <w:rPr>
                <w:sz w:val="20"/>
                <w:szCs w:val="20"/>
              </w:rPr>
            </w:pPr>
            <w:r w:rsidDel="00000000" w:rsidR="00000000" w:rsidRPr="00000000">
              <w:rPr>
                <w:sz w:val="20"/>
                <w:szCs w:val="20"/>
                <w:rtl w:val="0"/>
              </w:rPr>
              <w:t xml:space="preserve">802 [728; 888]</w:t>
            </w:r>
          </w:p>
        </w:tc>
        <w:tc>
          <w:tcPr/>
          <w:p w:rsidR="00000000" w:rsidDel="00000000" w:rsidP="00000000" w:rsidRDefault="00000000" w:rsidRPr="00000000" w14:paraId="0000006F">
            <w:pPr>
              <w:jc w:val="center"/>
              <w:rPr>
                <w:sz w:val="20"/>
                <w:szCs w:val="20"/>
              </w:rPr>
            </w:pPr>
            <w:r w:rsidDel="00000000" w:rsidR="00000000" w:rsidRPr="00000000">
              <w:rPr>
                <w:sz w:val="20"/>
                <w:szCs w:val="20"/>
                <w:rtl w:val="0"/>
              </w:rPr>
              <w:t xml:space="preserve">786 [752; 801]</w:t>
            </w:r>
          </w:p>
        </w:tc>
      </w:tr>
      <w:tr>
        <w:trPr>
          <w:cantSplit w:val="0"/>
          <w:trHeight w:val="170" w:hRule="atLeast"/>
          <w:tblHeader w:val="0"/>
        </w:trPr>
        <w:tc>
          <w:tcPr/>
          <w:p w:rsidR="00000000" w:rsidDel="00000000" w:rsidP="00000000" w:rsidRDefault="00000000" w:rsidRPr="00000000" w14:paraId="00000070">
            <w:pPr>
              <w:rPr>
                <w:sz w:val="20"/>
                <w:szCs w:val="20"/>
              </w:rPr>
            </w:pPr>
            <w:r w:rsidDel="00000000" w:rsidR="00000000" w:rsidRPr="00000000">
              <w:rPr>
                <w:sz w:val="20"/>
                <w:szCs w:val="20"/>
                <w:rtl w:val="0"/>
              </w:rPr>
              <w:t xml:space="preserve">Respiratory consultations</w:t>
            </w:r>
          </w:p>
        </w:tc>
        <w:tc>
          <w:tcPr/>
          <w:p w:rsidR="00000000" w:rsidDel="00000000" w:rsidP="00000000" w:rsidRDefault="00000000" w:rsidRPr="00000000" w14:paraId="00000071">
            <w:pPr>
              <w:jc w:val="center"/>
              <w:rPr>
                <w:sz w:val="20"/>
                <w:szCs w:val="20"/>
              </w:rPr>
            </w:pPr>
            <w:r w:rsidDel="00000000" w:rsidR="00000000" w:rsidRPr="00000000">
              <w:rPr>
                <w:sz w:val="20"/>
                <w:szCs w:val="20"/>
                <w:rtl w:val="0"/>
              </w:rPr>
              <w:t xml:space="preserve">143 [120; 183]</w:t>
            </w:r>
          </w:p>
        </w:tc>
        <w:tc>
          <w:tcPr/>
          <w:p w:rsidR="00000000" w:rsidDel="00000000" w:rsidP="00000000" w:rsidRDefault="00000000" w:rsidRPr="00000000" w14:paraId="00000072">
            <w:pPr>
              <w:jc w:val="center"/>
              <w:rPr>
                <w:sz w:val="20"/>
                <w:szCs w:val="20"/>
              </w:rPr>
            </w:pPr>
            <w:r w:rsidDel="00000000" w:rsidR="00000000" w:rsidRPr="00000000">
              <w:rPr>
                <w:sz w:val="20"/>
                <w:szCs w:val="20"/>
                <w:rtl w:val="0"/>
              </w:rPr>
              <w:t xml:space="preserve">96.0 [77.5; 103]</w:t>
            </w:r>
          </w:p>
        </w:tc>
      </w:tr>
      <w:tr>
        <w:trPr>
          <w:cantSplit w:val="0"/>
          <w:trHeight w:val="170" w:hRule="atLeast"/>
          <w:tblHeader w:val="0"/>
        </w:trPr>
        <w:tc>
          <w:tcPr/>
          <w:p w:rsidR="00000000" w:rsidDel="00000000" w:rsidP="00000000" w:rsidRDefault="00000000" w:rsidRPr="00000000" w14:paraId="00000073">
            <w:pPr>
              <w:rPr>
                <w:sz w:val="20"/>
                <w:szCs w:val="20"/>
              </w:rPr>
            </w:pPr>
            <w:r w:rsidDel="00000000" w:rsidR="00000000" w:rsidRPr="00000000">
              <w:rPr>
                <w:sz w:val="20"/>
                <w:szCs w:val="20"/>
                <w:rtl w:val="0"/>
              </w:rPr>
              <w:t xml:space="preserve">Circulatory consultations</w:t>
            </w:r>
          </w:p>
        </w:tc>
        <w:tc>
          <w:tcPr/>
          <w:p w:rsidR="00000000" w:rsidDel="00000000" w:rsidP="00000000" w:rsidRDefault="00000000" w:rsidRPr="00000000" w14:paraId="00000074">
            <w:pPr>
              <w:jc w:val="center"/>
              <w:rPr>
                <w:sz w:val="20"/>
                <w:szCs w:val="20"/>
              </w:rPr>
            </w:pPr>
            <w:r w:rsidDel="00000000" w:rsidR="00000000" w:rsidRPr="00000000">
              <w:rPr>
                <w:sz w:val="20"/>
                <w:szCs w:val="20"/>
                <w:rtl w:val="0"/>
              </w:rPr>
              <w:t xml:space="preserve">102 [87.0; 125]</w:t>
            </w:r>
          </w:p>
        </w:tc>
        <w:tc>
          <w:tcPr/>
          <w:p w:rsidR="00000000" w:rsidDel="00000000" w:rsidP="00000000" w:rsidRDefault="00000000" w:rsidRPr="00000000" w14:paraId="00000075">
            <w:pPr>
              <w:jc w:val="center"/>
              <w:rPr>
                <w:sz w:val="20"/>
                <w:szCs w:val="20"/>
              </w:rPr>
            </w:pPr>
            <w:r w:rsidDel="00000000" w:rsidR="00000000" w:rsidRPr="00000000">
              <w:rPr>
                <w:sz w:val="20"/>
                <w:szCs w:val="20"/>
                <w:rtl w:val="0"/>
              </w:rPr>
              <w:t xml:space="preserve">90.5 [87.5; 95.8]</w:t>
            </w:r>
          </w:p>
        </w:tc>
      </w:tr>
      <w:tr>
        <w:trPr>
          <w:cantSplit w:val="0"/>
          <w:trHeight w:val="170" w:hRule="atLeast"/>
          <w:tblHeader w:val="0"/>
        </w:trPr>
        <w:tc>
          <w:tcPr/>
          <w:p w:rsidR="00000000" w:rsidDel="00000000" w:rsidP="00000000" w:rsidRDefault="00000000" w:rsidRPr="00000000" w14:paraId="00000076">
            <w:pPr>
              <w:rPr>
                <w:sz w:val="20"/>
                <w:szCs w:val="20"/>
              </w:rPr>
            </w:pPr>
            <w:r w:rsidDel="00000000" w:rsidR="00000000" w:rsidRPr="00000000">
              <w:rPr>
                <w:sz w:val="20"/>
                <w:szCs w:val="20"/>
                <w:rtl w:val="0"/>
              </w:rPr>
              <w:t xml:space="preserve">Total hospitalizations</w:t>
            </w:r>
          </w:p>
        </w:tc>
        <w:tc>
          <w:tcPr/>
          <w:p w:rsidR="00000000" w:rsidDel="00000000" w:rsidP="00000000" w:rsidRDefault="00000000" w:rsidRPr="00000000" w14:paraId="00000077">
            <w:pPr>
              <w:jc w:val="center"/>
              <w:rPr>
                <w:sz w:val="20"/>
                <w:szCs w:val="20"/>
              </w:rPr>
            </w:pPr>
            <w:r w:rsidDel="00000000" w:rsidR="00000000" w:rsidRPr="00000000">
              <w:rPr>
                <w:sz w:val="20"/>
                <w:szCs w:val="20"/>
                <w:rtl w:val="0"/>
              </w:rPr>
              <w:t xml:space="preserve">288 [268; 311]</w:t>
            </w:r>
          </w:p>
        </w:tc>
        <w:tc>
          <w:tcPr/>
          <w:p w:rsidR="00000000" w:rsidDel="00000000" w:rsidP="00000000" w:rsidRDefault="00000000" w:rsidRPr="00000000" w14:paraId="00000078">
            <w:pPr>
              <w:jc w:val="center"/>
              <w:rPr>
                <w:sz w:val="20"/>
                <w:szCs w:val="20"/>
              </w:rPr>
            </w:pPr>
            <w:r w:rsidDel="00000000" w:rsidR="00000000" w:rsidRPr="00000000">
              <w:rPr>
                <w:sz w:val="20"/>
                <w:szCs w:val="20"/>
                <w:rtl w:val="0"/>
              </w:rPr>
              <w:t xml:space="preserve">298 [281; 332]</w:t>
            </w:r>
          </w:p>
        </w:tc>
      </w:tr>
      <w:tr>
        <w:trPr>
          <w:cantSplit w:val="0"/>
          <w:trHeight w:val="170" w:hRule="atLeast"/>
          <w:tblHeader w:val="0"/>
        </w:trPr>
        <w:tc>
          <w:tcPr/>
          <w:p w:rsidR="00000000" w:rsidDel="00000000" w:rsidP="00000000" w:rsidRDefault="00000000" w:rsidRPr="00000000" w14:paraId="00000079">
            <w:pPr>
              <w:rPr>
                <w:sz w:val="20"/>
                <w:szCs w:val="20"/>
              </w:rPr>
            </w:pPr>
            <w:r w:rsidDel="00000000" w:rsidR="00000000" w:rsidRPr="00000000">
              <w:rPr>
                <w:sz w:val="20"/>
                <w:szCs w:val="20"/>
                <w:rtl w:val="0"/>
              </w:rPr>
              <w:t xml:space="preserve">Trauma hospitalizations</w:t>
            </w:r>
          </w:p>
        </w:tc>
        <w:tc>
          <w:tcPr/>
          <w:p w:rsidR="00000000" w:rsidDel="00000000" w:rsidP="00000000" w:rsidRDefault="00000000" w:rsidRPr="00000000" w14:paraId="0000007A">
            <w:pPr>
              <w:jc w:val="center"/>
              <w:rPr>
                <w:sz w:val="20"/>
                <w:szCs w:val="20"/>
              </w:rPr>
            </w:pPr>
            <w:r w:rsidDel="00000000" w:rsidR="00000000" w:rsidRPr="00000000">
              <w:rPr>
                <w:sz w:val="20"/>
                <w:szCs w:val="20"/>
                <w:rtl w:val="0"/>
              </w:rPr>
              <w:t xml:space="preserve">60.0 [52.0; 67.0]</w:t>
            </w:r>
          </w:p>
        </w:tc>
        <w:tc>
          <w:tcPr/>
          <w:p w:rsidR="00000000" w:rsidDel="00000000" w:rsidP="00000000" w:rsidRDefault="00000000" w:rsidRPr="00000000" w14:paraId="0000007B">
            <w:pPr>
              <w:jc w:val="center"/>
              <w:rPr>
                <w:sz w:val="20"/>
                <w:szCs w:val="20"/>
              </w:rPr>
            </w:pPr>
            <w:r w:rsidDel="00000000" w:rsidR="00000000" w:rsidRPr="00000000">
              <w:rPr>
                <w:sz w:val="20"/>
                <w:szCs w:val="20"/>
                <w:rtl w:val="0"/>
              </w:rPr>
              <w:t xml:space="preserve">81.5 [77.5; 89.8]</w:t>
            </w:r>
          </w:p>
        </w:tc>
      </w:tr>
      <w:tr>
        <w:trPr>
          <w:cantSplit w:val="0"/>
          <w:trHeight w:val="170" w:hRule="atLeast"/>
          <w:tblHeader w:val="0"/>
        </w:trPr>
        <w:tc>
          <w:tcPr/>
          <w:p w:rsidR="00000000" w:rsidDel="00000000" w:rsidP="00000000" w:rsidRDefault="00000000" w:rsidRPr="00000000" w14:paraId="0000007C">
            <w:pPr>
              <w:rPr>
                <w:sz w:val="20"/>
                <w:szCs w:val="20"/>
              </w:rPr>
            </w:pPr>
            <w:r w:rsidDel="00000000" w:rsidR="00000000" w:rsidRPr="00000000">
              <w:rPr>
                <w:sz w:val="20"/>
                <w:szCs w:val="20"/>
                <w:rtl w:val="0"/>
              </w:rPr>
              <w:t xml:space="preserve">Respiratory hospitalizations</w:t>
            </w:r>
          </w:p>
        </w:tc>
        <w:tc>
          <w:tcPr/>
          <w:p w:rsidR="00000000" w:rsidDel="00000000" w:rsidP="00000000" w:rsidRDefault="00000000" w:rsidRPr="00000000" w14:paraId="0000007D">
            <w:pPr>
              <w:jc w:val="center"/>
              <w:rPr>
                <w:sz w:val="20"/>
                <w:szCs w:val="20"/>
              </w:rPr>
            </w:pPr>
            <w:r w:rsidDel="00000000" w:rsidR="00000000" w:rsidRPr="00000000">
              <w:rPr>
                <w:sz w:val="20"/>
                <w:szCs w:val="20"/>
                <w:rtl w:val="0"/>
              </w:rPr>
              <w:t xml:space="preserve">19.5 [15.0; 23.2]</w:t>
            </w:r>
          </w:p>
        </w:tc>
        <w:tc>
          <w:tcPr/>
          <w:p w:rsidR="00000000" w:rsidDel="00000000" w:rsidP="00000000" w:rsidRDefault="00000000" w:rsidRPr="00000000" w14:paraId="0000007E">
            <w:pPr>
              <w:jc w:val="center"/>
              <w:rPr>
                <w:sz w:val="20"/>
                <w:szCs w:val="20"/>
              </w:rPr>
            </w:pPr>
            <w:r w:rsidDel="00000000" w:rsidR="00000000" w:rsidRPr="00000000">
              <w:rPr>
                <w:sz w:val="20"/>
                <w:szCs w:val="20"/>
                <w:rtl w:val="0"/>
              </w:rPr>
              <w:t xml:space="preserve">22.0 [15.5; 24.0]</w:t>
            </w:r>
          </w:p>
        </w:tc>
      </w:tr>
      <w:tr>
        <w:trPr>
          <w:cantSplit w:val="0"/>
          <w:trHeight w:val="170" w:hRule="atLeast"/>
          <w:tblHeader w:val="0"/>
        </w:trPr>
        <w:tc>
          <w:tcPr/>
          <w:p w:rsidR="00000000" w:rsidDel="00000000" w:rsidP="00000000" w:rsidRDefault="00000000" w:rsidRPr="00000000" w14:paraId="0000007F">
            <w:pPr>
              <w:rPr>
                <w:sz w:val="20"/>
                <w:szCs w:val="20"/>
              </w:rPr>
            </w:pPr>
            <w:r w:rsidDel="00000000" w:rsidR="00000000" w:rsidRPr="00000000">
              <w:rPr>
                <w:sz w:val="20"/>
                <w:szCs w:val="20"/>
                <w:rtl w:val="0"/>
              </w:rPr>
              <w:t xml:space="preserve">Circulatory hospitalizations</w:t>
            </w:r>
          </w:p>
        </w:tc>
        <w:tc>
          <w:tcPr/>
          <w:p w:rsidR="00000000" w:rsidDel="00000000" w:rsidP="00000000" w:rsidRDefault="00000000" w:rsidRPr="00000000" w14:paraId="00000080">
            <w:pPr>
              <w:jc w:val="center"/>
              <w:rPr>
                <w:sz w:val="20"/>
                <w:szCs w:val="20"/>
              </w:rPr>
            </w:pPr>
            <w:r w:rsidDel="00000000" w:rsidR="00000000" w:rsidRPr="00000000">
              <w:rPr>
                <w:sz w:val="20"/>
                <w:szCs w:val="20"/>
                <w:rtl w:val="0"/>
              </w:rPr>
              <w:t xml:space="preserve">29.0 [23.0; 36.0]</w:t>
            </w:r>
          </w:p>
        </w:tc>
        <w:tc>
          <w:tcPr/>
          <w:p w:rsidR="00000000" w:rsidDel="00000000" w:rsidP="00000000" w:rsidRDefault="00000000" w:rsidRPr="00000000" w14:paraId="00000081">
            <w:pPr>
              <w:jc w:val="center"/>
              <w:rPr>
                <w:sz w:val="20"/>
                <w:szCs w:val="20"/>
              </w:rPr>
            </w:pPr>
            <w:r w:rsidDel="00000000" w:rsidR="00000000" w:rsidRPr="00000000">
              <w:rPr>
                <w:sz w:val="20"/>
                <w:szCs w:val="20"/>
                <w:rtl w:val="0"/>
              </w:rPr>
              <w:t xml:space="preserve">35.5 [30.5; 42.0]</w:t>
            </w:r>
          </w:p>
        </w:tc>
      </w:tr>
      <w:tr>
        <w:trPr>
          <w:cantSplit w:val="0"/>
          <w:trHeight w:val="170" w:hRule="atLeast"/>
          <w:tblHeader w:val="0"/>
        </w:trPr>
        <w:tc>
          <w:tcPr/>
          <w:p w:rsidR="00000000" w:rsidDel="00000000" w:rsidP="00000000" w:rsidRDefault="00000000" w:rsidRPr="00000000" w14:paraId="00000082">
            <w:pPr>
              <w:rPr>
                <w:sz w:val="20"/>
                <w:szCs w:val="20"/>
              </w:rPr>
            </w:pPr>
            <w:r w:rsidDel="00000000" w:rsidR="00000000" w:rsidRPr="00000000">
              <w:rPr>
                <w:sz w:val="20"/>
                <w:szCs w:val="20"/>
                <w:rtl w:val="0"/>
              </w:rPr>
              <w:t xml:space="preserve">Trauma hospitalizations per 1,000 consultations </w:t>
            </w:r>
          </w:p>
        </w:tc>
        <w:tc>
          <w:tcPr/>
          <w:p w:rsidR="00000000" w:rsidDel="00000000" w:rsidP="00000000" w:rsidRDefault="00000000" w:rsidRPr="00000000" w14:paraId="00000083">
            <w:pPr>
              <w:jc w:val="center"/>
              <w:rPr>
                <w:sz w:val="20"/>
                <w:szCs w:val="20"/>
              </w:rPr>
            </w:pPr>
            <w:r w:rsidDel="00000000" w:rsidR="00000000" w:rsidRPr="00000000">
              <w:rPr>
                <w:sz w:val="20"/>
                <w:szCs w:val="20"/>
                <w:rtl w:val="0"/>
              </w:rPr>
              <w:t xml:space="preserve">73.0 [64.0; 86.2]</w:t>
            </w:r>
          </w:p>
        </w:tc>
        <w:tc>
          <w:tcPr/>
          <w:p w:rsidR="00000000" w:rsidDel="00000000" w:rsidP="00000000" w:rsidRDefault="00000000" w:rsidRPr="00000000" w14:paraId="00000084">
            <w:pPr>
              <w:jc w:val="center"/>
              <w:rPr>
                <w:sz w:val="20"/>
                <w:szCs w:val="20"/>
              </w:rPr>
            </w:pPr>
            <w:r w:rsidDel="00000000" w:rsidR="00000000" w:rsidRPr="00000000">
              <w:rPr>
                <w:sz w:val="20"/>
                <w:szCs w:val="20"/>
                <w:rtl w:val="0"/>
              </w:rPr>
              <w:t xml:space="preserve">102 [84.2; 113]</w:t>
            </w:r>
          </w:p>
        </w:tc>
      </w:tr>
      <w:tr>
        <w:trPr>
          <w:cantSplit w:val="0"/>
          <w:trHeight w:val="170" w:hRule="atLeast"/>
          <w:tblHeader w:val="0"/>
        </w:trPr>
        <w:tc>
          <w:tcPr/>
          <w:p w:rsidR="00000000" w:rsidDel="00000000" w:rsidP="00000000" w:rsidRDefault="00000000" w:rsidRPr="00000000" w14:paraId="00000085">
            <w:pPr>
              <w:rPr>
                <w:sz w:val="20"/>
                <w:szCs w:val="20"/>
              </w:rPr>
            </w:pPr>
            <w:r w:rsidDel="00000000" w:rsidR="00000000" w:rsidRPr="00000000">
              <w:rPr>
                <w:sz w:val="20"/>
                <w:szCs w:val="20"/>
                <w:rtl w:val="0"/>
              </w:rPr>
              <w:t xml:space="preserve">Respiratory hospitalizations per 1,000 consultations </w:t>
            </w:r>
          </w:p>
        </w:tc>
        <w:tc>
          <w:tcPr/>
          <w:p w:rsidR="00000000" w:rsidDel="00000000" w:rsidP="00000000" w:rsidRDefault="00000000" w:rsidRPr="00000000" w14:paraId="00000086">
            <w:pPr>
              <w:jc w:val="center"/>
              <w:rPr>
                <w:sz w:val="20"/>
                <w:szCs w:val="20"/>
              </w:rPr>
            </w:pPr>
            <w:r w:rsidDel="00000000" w:rsidR="00000000" w:rsidRPr="00000000">
              <w:rPr>
                <w:sz w:val="20"/>
                <w:szCs w:val="20"/>
                <w:rtl w:val="0"/>
              </w:rPr>
              <w:t xml:space="preserve">131 [107; 160]</w:t>
            </w:r>
          </w:p>
        </w:tc>
        <w:tc>
          <w:tcPr/>
          <w:p w:rsidR="00000000" w:rsidDel="00000000" w:rsidP="00000000" w:rsidRDefault="00000000" w:rsidRPr="00000000" w14:paraId="00000087">
            <w:pPr>
              <w:jc w:val="center"/>
              <w:rPr>
                <w:sz w:val="20"/>
                <w:szCs w:val="20"/>
              </w:rPr>
            </w:pPr>
            <w:r w:rsidDel="00000000" w:rsidR="00000000" w:rsidRPr="00000000">
              <w:rPr>
                <w:sz w:val="20"/>
                <w:szCs w:val="20"/>
                <w:rtl w:val="0"/>
              </w:rPr>
              <w:t xml:space="preserve">233 [189; 270]</w:t>
            </w:r>
          </w:p>
        </w:tc>
      </w:tr>
    </w:tbl>
    <w:p w:rsidR="00000000" w:rsidDel="00000000" w:rsidP="00000000" w:rsidRDefault="00000000" w:rsidRPr="00000000" w14:paraId="00000088">
      <w:pPr>
        <w:rPr>
          <w:sz w:val="20"/>
          <w:szCs w:val="20"/>
        </w:rPr>
      </w:pPr>
      <w:r w:rsidDel="00000000" w:rsidR="00000000" w:rsidRPr="00000000">
        <w:rPr>
          <w:sz w:val="20"/>
          <w:szCs w:val="20"/>
          <w:rtl w:val="0"/>
        </w:rPr>
        <w:t xml:space="preserve">Note. Percentiles 25 and 75 in brackets.</w:t>
      </w:r>
    </w:p>
    <w:p w:rsidR="00000000" w:rsidDel="00000000" w:rsidP="00000000" w:rsidRDefault="00000000" w:rsidRPr="00000000" w14:paraId="00000089">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A">
      <w:pPr>
        <w:rPr>
          <w:b w:val="1"/>
          <w:vertAlign w:val="superscript"/>
        </w:rPr>
      </w:pPr>
      <w:r w:rsidDel="00000000" w:rsidR="00000000" w:rsidRPr="00000000">
        <w:rPr>
          <w:b w:val="1"/>
          <w:rtl w:val="0"/>
        </w:rPr>
        <w:t xml:space="preserve">Table 2. Estimated effects of October 2019 social protests on trauma and respiratory emergency department consultation and hospitalization</w:t>
      </w:r>
      <w:r w:rsidDel="00000000" w:rsidR="00000000" w:rsidRPr="00000000">
        <w:rPr>
          <w:rtl w:val="0"/>
        </w:rPr>
      </w:r>
    </w:p>
    <w:tbl>
      <w:tblPr>
        <w:tblStyle w:val="Table2"/>
        <w:tblW w:w="8490.000000000002" w:type="dxa"/>
        <w:jc w:val="left"/>
        <w:tblInd w:w="0.0" w:type="dxa"/>
        <w:tblBorders>
          <w:top w:color="000000" w:space="0" w:sz="4" w:val="single"/>
          <w:bottom w:color="000000" w:space="0" w:sz="4" w:val="single"/>
        </w:tblBorders>
        <w:tblLayout w:type="fixed"/>
        <w:tblLook w:val="0600"/>
      </w:tblPr>
      <w:tblGrid>
        <w:gridCol w:w="3969"/>
        <w:gridCol w:w="851"/>
        <w:gridCol w:w="1417"/>
        <w:gridCol w:w="992"/>
        <w:gridCol w:w="1261"/>
        <w:tblGridChange w:id="0">
          <w:tblGrid>
            <w:gridCol w:w="3969"/>
            <w:gridCol w:w="851"/>
            <w:gridCol w:w="1417"/>
            <w:gridCol w:w="992"/>
            <w:gridCol w:w="1261"/>
          </w:tblGrid>
        </w:tblGridChange>
      </w:tblGrid>
      <w:tr>
        <w:trPr>
          <w:cantSplit w:val="0"/>
          <w:trHeight w:val="170" w:hRule="atLeast"/>
          <w:tblHeader w:val="0"/>
        </w:trPr>
        <w:tc>
          <w:tcPr>
            <w:tcBorders>
              <w:top w:color="000000" w:space="0" w:sz="4" w:val="single"/>
              <w:bottom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08B">
            <w:pPr>
              <w:rPr>
                <w:b w:val="1"/>
                <w:sz w:val="20"/>
                <w:szCs w:val="20"/>
              </w:rPr>
            </w:pPr>
            <w:r w:rsidDel="00000000" w:rsidR="00000000" w:rsidRPr="00000000">
              <w:rPr>
                <w:rtl w:val="0"/>
              </w:rPr>
            </w:r>
          </w:p>
        </w:tc>
        <w:tc>
          <w:tcPr>
            <w:tcBorders>
              <w:top w:color="000000" w:space="0" w:sz="4" w:val="single"/>
              <w:bottom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08C">
            <w:pPr>
              <w:jc w:val="center"/>
              <w:rPr>
                <w:b w:val="1"/>
                <w:sz w:val="20"/>
                <w:szCs w:val="20"/>
                <w:vertAlign w:val="superscript"/>
              </w:rPr>
            </w:pPr>
            <w:r w:rsidDel="00000000" w:rsidR="00000000" w:rsidRPr="00000000">
              <w:rPr>
                <w:b w:val="1"/>
                <w:sz w:val="20"/>
                <w:szCs w:val="20"/>
                <w:rtl w:val="0"/>
              </w:rPr>
              <w:t xml:space="preserve">Average Effect</w:t>
            </w:r>
            <w:r w:rsidDel="00000000" w:rsidR="00000000" w:rsidRPr="00000000">
              <w:rPr>
                <w:b w:val="1"/>
                <w:sz w:val="20"/>
                <w:szCs w:val="20"/>
                <w:vertAlign w:val="superscript"/>
                <w:rtl w:val="0"/>
              </w:rPr>
              <w:t xml:space="preserve">a</w:t>
            </w:r>
          </w:p>
        </w:tc>
        <w:tc>
          <w:tcPr>
            <w:tcBorders>
              <w:top w:color="000000" w:space="0" w:sz="4" w:val="single"/>
              <w:bottom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08D">
            <w:pPr>
              <w:jc w:val="center"/>
              <w:rPr>
                <w:b w:val="1"/>
                <w:sz w:val="20"/>
                <w:szCs w:val="20"/>
              </w:rPr>
            </w:pPr>
            <w:r w:rsidDel="00000000" w:rsidR="00000000" w:rsidRPr="00000000">
              <w:rPr>
                <w:b w:val="1"/>
                <w:sz w:val="20"/>
                <w:szCs w:val="20"/>
                <w:rtl w:val="0"/>
              </w:rPr>
              <w:t xml:space="preserve">95% Credible Interval</w:t>
            </w:r>
          </w:p>
        </w:tc>
        <w:tc>
          <w:tcPr>
            <w:tcBorders>
              <w:top w:color="000000" w:space="0" w:sz="4" w:val="single"/>
              <w:bottom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08E">
            <w:pPr>
              <w:jc w:val="center"/>
              <w:rPr>
                <w:b w:val="1"/>
                <w:sz w:val="20"/>
                <w:szCs w:val="20"/>
              </w:rPr>
            </w:pPr>
            <w:r w:rsidDel="00000000" w:rsidR="00000000" w:rsidRPr="00000000">
              <w:rPr>
                <w:b w:val="1"/>
                <w:sz w:val="20"/>
                <w:szCs w:val="20"/>
                <w:rtl w:val="0"/>
              </w:rPr>
              <w:t xml:space="preserve">Relative Effect (%)</w:t>
            </w:r>
          </w:p>
        </w:tc>
        <w:tc>
          <w:tcPr>
            <w:tcBorders>
              <w:top w:color="000000" w:space="0" w:sz="4" w:val="single"/>
              <w:bottom w:color="000000" w:space="0" w:sz="4" w:val="single"/>
            </w:tcBorders>
            <w:shd w:fill="ffffff" w:val="clear"/>
            <w:tcMar>
              <w:top w:w="15.0" w:type="dxa"/>
              <w:left w:w="15.0" w:type="dxa"/>
              <w:bottom w:w="0.0" w:type="dxa"/>
              <w:right w:w="15.0" w:type="dxa"/>
            </w:tcMar>
            <w:vAlign w:val="center"/>
          </w:tcPr>
          <w:p w:rsidR="00000000" w:rsidDel="00000000" w:rsidP="00000000" w:rsidRDefault="00000000" w:rsidRPr="00000000" w14:paraId="0000008F">
            <w:pPr>
              <w:jc w:val="center"/>
              <w:rPr>
                <w:b w:val="1"/>
                <w:sz w:val="20"/>
                <w:szCs w:val="20"/>
              </w:rPr>
            </w:pPr>
            <w:r w:rsidDel="00000000" w:rsidR="00000000" w:rsidRPr="00000000">
              <w:rPr>
                <w:b w:val="1"/>
                <w:sz w:val="20"/>
                <w:szCs w:val="20"/>
                <w:rtl w:val="0"/>
              </w:rPr>
              <w:t xml:space="preserve">95% Credible Interval</w:t>
            </w:r>
          </w:p>
        </w:tc>
      </w:tr>
      <w:tr>
        <w:trPr>
          <w:cantSplit w:val="0"/>
          <w:trHeight w:val="170" w:hRule="atLeast"/>
          <w:tblHeader w:val="0"/>
        </w:trPr>
        <w:tc>
          <w:tcPr>
            <w:shd w:fill="ffffff" w:val="clear"/>
            <w:tcMar>
              <w:top w:w="15.0" w:type="dxa"/>
              <w:left w:w="15.0" w:type="dxa"/>
              <w:bottom w:w="0.0" w:type="dxa"/>
              <w:right w:w="15.0" w:type="dxa"/>
            </w:tcMar>
            <w:vAlign w:val="center"/>
          </w:tcPr>
          <w:p w:rsidR="00000000" w:rsidDel="00000000" w:rsidP="00000000" w:rsidRDefault="00000000" w:rsidRPr="00000000" w14:paraId="00000090">
            <w:pPr>
              <w:rPr>
                <w:sz w:val="20"/>
                <w:szCs w:val="20"/>
              </w:rPr>
            </w:pPr>
            <w:r w:rsidDel="00000000" w:rsidR="00000000" w:rsidRPr="00000000">
              <w:rPr>
                <w:sz w:val="20"/>
                <w:szCs w:val="20"/>
                <w:rtl w:val="0"/>
              </w:rPr>
              <w:t xml:space="preserve">Trauma consultations</w:t>
            </w:r>
          </w:p>
        </w:tc>
        <w:tc>
          <w:tcPr>
            <w:shd w:fill="ffffff" w:val="clear"/>
            <w:tcMar>
              <w:top w:w="15.0" w:type="dxa"/>
              <w:left w:w="15.0" w:type="dxa"/>
              <w:bottom w:w="0.0" w:type="dxa"/>
              <w:right w:w="15.0" w:type="dxa"/>
            </w:tcMar>
            <w:vAlign w:val="center"/>
          </w:tcPr>
          <w:p w:rsidR="00000000" w:rsidDel="00000000" w:rsidP="00000000" w:rsidRDefault="00000000" w:rsidRPr="00000000" w14:paraId="00000091">
            <w:pPr>
              <w:jc w:val="center"/>
              <w:rPr>
                <w:sz w:val="20"/>
                <w:szCs w:val="20"/>
              </w:rPr>
            </w:pPr>
            <w:r w:rsidDel="00000000" w:rsidR="00000000" w:rsidRPr="00000000">
              <w:rPr>
                <w:sz w:val="20"/>
                <w:szCs w:val="20"/>
                <w:rtl w:val="0"/>
              </w:rPr>
              <w:t xml:space="preserve">-144.58</w:t>
            </w:r>
          </w:p>
        </w:tc>
        <w:tc>
          <w:tcPr>
            <w:shd w:fill="ffffff" w:val="clear"/>
            <w:tcMar>
              <w:top w:w="15.0" w:type="dxa"/>
              <w:left w:w="15.0" w:type="dxa"/>
              <w:bottom w:w="0.0" w:type="dxa"/>
              <w:right w:w="15.0" w:type="dxa"/>
            </w:tcMar>
            <w:vAlign w:val="center"/>
          </w:tcPr>
          <w:p w:rsidR="00000000" w:rsidDel="00000000" w:rsidP="00000000" w:rsidRDefault="00000000" w:rsidRPr="00000000" w14:paraId="00000092">
            <w:pPr>
              <w:jc w:val="center"/>
              <w:rPr>
                <w:sz w:val="20"/>
                <w:szCs w:val="20"/>
              </w:rPr>
            </w:pPr>
            <w:r w:rsidDel="00000000" w:rsidR="00000000" w:rsidRPr="00000000">
              <w:rPr>
                <w:sz w:val="20"/>
                <w:szCs w:val="20"/>
                <w:rtl w:val="0"/>
              </w:rPr>
              <w:t xml:space="preserve">-405.43, 114.89</w:t>
            </w:r>
          </w:p>
        </w:tc>
        <w:tc>
          <w:tcPr>
            <w:shd w:fill="ffffff" w:val="clear"/>
            <w:tcMar>
              <w:top w:w="15.0" w:type="dxa"/>
              <w:left w:w="15.0" w:type="dxa"/>
              <w:bottom w:w="0.0" w:type="dxa"/>
              <w:right w:w="15.0" w:type="dxa"/>
            </w:tcMar>
            <w:vAlign w:val="center"/>
          </w:tcPr>
          <w:p w:rsidR="00000000" w:rsidDel="00000000" w:rsidP="00000000" w:rsidRDefault="00000000" w:rsidRPr="00000000" w14:paraId="00000093">
            <w:pPr>
              <w:jc w:val="center"/>
              <w:rPr>
                <w:sz w:val="20"/>
                <w:szCs w:val="20"/>
              </w:rPr>
            </w:pPr>
            <w:r w:rsidDel="00000000" w:rsidR="00000000" w:rsidRPr="00000000">
              <w:rPr>
                <w:sz w:val="20"/>
                <w:szCs w:val="20"/>
                <w:rtl w:val="0"/>
              </w:rPr>
              <w:t xml:space="preserve">-15.19</w:t>
            </w:r>
          </w:p>
        </w:tc>
        <w:tc>
          <w:tcPr>
            <w:shd w:fill="ffffff" w:val="clear"/>
            <w:tcMar>
              <w:top w:w="15.0" w:type="dxa"/>
              <w:left w:w="15.0" w:type="dxa"/>
              <w:bottom w:w="0.0" w:type="dxa"/>
              <w:right w:w="15.0" w:type="dxa"/>
            </w:tcMar>
            <w:vAlign w:val="center"/>
          </w:tcPr>
          <w:p w:rsidR="00000000" w:rsidDel="00000000" w:rsidP="00000000" w:rsidRDefault="00000000" w:rsidRPr="00000000" w14:paraId="00000094">
            <w:pPr>
              <w:jc w:val="center"/>
              <w:rPr>
                <w:sz w:val="20"/>
                <w:szCs w:val="20"/>
              </w:rPr>
            </w:pPr>
            <w:r w:rsidDel="00000000" w:rsidR="00000000" w:rsidRPr="00000000">
              <w:rPr>
                <w:sz w:val="20"/>
                <w:szCs w:val="20"/>
                <w:rtl w:val="0"/>
              </w:rPr>
              <w:t xml:space="preserve">-42.61, 12.08</w:t>
            </w:r>
          </w:p>
        </w:tc>
      </w:tr>
      <w:tr>
        <w:trPr>
          <w:cantSplit w:val="0"/>
          <w:trHeight w:val="170" w:hRule="atLeast"/>
          <w:tblHeader w:val="0"/>
        </w:trPr>
        <w:tc>
          <w:tcPr>
            <w:shd w:fill="ffffff" w:val="clear"/>
            <w:tcMar>
              <w:top w:w="15.0" w:type="dxa"/>
              <w:left w:w="15.0" w:type="dxa"/>
              <w:bottom w:w="0.0" w:type="dxa"/>
              <w:right w:w="15.0" w:type="dxa"/>
            </w:tcMar>
            <w:vAlign w:val="center"/>
          </w:tcPr>
          <w:p w:rsidR="00000000" w:rsidDel="00000000" w:rsidP="00000000" w:rsidRDefault="00000000" w:rsidRPr="00000000" w14:paraId="00000095">
            <w:pPr>
              <w:rPr>
                <w:sz w:val="20"/>
                <w:szCs w:val="20"/>
              </w:rPr>
            </w:pPr>
            <w:r w:rsidDel="00000000" w:rsidR="00000000" w:rsidRPr="00000000">
              <w:rPr>
                <w:sz w:val="20"/>
                <w:szCs w:val="20"/>
                <w:rtl w:val="0"/>
              </w:rPr>
              <w:t xml:space="preserve">Respiratory consultations</w:t>
            </w:r>
          </w:p>
        </w:tc>
        <w:tc>
          <w:tcPr>
            <w:shd w:fill="ffffff" w:val="clear"/>
            <w:tcMar>
              <w:top w:w="15.0" w:type="dxa"/>
              <w:left w:w="15.0" w:type="dxa"/>
              <w:bottom w:w="0.0" w:type="dxa"/>
              <w:right w:w="15.0" w:type="dxa"/>
            </w:tcMar>
            <w:vAlign w:val="center"/>
          </w:tcPr>
          <w:p w:rsidR="00000000" w:rsidDel="00000000" w:rsidP="00000000" w:rsidRDefault="00000000" w:rsidRPr="00000000" w14:paraId="00000096">
            <w:pPr>
              <w:jc w:val="center"/>
              <w:rPr>
                <w:sz w:val="20"/>
                <w:szCs w:val="20"/>
              </w:rPr>
            </w:pPr>
            <w:r w:rsidDel="00000000" w:rsidR="00000000" w:rsidRPr="00000000">
              <w:rPr>
                <w:sz w:val="20"/>
                <w:szCs w:val="20"/>
                <w:rtl w:val="0"/>
              </w:rPr>
              <w:t xml:space="preserve">-77.62</w:t>
            </w:r>
          </w:p>
        </w:tc>
        <w:tc>
          <w:tcPr>
            <w:shd w:fill="ffffff" w:val="clear"/>
            <w:tcMar>
              <w:top w:w="15.0" w:type="dxa"/>
              <w:left w:w="15.0" w:type="dxa"/>
              <w:bottom w:w="0.0" w:type="dxa"/>
              <w:right w:w="15.0" w:type="dxa"/>
            </w:tcMar>
            <w:vAlign w:val="center"/>
          </w:tcPr>
          <w:p w:rsidR="00000000" w:rsidDel="00000000" w:rsidP="00000000" w:rsidRDefault="00000000" w:rsidRPr="00000000" w14:paraId="00000097">
            <w:pPr>
              <w:jc w:val="center"/>
              <w:rPr>
                <w:sz w:val="20"/>
                <w:szCs w:val="20"/>
              </w:rPr>
            </w:pPr>
            <w:r w:rsidDel="00000000" w:rsidR="00000000" w:rsidRPr="00000000">
              <w:rPr>
                <w:sz w:val="20"/>
                <w:szCs w:val="20"/>
                <w:rtl w:val="0"/>
              </w:rPr>
              <w:t xml:space="preserve">-161.06, 6.60</w:t>
            </w:r>
          </w:p>
        </w:tc>
        <w:tc>
          <w:tcPr>
            <w:shd w:fill="ffffff" w:val="clear"/>
            <w:tcMar>
              <w:top w:w="15.0" w:type="dxa"/>
              <w:left w:w="15.0" w:type="dxa"/>
              <w:bottom w:w="0.0" w:type="dxa"/>
              <w:right w:w="15.0" w:type="dxa"/>
            </w:tcMar>
            <w:vAlign w:val="center"/>
          </w:tcPr>
          <w:p w:rsidR="00000000" w:rsidDel="00000000" w:rsidP="00000000" w:rsidRDefault="00000000" w:rsidRPr="00000000" w14:paraId="00000098">
            <w:pPr>
              <w:jc w:val="center"/>
              <w:rPr>
                <w:sz w:val="20"/>
                <w:szCs w:val="20"/>
              </w:rPr>
            </w:pPr>
            <w:r w:rsidDel="00000000" w:rsidR="00000000" w:rsidRPr="00000000">
              <w:rPr>
                <w:sz w:val="20"/>
                <w:szCs w:val="20"/>
                <w:rtl w:val="0"/>
              </w:rPr>
              <w:t xml:space="preserve">-45.92</w:t>
            </w:r>
          </w:p>
        </w:tc>
        <w:tc>
          <w:tcPr>
            <w:shd w:fill="ffffff" w:val="clear"/>
            <w:tcMar>
              <w:top w:w="15.0" w:type="dxa"/>
              <w:left w:w="15.0" w:type="dxa"/>
              <w:bottom w:w="0.0" w:type="dxa"/>
              <w:right w:w="15.0" w:type="dxa"/>
            </w:tcMar>
            <w:vAlign w:val="center"/>
          </w:tcPr>
          <w:p w:rsidR="00000000" w:rsidDel="00000000" w:rsidP="00000000" w:rsidRDefault="00000000" w:rsidRPr="00000000" w14:paraId="00000099">
            <w:pPr>
              <w:jc w:val="center"/>
              <w:rPr>
                <w:sz w:val="20"/>
                <w:szCs w:val="20"/>
              </w:rPr>
            </w:pPr>
            <w:r w:rsidDel="00000000" w:rsidR="00000000" w:rsidRPr="00000000">
              <w:rPr>
                <w:sz w:val="20"/>
                <w:szCs w:val="20"/>
                <w:rtl w:val="0"/>
              </w:rPr>
              <w:t xml:space="preserve">-95.29, 3.90</w:t>
            </w:r>
          </w:p>
        </w:tc>
      </w:tr>
      <w:tr>
        <w:trPr>
          <w:cantSplit w:val="0"/>
          <w:trHeight w:val="170" w:hRule="atLeast"/>
          <w:tblHeader w:val="0"/>
        </w:trPr>
        <w:tc>
          <w:tcPr>
            <w:shd w:fill="ffffff" w:val="clear"/>
            <w:tcMar>
              <w:top w:w="15.0" w:type="dxa"/>
              <w:left w:w="15.0" w:type="dxa"/>
              <w:bottom w:w="0.0" w:type="dxa"/>
              <w:right w:w="15.0" w:type="dxa"/>
            </w:tcMar>
            <w:vAlign w:val="center"/>
          </w:tcPr>
          <w:p w:rsidR="00000000" w:rsidDel="00000000" w:rsidP="00000000" w:rsidRDefault="00000000" w:rsidRPr="00000000" w14:paraId="0000009A">
            <w:pPr>
              <w:rPr>
                <w:sz w:val="20"/>
                <w:szCs w:val="20"/>
              </w:rPr>
            </w:pPr>
            <w:r w:rsidDel="00000000" w:rsidR="00000000" w:rsidRPr="00000000">
              <w:rPr>
                <w:sz w:val="20"/>
                <w:szCs w:val="20"/>
                <w:rtl w:val="0"/>
              </w:rPr>
              <w:t xml:space="preserve">Trauma hospitalizations</w:t>
            </w:r>
          </w:p>
        </w:tc>
        <w:tc>
          <w:tcPr>
            <w:shd w:fill="ffffff" w:val="clear"/>
            <w:tcMar>
              <w:top w:w="15.0" w:type="dxa"/>
              <w:left w:w="15.0" w:type="dxa"/>
              <w:bottom w:w="0.0" w:type="dxa"/>
              <w:right w:w="15.0" w:type="dxa"/>
            </w:tcMar>
            <w:vAlign w:val="center"/>
          </w:tcPr>
          <w:p w:rsidR="00000000" w:rsidDel="00000000" w:rsidP="00000000" w:rsidRDefault="00000000" w:rsidRPr="00000000" w14:paraId="0000009B">
            <w:pPr>
              <w:jc w:val="center"/>
              <w:rPr>
                <w:sz w:val="20"/>
                <w:szCs w:val="20"/>
              </w:rPr>
            </w:pPr>
            <w:r w:rsidDel="00000000" w:rsidR="00000000" w:rsidRPr="00000000">
              <w:rPr>
                <w:sz w:val="20"/>
                <w:szCs w:val="20"/>
                <w:rtl w:val="0"/>
              </w:rPr>
              <w:t xml:space="preserve">11.95</w:t>
            </w:r>
          </w:p>
        </w:tc>
        <w:tc>
          <w:tcPr>
            <w:shd w:fill="ffffff" w:val="clear"/>
            <w:tcMar>
              <w:top w:w="15.0" w:type="dxa"/>
              <w:left w:w="15.0" w:type="dxa"/>
              <w:bottom w:w="0.0" w:type="dxa"/>
              <w:right w:w="15.0" w:type="dxa"/>
            </w:tcMar>
            <w:vAlign w:val="center"/>
          </w:tcPr>
          <w:p w:rsidR="00000000" w:rsidDel="00000000" w:rsidP="00000000" w:rsidRDefault="00000000" w:rsidRPr="00000000" w14:paraId="0000009C">
            <w:pPr>
              <w:jc w:val="center"/>
              <w:rPr>
                <w:sz w:val="20"/>
                <w:szCs w:val="20"/>
              </w:rPr>
            </w:pPr>
            <w:r w:rsidDel="00000000" w:rsidR="00000000" w:rsidRPr="00000000">
              <w:rPr>
                <w:sz w:val="20"/>
                <w:szCs w:val="20"/>
                <w:rtl w:val="0"/>
              </w:rPr>
              <w:t xml:space="preserve">3.39, 20.23</w:t>
            </w:r>
          </w:p>
        </w:tc>
        <w:tc>
          <w:tcPr>
            <w:shd w:fill="ffffff" w:val="clear"/>
            <w:tcMar>
              <w:top w:w="15.0" w:type="dxa"/>
              <w:left w:w="15.0" w:type="dxa"/>
              <w:bottom w:w="0.0" w:type="dxa"/>
              <w:right w:w="15.0" w:type="dxa"/>
            </w:tcMar>
            <w:vAlign w:val="center"/>
          </w:tcPr>
          <w:p w:rsidR="00000000" w:rsidDel="00000000" w:rsidP="00000000" w:rsidRDefault="00000000" w:rsidRPr="00000000" w14:paraId="0000009D">
            <w:pPr>
              <w:jc w:val="center"/>
              <w:rPr>
                <w:sz w:val="20"/>
                <w:szCs w:val="20"/>
              </w:rPr>
            </w:pPr>
            <w:r w:rsidDel="00000000" w:rsidR="00000000" w:rsidRPr="00000000">
              <w:rPr>
                <w:sz w:val="20"/>
                <w:szCs w:val="20"/>
                <w:rtl w:val="0"/>
              </w:rPr>
              <w:t xml:space="preserve">17.21</w:t>
            </w:r>
          </w:p>
        </w:tc>
        <w:tc>
          <w:tcPr>
            <w:shd w:fill="ffffff" w:val="clear"/>
            <w:tcMar>
              <w:top w:w="15.0" w:type="dxa"/>
              <w:left w:w="15.0" w:type="dxa"/>
              <w:bottom w:w="0.0" w:type="dxa"/>
              <w:right w:w="15.0" w:type="dxa"/>
            </w:tcMar>
            <w:vAlign w:val="center"/>
          </w:tcPr>
          <w:p w:rsidR="00000000" w:rsidDel="00000000" w:rsidP="00000000" w:rsidRDefault="00000000" w:rsidRPr="00000000" w14:paraId="0000009E">
            <w:pPr>
              <w:jc w:val="center"/>
              <w:rPr>
                <w:sz w:val="20"/>
                <w:szCs w:val="20"/>
              </w:rPr>
            </w:pPr>
            <w:r w:rsidDel="00000000" w:rsidR="00000000" w:rsidRPr="00000000">
              <w:rPr>
                <w:sz w:val="20"/>
                <w:szCs w:val="20"/>
                <w:rtl w:val="0"/>
              </w:rPr>
              <w:t xml:space="preserve">4.89, 29.13</w:t>
            </w:r>
          </w:p>
        </w:tc>
      </w:tr>
      <w:tr>
        <w:trPr>
          <w:cantSplit w:val="0"/>
          <w:trHeight w:val="170" w:hRule="atLeast"/>
          <w:tblHeader w:val="0"/>
        </w:trPr>
        <w:tc>
          <w:tcPr>
            <w:shd w:fill="ffffff" w:val="clear"/>
            <w:tcMar>
              <w:top w:w="15.0" w:type="dxa"/>
              <w:left w:w="15.0" w:type="dxa"/>
              <w:bottom w:w="0.0" w:type="dxa"/>
              <w:right w:w="15.0" w:type="dxa"/>
            </w:tcMar>
            <w:vAlign w:val="center"/>
          </w:tcPr>
          <w:p w:rsidR="00000000" w:rsidDel="00000000" w:rsidP="00000000" w:rsidRDefault="00000000" w:rsidRPr="00000000" w14:paraId="0000009F">
            <w:pPr>
              <w:rPr>
                <w:sz w:val="20"/>
                <w:szCs w:val="20"/>
              </w:rPr>
            </w:pPr>
            <w:r w:rsidDel="00000000" w:rsidR="00000000" w:rsidRPr="00000000">
              <w:rPr>
                <w:sz w:val="20"/>
                <w:szCs w:val="20"/>
                <w:rtl w:val="0"/>
              </w:rPr>
              <w:t xml:space="preserve">Respiratory hospitalizations</w:t>
            </w:r>
          </w:p>
        </w:tc>
        <w:tc>
          <w:tcPr>
            <w:shd w:fill="ffffff" w:val="clear"/>
            <w:tcMar>
              <w:top w:w="15.0" w:type="dxa"/>
              <w:left w:w="15.0" w:type="dxa"/>
              <w:bottom w:w="0.0" w:type="dxa"/>
              <w:right w:w="15.0" w:type="dxa"/>
            </w:tcMar>
            <w:vAlign w:val="center"/>
          </w:tcPr>
          <w:p w:rsidR="00000000" w:rsidDel="00000000" w:rsidP="00000000" w:rsidRDefault="00000000" w:rsidRPr="00000000" w14:paraId="000000A0">
            <w:pPr>
              <w:jc w:val="center"/>
              <w:rPr>
                <w:sz w:val="20"/>
                <w:szCs w:val="20"/>
              </w:rPr>
            </w:pPr>
            <w:r w:rsidDel="00000000" w:rsidR="00000000" w:rsidRPr="00000000">
              <w:rPr>
                <w:sz w:val="20"/>
                <w:szCs w:val="20"/>
                <w:rtl w:val="0"/>
              </w:rPr>
              <w:t xml:space="preserve">-4.00</w:t>
            </w:r>
          </w:p>
        </w:tc>
        <w:tc>
          <w:tcPr>
            <w:shd w:fill="ffffff" w:val="clear"/>
            <w:tcMar>
              <w:top w:w="15.0" w:type="dxa"/>
              <w:left w:w="15.0" w:type="dxa"/>
              <w:bottom w:w="0.0" w:type="dxa"/>
              <w:right w:w="15.0" w:type="dxa"/>
            </w:tcMar>
            <w:vAlign w:val="center"/>
          </w:tcPr>
          <w:p w:rsidR="00000000" w:rsidDel="00000000" w:rsidP="00000000" w:rsidRDefault="00000000" w:rsidRPr="00000000" w14:paraId="000000A1">
            <w:pPr>
              <w:jc w:val="center"/>
              <w:rPr>
                <w:sz w:val="20"/>
                <w:szCs w:val="20"/>
              </w:rPr>
            </w:pPr>
            <w:r w:rsidDel="00000000" w:rsidR="00000000" w:rsidRPr="00000000">
              <w:rPr>
                <w:sz w:val="20"/>
                <w:szCs w:val="20"/>
                <w:rtl w:val="0"/>
              </w:rPr>
              <w:t xml:space="preserve">-13.62, 5.53</w:t>
            </w:r>
          </w:p>
        </w:tc>
        <w:tc>
          <w:tcPr>
            <w:shd w:fill="ffffff" w:val="clear"/>
            <w:tcMar>
              <w:top w:w="15.0" w:type="dxa"/>
              <w:left w:w="15.0" w:type="dxa"/>
              <w:bottom w:w="0.0" w:type="dxa"/>
              <w:right w:w="15.0" w:type="dxa"/>
            </w:tcMar>
            <w:vAlign w:val="center"/>
          </w:tcPr>
          <w:p w:rsidR="00000000" w:rsidDel="00000000" w:rsidP="00000000" w:rsidRDefault="00000000" w:rsidRPr="00000000" w14:paraId="000000A2">
            <w:pPr>
              <w:jc w:val="center"/>
              <w:rPr>
                <w:sz w:val="20"/>
                <w:szCs w:val="20"/>
              </w:rPr>
            </w:pPr>
            <w:r w:rsidDel="00000000" w:rsidR="00000000" w:rsidRPr="00000000">
              <w:rPr>
                <w:sz w:val="20"/>
                <w:szCs w:val="20"/>
                <w:rtl w:val="0"/>
              </w:rPr>
              <w:t xml:space="preserve">-16.33</w:t>
            </w:r>
          </w:p>
        </w:tc>
        <w:tc>
          <w:tcPr>
            <w:shd w:fill="ffffff" w:val="clear"/>
            <w:tcMar>
              <w:top w:w="15.0" w:type="dxa"/>
              <w:left w:w="15.0" w:type="dxa"/>
              <w:bottom w:w="0.0" w:type="dxa"/>
              <w:right w:w="15.0" w:type="dxa"/>
            </w:tcMar>
            <w:vAlign w:val="center"/>
          </w:tcPr>
          <w:p w:rsidR="00000000" w:rsidDel="00000000" w:rsidP="00000000" w:rsidRDefault="00000000" w:rsidRPr="00000000" w14:paraId="000000A3">
            <w:pPr>
              <w:jc w:val="center"/>
              <w:rPr>
                <w:sz w:val="20"/>
                <w:szCs w:val="20"/>
              </w:rPr>
            </w:pPr>
            <w:r w:rsidDel="00000000" w:rsidR="00000000" w:rsidRPr="00000000">
              <w:rPr>
                <w:sz w:val="20"/>
                <w:szCs w:val="20"/>
                <w:rtl w:val="0"/>
              </w:rPr>
              <w:t xml:space="preserve">-55.60, 22.56</w:t>
            </w:r>
          </w:p>
        </w:tc>
      </w:tr>
      <w:tr>
        <w:trPr>
          <w:cantSplit w:val="0"/>
          <w:trHeight w:val="170" w:hRule="atLeast"/>
          <w:tblHeader w:val="0"/>
        </w:trPr>
        <w:tc>
          <w:tcPr>
            <w:shd w:fill="ffffff" w:val="clear"/>
            <w:tcMar>
              <w:top w:w="15.0" w:type="dxa"/>
              <w:left w:w="15.0" w:type="dxa"/>
              <w:bottom w:w="0.0" w:type="dxa"/>
              <w:right w:w="15.0" w:type="dxa"/>
            </w:tcMar>
            <w:vAlign w:val="center"/>
          </w:tcPr>
          <w:p w:rsidR="00000000" w:rsidDel="00000000" w:rsidP="00000000" w:rsidRDefault="00000000" w:rsidRPr="00000000" w14:paraId="000000A4">
            <w:pPr>
              <w:rPr>
                <w:sz w:val="20"/>
                <w:szCs w:val="20"/>
              </w:rPr>
            </w:pPr>
            <w:r w:rsidDel="00000000" w:rsidR="00000000" w:rsidRPr="00000000">
              <w:rPr>
                <w:sz w:val="20"/>
                <w:szCs w:val="20"/>
                <w:rtl w:val="0"/>
              </w:rPr>
              <w:t xml:space="preserve">Trauma hospitalizations per 1,000 consultations</w:t>
            </w:r>
          </w:p>
        </w:tc>
        <w:tc>
          <w:tcPr>
            <w:shd w:fill="ffffff" w:val="clear"/>
            <w:tcMar>
              <w:top w:w="15.0" w:type="dxa"/>
              <w:left w:w="15.0" w:type="dxa"/>
              <w:bottom w:w="0.0" w:type="dxa"/>
              <w:right w:w="15.0" w:type="dxa"/>
            </w:tcMar>
            <w:vAlign w:val="center"/>
          </w:tcPr>
          <w:p w:rsidR="00000000" w:rsidDel="00000000" w:rsidP="00000000" w:rsidRDefault="00000000" w:rsidRPr="00000000" w14:paraId="000000A5">
            <w:pPr>
              <w:jc w:val="center"/>
              <w:rPr>
                <w:sz w:val="20"/>
                <w:szCs w:val="20"/>
              </w:rPr>
            </w:pPr>
            <w:r w:rsidDel="00000000" w:rsidR="00000000" w:rsidRPr="00000000">
              <w:rPr>
                <w:sz w:val="20"/>
                <w:szCs w:val="20"/>
                <w:rtl w:val="0"/>
              </w:rPr>
              <w:t xml:space="preserve">29.49</w:t>
            </w:r>
          </w:p>
        </w:tc>
        <w:tc>
          <w:tcPr>
            <w:shd w:fill="ffffff" w:val="clear"/>
            <w:tcMar>
              <w:top w:w="15.0" w:type="dxa"/>
              <w:left w:w="15.0" w:type="dxa"/>
              <w:bottom w:w="0.0" w:type="dxa"/>
              <w:right w:w="15.0" w:type="dxa"/>
            </w:tcMar>
            <w:vAlign w:val="center"/>
          </w:tcPr>
          <w:p w:rsidR="00000000" w:rsidDel="00000000" w:rsidP="00000000" w:rsidRDefault="00000000" w:rsidRPr="00000000" w14:paraId="000000A6">
            <w:pPr>
              <w:jc w:val="center"/>
              <w:rPr>
                <w:sz w:val="20"/>
                <w:szCs w:val="20"/>
              </w:rPr>
            </w:pPr>
            <w:r w:rsidDel="00000000" w:rsidR="00000000" w:rsidRPr="00000000">
              <w:rPr>
                <w:sz w:val="20"/>
                <w:szCs w:val="20"/>
                <w:rtl w:val="0"/>
              </w:rPr>
              <w:t xml:space="preserve">8.03, 50.12</w:t>
            </w:r>
          </w:p>
        </w:tc>
        <w:tc>
          <w:tcPr>
            <w:shd w:fill="ffffff" w:val="clear"/>
            <w:tcMar>
              <w:top w:w="15.0" w:type="dxa"/>
              <w:left w:w="15.0" w:type="dxa"/>
              <w:bottom w:w="0.0" w:type="dxa"/>
              <w:right w:w="15.0" w:type="dxa"/>
            </w:tcMar>
            <w:vAlign w:val="center"/>
          </w:tcPr>
          <w:p w:rsidR="00000000" w:rsidDel="00000000" w:rsidP="00000000" w:rsidRDefault="00000000" w:rsidRPr="00000000" w14:paraId="000000A7">
            <w:pPr>
              <w:jc w:val="center"/>
              <w:rPr>
                <w:sz w:val="20"/>
                <w:szCs w:val="20"/>
              </w:rPr>
            </w:pPr>
            <w:r w:rsidDel="00000000" w:rsidR="00000000" w:rsidRPr="00000000">
              <w:rPr>
                <w:sz w:val="20"/>
                <w:szCs w:val="20"/>
                <w:rtl w:val="0"/>
              </w:rPr>
              <w:t xml:space="preserve">40.65</w:t>
            </w:r>
          </w:p>
        </w:tc>
        <w:tc>
          <w:tcPr>
            <w:shd w:fill="ffffff" w:val="clear"/>
            <w:tcMar>
              <w:top w:w="15.0" w:type="dxa"/>
              <w:left w:w="15.0" w:type="dxa"/>
              <w:bottom w:w="0.0" w:type="dxa"/>
              <w:right w:w="15.0" w:type="dxa"/>
            </w:tcMar>
            <w:vAlign w:val="center"/>
          </w:tcPr>
          <w:p w:rsidR="00000000" w:rsidDel="00000000" w:rsidP="00000000" w:rsidRDefault="00000000" w:rsidRPr="00000000" w14:paraId="000000A8">
            <w:pPr>
              <w:jc w:val="center"/>
              <w:rPr>
                <w:sz w:val="20"/>
                <w:szCs w:val="20"/>
              </w:rPr>
            </w:pPr>
            <w:r w:rsidDel="00000000" w:rsidR="00000000" w:rsidRPr="00000000">
              <w:rPr>
                <w:sz w:val="20"/>
                <w:szCs w:val="20"/>
                <w:rtl w:val="0"/>
              </w:rPr>
              <w:t xml:space="preserve">11.08, 69.10</w:t>
            </w:r>
          </w:p>
        </w:tc>
      </w:tr>
      <w:tr>
        <w:trPr>
          <w:cantSplit w:val="0"/>
          <w:trHeight w:val="170" w:hRule="atLeast"/>
          <w:tblHeader w:val="0"/>
        </w:trPr>
        <w:tc>
          <w:tcPr>
            <w:shd w:fill="ffffff" w:val="clear"/>
            <w:tcMar>
              <w:top w:w="15.0" w:type="dxa"/>
              <w:left w:w="15.0" w:type="dxa"/>
              <w:bottom w:w="0.0" w:type="dxa"/>
              <w:right w:w="15.0" w:type="dxa"/>
            </w:tcMar>
            <w:vAlign w:val="center"/>
          </w:tcPr>
          <w:p w:rsidR="00000000" w:rsidDel="00000000" w:rsidP="00000000" w:rsidRDefault="00000000" w:rsidRPr="00000000" w14:paraId="000000A9">
            <w:pPr>
              <w:rPr>
                <w:sz w:val="20"/>
                <w:szCs w:val="20"/>
              </w:rPr>
            </w:pPr>
            <w:r w:rsidDel="00000000" w:rsidR="00000000" w:rsidRPr="00000000">
              <w:rPr>
                <w:sz w:val="20"/>
                <w:szCs w:val="20"/>
                <w:rtl w:val="0"/>
              </w:rPr>
              <w:t xml:space="preserve">Respiratory hospitalizations per 1,000 consultations</w:t>
            </w:r>
          </w:p>
        </w:tc>
        <w:tc>
          <w:tcPr>
            <w:shd w:fill="ffffff" w:val="clear"/>
            <w:tcMar>
              <w:top w:w="15.0" w:type="dxa"/>
              <w:left w:w="15.0" w:type="dxa"/>
              <w:bottom w:w="0.0" w:type="dxa"/>
              <w:right w:w="15.0" w:type="dxa"/>
            </w:tcMar>
            <w:vAlign w:val="center"/>
          </w:tcPr>
          <w:p w:rsidR="00000000" w:rsidDel="00000000" w:rsidP="00000000" w:rsidRDefault="00000000" w:rsidRPr="00000000" w14:paraId="000000AA">
            <w:pPr>
              <w:jc w:val="center"/>
              <w:rPr>
                <w:sz w:val="20"/>
                <w:szCs w:val="20"/>
              </w:rPr>
            </w:pPr>
            <w:r w:rsidDel="00000000" w:rsidR="00000000" w:rsidRPr="00000000">
              <w:rPr>
                <w:sz w:val="20"/>
                <w:szCs w:val="20"/>
                <w:rtl w:val="0"/>
              </w:rPr>
              <w:t xml:space="preserve">96.10</w:t>
            </w:r>
          </w:p>
        </w:tc>
        <w:tc>
          <w:tcPr>
            <w:shd w:fill="ffffff" w:val="clear"/>
            <w:tcMar>
              <w:top w:w="15.0" w:type="dxa"/>
              <w:left w:w="15.0" w:type="dxa"/>
              <w:bottom w:w="0.0" w:type="dxa"/>
              <w:right w:w="15.0" w:type="dxa"/>
            </w:tcMar>
            <w:vAlign w:val="center"/>
          </w:tcPr>
          <w:p w:rsidR="00000000" w:rsidDel="00000000" w:rsidP="00000000" w:rsidRDefault="00000000" w:rsidRPr="00000000" w14:paraId="000000AB">
            <w:pPr>
              <w:jc w:val="center"/>
              <w:rPr>
                <w:sz w:val="20"/>
                <w:szCs w:val="20"/>
              </w:rPr>
            </w:pPr>
            <w:r w:rsidDel="00000000" w:rsidR="00000000" w:rsidRPr="00000000">
              <w:rPr>
                <w:sz w:val="20"/>
                <w:szCs w:val="20"/>
                <w:rtl w:val="0"/>
              </w:rPr>
              <w:t xml:space="preserve">49.05, 143.53</w:t>
            </w:r>
          </w:p>
        </w:tc>
        <w:tc>
          <w:tcPr>
            <w:shd w:fill="ffffff" w:val="clear"/>
            <w:tcMar>
              <w:top w:w="15.0" w:type="dxa"/>
              <w:left w:w="15.0" w:type="dxa"/>
              <w:bottom w:w="0.0" w:type="dxa"/>
              <w:right w:w="15.0" w:type="dxa"/>
            </w:tcMar>
            <w:vAlign w:val="center"/>
          </w:tcPr>
          <w:p w:rsidR="00000000" w:rsidDel="00000000" w:rsidP="00000000" w:rsidRDefault="00000000" w:rsidRPr="00000000" w14:paraId="000000AC">
            <w:pPr>
              <w:jc w:val="center"/>
              <w:rPr>
                <w:sz w:val="20"/>
                <w:szCs w:val="20"/>
              </w:rPr>
            </w:pPr>
            <w:r w:rsidDel="00000000" w:rsidR="00000000" w:rsidRPr="00000000">
              <w:rPr>
                <w:sz w:val="20"/>
                <w:szCs w:val="20"/>
                <w:rtl w:val="0"/>
              </w:rPr>
              <w:t xml:space="preserve">71.41</w:t>
            </w:r>
          </w:p>
        </w:tc>
        <w:tc>
          <w:tcPr>
            <w:shd w:fill="ffffff" w:val="clear"/>
            <w:tcMar>
              <w:top w:w="15.0" w:type="dxa"/>
              <w:left w:w="15.0" w:type="dxa"/>
              <w:bottom w:w="0.0" w:type="dxa"/>
              <w:right w:w="15.0" w:type="dxa"/>
            </w:tcMar>
            <w:vAlign w:val="center"/>
          </w:tcPr>
          <w:p w:rsidR="00000000" w:rsidDel="00000000" w:rsidP="00000000" w:rsidRDefault="00000000" w:rsidRPr="00000000" w14:paraId="000000AD">
            <w:pPr>
              <w:jc w:val="center"/>
              <w:rPr>
                <w:sz w:val="20"/>
                <w:szCs w:val="20"/>
              </w:rPr>
            </w:pPr>
            <w:r w:rsidDel="00000000" w:rsidR="00000000" w:rsidRPr="00000000">
              <w:rPr>
                <w:sz w:val="20"/>
                <w:szCs w:val="20"/>
                <w:rtl w:val="0"/>
              </w:rPr>
              <w:t xml:space="preserve">36.45, 106.66</w:t>
            </w:r>
          </w:p>
        </w:tc>
      </w:tr>
    </w:tbl>
    <w:p w:rsidR="00000000" w:rsidDel="00000000" w:rsidP="00000000" w:rsidRDefault="00000000" w:rsidRPr="00000000" w14:paraId="000000AE">
      <w:pPr>
        <w:rPr>
          <w:sz w:val="20"/>
          <w:szCs w:val="20"/>
        </w:rPr>
      </w:pPr>
      <w:r w:rsidDel="00000000" w:rsidR="00000000" w:rsidRPr="00000000">
        <w:rPr>
          <w:sz w:val="20"/>
          <w:szCs w:val="20"/>
          <w:vertAlign w:val="superscript"/>
          <w:rtl w:val="0"/>
        </w:rPr>
        <w:t xml:space="preserve">a</w:t>
      </w:r>
      <w:r w:rsidDel="00000000" w:rsidR="00000000" w:rsidRPr="00000000">
        <w:rPr>
          <w:sz w:val="20"/>
          <w:szCs w:val="20"/>
          <w:rtl w:val="0"/>
        </w:rPr>
        <w:t xml:space="preserve">Estimated as the change in expected events per week during the exposure period.</w:t>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260"/>
          <w:tab w:val="left" w:pos="500"/>
        </w:tabs>
        <w:spacing w:line="480" w:lineRule="auto"/>
        <w:rPr>
          <w:color w:val="212121"/>
          <w:sz w:val="16"/>
          <w:szCs w:val="16"/>
          <w:highlight w:val="white"/>
        </w:rPr>
        <w:sectPr>
          <w:footerReference r:id="rId13" w:type="default"/>
          <w:footerReference r:id="rId14"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0">
      <w:pPr>
        <w:spacing w:line="360" w:lineRule="auto"/>
        <w:rPr>
          <w:b w:val="1"/>
        </w:rPr>
      </w:pPr>
      <w:r w:rsidDel="00000000" w:rsidR="00000000" w:rsidRPr="00000000">
        <w:rPr>
          <w:b w:val="1"/>
          <w:rtl w:val="0"/>
        </w:rPr>
        <w:t xml:space="preserve">Figure 1. Weekly differences between predicted and observed outcomes in the 10 weeks pre and post exposure periods</w:t>
      </w:r>
    </w:p>
    <w:p w:rsidR="00000000" w:rsidDel="00000000" w:rsidP="00000000" w:rsidRDefault="00000000" w:rsidRPr="00000000" w14:paraId="000000B1">
      <w:pPr>
        <w:spacing w:line="360" w:lineRule="auto"/>
        <w:ind w:hanging="142"/>
        <w:jc w:val="center"/>
        <w:rPr>
          <w:b w:val="1"/>
        </w:rPr>
      </w:pPr>
      <w:r w:rsidDel="00000000" w:rsidR="00000000" w:rsidRPr="00000000">
        <w:rPr/>
        <w:drawing>
          <wp:inline distB="0" distT="0" distL="0" distR="0">
            <wp:extent cx="8229600" cy="5009515"/>
            <wp:effectExtent b="0" l="0" r="0" t="0"/>
            <wp:docPr id="6"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8229600" cy="500951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rPr>
          <w:b w:val="1"/>
        </w:rPr>
      </w:pPr>
      <w:r w:rsidDel="00000000" w:rsidR="00000000" w:rsidRPr="00000000">
        <w:br w:type="column"/>
      </w:r>
      <w:r w:rsidDel="00000000" w:rsidR="00000000" w:rsidRPr="00000000">
        <w:rPr>
          <w:b w:val="1"/>
          <w:rtl w:val="0"/>
        </w:rPr>
        <w:t xml:space="preserve">Figure 2. Cumulative difference between predicted and observed outcomes in the 10 weeks post exposure period</w:t>
      </w:r>
    </w:p>
    <w:p w:rsidR="00000000" w:rsidDel="00000000" w:rsidP="00000000" w:rsidRDefault="00000000" w:rsidRPr="00000000" w14:paraId="000000B3">
      <w:pPr>
        <w:spacing w:line="360" w:lineRule="auto"/>
        <w:ind w:hanging="142"/>
        <w:rPr>
          <w:color w:val="212121"/>
          <w:sz w:val="16"/>
          <w:szCs w:val="16"/>
          <w:highlight w:val="white"/>
        </w:rPr>
      </w:pPr>
      <w:r w:rsidDel="00000000" w:rsidR="00000000" w:rsidRPr="00000000">
        <w:rPr>
          <w:rtl w:val="0"/>
        </w:rPr>
      </w:r>
    </w:p>
    <w:p w:rsidR="00000000" w:rsidDel="00000000" w:rsidP="00000000" w:rsidRDefault="00000000" w:rsidRPr="00000000" w14:paraId="000000B4">
      <w:pPr>
        <w:spacing w:line="360" w:lineRule="auto"/>
        <w:ind w:hanging="142"/>
        <w:rPr>
          <w:color w:val="212121"/>
          <w:sz w:val="16"/>
          <w:szCs w:val="16"/>
          <w:highlight w:val="white"/>
        </w:rPr>
      </w:pPr>
      <w:r w:rsidDel="00000000" w:rsidR="00000000" w:rsidRPr="00000000">
        <w:rPr/>
        <w:drawing>
          <wp:inline distB="0" distT="0" distL="0" distR="0">
            <wp:extent cx="8229600" cy="5009515"/>
            <wp:effectExtent b="0" l="0" r="0" t="0"/>
            <wp:docPr id="7"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8229600" cy="5009515"/>
                    </a:xfrm>
                    <a:prstGeom prst="rect"/>
                    <a:ln/>
                  </pic:spPr>
                </pic:pic>
              </a:graphicData>
            </a:graphic>
          </wp:inline>
        </w:drawing>
      </w:r>
      <w:r w:rsidDel="00000000" w:rsidR="00000000" w:rsidRPr="00000000">
        <w:rPr>
          <w:rtl w:val="0"/>
        </w:rPr>
      </w:r>
    </w:p>
    <w:sectPr>
      <w:type w:val="nextPage"/>
      <w:pgSz w:h="12240" w:w="15840" w:orient="landscape"/>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raham Isaac Jacob Gajardo Cortez (masterin)" w:id="19" w:date="2021-03-18T21:30:00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espacio (30 ref), solo da para agregar las 2 primeras Agregar: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INDH. Sobre la situacion de los derechos humanso en chile en el contexto de la crisis social. INDH, 2019. (https://bibliotecadigital.indh.cl/bitstream/handle/123456789/1701/Informe%20Final-2019.pdf?sequence=1&amp;isAllowed=y)</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Oficina del Alto COmisionado para los Derechos Humanos Informe sobre la mision a Chile 30 de octubre - 22 de noviembre 2019. Naciones Unidas. https://www.ohchr.org/Documents/Countries/CL/Report_Chile_2019_SP.pdf</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Comisión Interamericana de Derechos Humanos. CIDH condena el uso excesivo de la fuerza en el contexto de las protestas sociales en Chile, expresa su grave preocupación por el elevado número de denuncias y rechaza toda forma de violencia. OEA. 2019</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http://www.oas.org/es/cidh/prensa/comunicados/2019/317.asp</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rights watch. Chile: Llamado urgente a una reforma policial tras las protestas.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https://www.hrw.org/es/news/2019/11/26/chile-llamado-urgente-una-reforma-policial-tras-las-protestas#</w:t>
      </w:r>
    </w:p>
  </w:comment>
  <w:comment w:author="Abraham Isaac Jacob Gajardo Cortez (masterin)" w:id="4" w:date="2021-03-18T17:55:00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Borrar Dangman CR 2020, Evans CA 1993.</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 dejar Ni MY 2020.</w:t>
      </w:r>
    </w:p>
  </w:comment>
  <w:comment w:author="Abraham Isaac Jacob Gajardo Cortez (masterin)" w:id="16" w:date="2021-03-18T18:54:00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borrar</w:t>
      </w:r>
    </w:p>
  </w:comment>
  <w:comment w:author="Abraham Isaac Jacob Gajardo Cortez (masterin)" w:id="7" w:date="2021-03-16T15:41:00Z">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Acá son varios cambios: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Borrar: Arbak 2014, Rust G 2008 (ya indicada su eliminación), Rodrígues A 2020 (no corresponde), Blain PG (ref 25, ya indicada su eliminación), Uslu 2014.</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Queda: Haar RJ 2017</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Agregar referencia a: Rothenberg C 2016 (referncia 30 actual), Ballantyne B (ref 20 actul).</w:t>
      </w:r>
    </w:p>
  </w:comment>
  <w:comment w:author="Abraham Isaac Jacob Gajardo Cortez (masterin)" w:id="3" w:date="2021-03-18T17:39:00Z">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ambas (Elm 2019, El Mercurio 2019). En su reemplazo, queda la cita anterior (Somm NM 2020)</w:t>
      </w:r>
    </w:p>
  </w:comment>
  <w:comment w:author="Abraham Isaac Jacob Gajardo Cortez (masterin)" w:id="0" w:date="2021-03-18T17:23:00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Vergara 2016</w:t>
      </w:r>
    </w:p>
  </w:comment>
  <w:comment w:author="Abraham Isaac Jacob Gajardo Cortez (masterin)" w:id="17" w:date="2021-03-18T18:54:0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borrar</w:t>
      </w:r>
    </w:p>
  </w:comment>
  <w:comment w:author="Abraham Isaac Jacob Gajardo Cortez (masterin)" w:id="5" w:date="2021-03-18T17:59:00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Rust G 2008.</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Dejar Robertson E. 2014; The Lancet O. 2020.</w:t>
      </w:r>
    </w:p>
  </w:comment>
  <w:comment w:author="Abraham Isaac Jacob Gajardo Cortez (masterin)" w:id="21" w:date="2021-03-18T22:47:00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Wright S. The role of sub-lethal weapons in human rights abuse. Med Confl Surviv . Jul-Sep 2001;17(3):221-33.</w:t>
      </w:r>
    </w:p>
  </w:comment>
  <w:comment w:author="Abraham Isaac Jacob Gajardo Cortez (masterin)" w:id="1" w:date="2021-03-18T17:24:00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ambos (Scott J 2009 y Opp 2009).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referencia que sigue (Diani 1992) cubre todo</w:t>
      </w:r>
    </w:p>
  </w:comment>
  <w:comment w:author="Abraham Isaac Jacob Gajardo Cortez (masterin)" w:id="6" w:date="2021-03-16T15:35:00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Borrar: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Balouris CA (ref 22), Robb Jd 1969, Sheridan SM 2983, Blain PG (ref 25)</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Citar referencia 21 actual(Rodríguez A, 2020)</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Citar referencia 20 actual (Ballantyne 2006)</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Less-Lethal Weapons Resulting in Ophthalmic Injuries: A Review and Recent Example of Eye Trauma. Ophthalmol Ther . 2020 Sep;9(3):1-7. doi: 10.1007/s40123-020-00271-9</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injury and disability from kinetic impact projectiles in crowd-control settings: a systematic review. BMJ Open . 2017 Dec 5;7(12):e018154.</w:t>
      </w:r>
    </w:p>
  </w:comment>
  <w:comment w:author="Abraham Isaac Jacob Gajardo Cortez (masterin)" w:id="12" w:date="2021-03-18T18:54:0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borrar</w:t>
      </w:r>
    </w:p>
  </w:comment>
  <w:comment w:author="Abraham Isaac Jacob Gajardo Cortez (masterin)" w:id="2" w:date="2021-03-18T17:38:00Z">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Krygier 2020, Johanson 2019, Gonzalez R 2020. Dejar solo Smma NM 2020. Pero mover cita al final del párrafo</w:t>
      </w:r>
    </w:p>
  </w:comment>
  <w:comment w:author="Abraham Isaac Jacob Gajardo Cortez (masterin)" w:id="8" w:date="2021-03-18T18:17:00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cita a esas ref.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Haar, R. J. &amp; Iacopino, V. Lethal in Disguise: The Health Consequences of Crowd-Control Weapons (Physicians for Human Rights, 2016).</w:t>
      </w:r>
    </w:p>
  </w:comment>
  <w:comment w:author="Abraham Isaac Jacob Gajardo Cortez (masterin)" w:id="9" w:date="2021-03-16T15:44:00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Reemplazar las referencias actuales por las siguientes (2 de ellas ya están incluída en la bibliografía actual)</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of Riot Control Agents and other methods resulting in physical and psychological injuries sustained during civil unrest in Turkey in 2013. J Forensic Leg Med . 2017 Jan;45:47-52.</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Blunt and penetrating injuries caused by rubber bullets during the Israeli-Arab conflict in October, 2000: a retrospective study. Lancet . 2002 May 25;359(9320):1795-800.</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Injury patterns related to use of less-lethal weapons during a period of civil unrest. J Emerg Med . 2003 Aug;25(2):219-27.</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 of civil unrest on the incidence of violent and non-natural deaths. S Afr Med J . 1986 Jul 19;70(2):83-8.</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Riots in Beirut: Description of the Impact of a New Type of Mass Casualty Event on the Emergency System in Lebanon. Disaster Med Public Health Prep . 2019 Dec;13(5-6):849-852.</w:t>
      </w:r>
    </w:p>
  </w:comment>
  <w:comment w:author="Abraham Isaac Jacob Gajardo Cortez (masterin)" w:id="15" w:date="2021-03-18T18:54:00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borrar</w:t>
      </w:r>
    </w:p>
  </w:comment>
  <w:comment w:author="Abraham Isaac Jacob Gajardo Cortez (masterin)" w:id="10" w:date="2021-03-18T18:53:00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se podrían borrar la gran mayoría de las referencias y dejar solo un par, ya que en el suplemento se explica el análisis. Confirmar con Andrés.</w:t>
        <w:br w:type="textWrapping"/>
        <w:t xml:space="preserve"> Indico en comentarios específicos cuales borraría</w:t>
      </w:r>
    </w:p>
  </w:comment>
  <w:comment w:author="Andrés González Santa Cruz" w:id="20" w:date="2021-03-21T12:55:00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Rodriguez 2020</w:t>
      </w:r>
    </w:p>
  </w:comment>
  <w:comment w:author="Alvaro Castillo Carniglia | U.Mayor" w:id="13" w:date="2021-03-20T21:01:00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 vez esta se puede borrar y dejar algunas de las de más delante</w:t>
      </w:r>
    </w:p>
  </w:comment>
  <w:comment w:author="Abraham Isaac Jacob Gajardo Cortez (masterin)" w:id="18" w:date="2021-03-18T18:55:00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borrar</w:t>
      </w:r>
    </w:p>
  </w:comment>
  <w:comment w:author="Abraham Isaac Jacob Gajardo Cortez (masterin)" w:id="14" w:date="2021-03-18T18:54:00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borrar</w:t>
      </w:r>
    </w:p>
  </w:comment>
  <w:comment w:author="Abraham Isaac Jacob Gajardo Cortez (masterin)" w:id="11" w:date="2021-03-18T18:54:00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2" w15:done="0"/>
  <w15:commentEx w15:paraId="000000C4" w15:done="0"/>
  <w15:commentEx w15:paraId="000000C5" w15:done="0"/>
  <w15:commentEx w15:paraId="000000C9" w15:done="0"/>
  <w15:commentEx w15:paraId="000000CA" w15:done="0"/>
  <w15:commentEx w15:paraId="000000CB" w15:done="0"/>
  <w15:commentEx w15:paraId="000000CC" w15:done="0"/>
  <w15:commentEx w15:paraId="000000CE" w15:done="0"/>
  <w15:commentEx w15:paraId="000000D0" w15:done="0"/>
  <w15:commentEx w15:paraId="000000D2" w15:done="0"/>
  <w15:commentEx w15:paraId="000000D9" w15:done="0"/>
  <w15:commentEx w15:paraId="000000DA" w15:done="0"/>
  <w15:commentEx w15:paraId="000000DB" w15:done="0"/>
  <w15:commentEx w15:paraId="000000DE" w15:done="0"/>
  <w15:commentEx w15:paraId="000000E9" w15:done="0"/>
  <w15:commentEx w15:paraId="000000EA" w15:done="0"/>
  <w15:commentEx w15:paraId="000000EB" w15:done="0"/>
  <w15:commentEx w15:paraId="000000EC" w15:done="0"/>
  <w15:commentEx w15:paraId="000000ED" w15:done="0"/>
  <w15:commentEx w15:paraId="000000EE" w15:done="0"/>
  <w15:commentEx w15:paraId="000000EF" w15:done="0"/>
  <w15:commentEx w15:paraId="000000F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80" w:lineRule="auto"/>
      <w:jc w:val="both"/>
    </w:pPr>
    <w:rPr>
      <w:b w:val="1"/>
    </w:rPr>
  </w:style>
  <w:style w:type="paragraph" w:styleId="Heading2">
    <w:name w:val="heading 2"/>
    <w:basedOn w:val="Normal"/>
    <w:next w:val="Normal"/>
    <w:pPr>
      <w:spacing w:line="480" w:lineRule="auto"/>
      <w:jc w:val="both"/>
    </w:pPr>
    <w:rPr>
      <w:b w:val="1"/>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20" w:line="276" w:lineRule="auto"/>
    </w:pPr>
    <w:rPr>
      <w:rFonts w:ascii="Georgia" w:cs="Georgia" w:eastAsia="Georgia" w:hAnsi="Georgia"/>
      <w:sz w:val="56"/>
      <w:szCs w:val="56"/>
    </w:rPr>
  </w:style>
  <w:style w:type="paragraph" w:styleId="Normal" w:default="1">
    <w:name w:val="Normal"/>
    <w:qFormat w:val="1"/>
    <w:rsid w:val="00F601B5"/>
    <w:pPr>
      <w:spacing w:after="0" w:line="240" w:lineRule="auto"/>
    </w:pPr>
    <w:rPr>
      <w:rFonts w:ascii="Times New Roman" w:cs="Times New Roman" w:eastAsia="Times New Roman" w:hAnsi="Times New Roman"/>
      <w:lang w:eastAsia="es-ES_tradnl" w:val="es-CL"/>
    </w:rPr>
  </w:style>
  <w:style w:type="paragraph" w:styleId="Ttulo1">
    <w:name w:val="heading 1"/>
    <w:basedOn w:val="Ttulo2"/>
    <w:next w:val="Normal"/>
    <w:link w:val="Ttulo1Car"/>
    <w:uiPriority w:val="9"/>
    <w:qFormat w:val="1"/>
    <w:rsid w:val="00C17D9D"/>
    <w:pPr>
      <w:outlineLvl w:val="0"/>
    </w:pPr>
  </w:style>
  <w:style w:type="paragraph" w:styleId="Ttulo2">
    <w:name w:val="heading 2"/>
    <w:basedOn w:val="Normal"/>
    <w:next w:val="Normal"/>
    <w:link w:val="Ttulo2Car"/>
    <w:uiPriority w:val="9"/>
    <w:unhideWhenUsed w:val="1"/>
    <w:qFormat w:val="1"/>
    <w:rsid w:val="00C17D9D"/>
    <w:pPr>
      <w:spacing w:line="480" w:lineRule="auto"/>
      <w:jc w:val="both"/>
      <w:outlineLvl w:val="1"/>
    </w:pPr>
    <w:rPr>
      <w:b w:val="1"/>
      <w:bCs w:val="1"/>
      <w:lang w:val="en-US"/>
    </w:rPr>
  </w:style>
  <w:style w:type="paragraph" w:styleId="Ttulo3">
    <w:name w:val="heading 3"/>
    <w:basedOn w:val="Normal"/>
    <w:next w:val="Normal"/>
    <w:link w:val="Ttulo3Car"/>
    <w:uiPriority w:val="9"/>
    <w:unhideWhenUsed w:val="1"/>
    <w:qFormat w:val="1"/>
    <w:rsid w:val="00182B6B"/>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3E3177"/>
    <w:pPr>
      <w:spacing w:after="120" w:line="276" w:lineRule="auto"/>
      <w:contextualSpacing w:val="1"/>
    </w:pPr>
    <w:rPr>
      <w:rFonts w:ascii="Georgia" w:hAnsi="Georgia" w:cstheme="majorBidi" w:eastAsiaTheme="majorEastAsia"/>
      <w:spacing w:val="-10"/>
      <w:kern w:val="28"/>
      <w:sz w:val="56"/>
      <w:szCs w:val="56"/>
      <w:lang w:eastAsia="en-US" w:val="en-US"/>
    </w:rPr>
  </w:style>
  <w:style w:type="character" w:styleId="TtuloCar" w:customStyle="1">
    <w:name w:val="Título Car"/>
    <w:basedOn w:val="Fuentedeprrafopredeter"/>
    <w:link w:val="Ttulo"/>
    <w:uiPriority w:val="10"/>
    <w:rsid w:val="003E3177"/>
    <w:rPr>
      <w:rFonts w:cstheme="majorBidi" w:eastAsiaTheme="majorEastAsia"/>
      <w:spacing w:val="-10"/>
      <w:kern w:val="28"/>
      <w:sz w:val="56"/>
      <w:szCs w:val="56"/>
    </w:rPr>
  </w:style>
  <w:style w:type="paragraph" w:styleId="Subttulo">
    <w:name w:val="Subtitle"/>
    <w:basedOn w:val="Normal"/>
    <w:next w:val="Normal"/>
    <w:link w:val="SubttuloCar"/>
    <w:uiPriority w:val="11"/>
    <w:qFormat w:val="1"/>
    <w:rsid w:val="003E3177"/>
    <w:pPr>
      <w:numPr>
        <w:ilvl w:val="1"/>
      </w:numPr>
      <w:spacing w:after="160" w:line="276" w:lineRule="auto"/>
    </w:pPr>
    <w:rPr>
      <w:rFonts w:ascii="Georgia" w:hAnsi="Georgia" w:cstheme="minorBidi" w:eastAsiaTheme="minorEastAsia"/>
      <w:color w:val="5a5a5a" w:themeColor="text1" w:themeTint="0000A5"/>
      <w:spacing w:val="15"/>
      <w:sz w:val="28"/>
      <w:szCs w:val="28"/>
      <w:lang w:eastAsia="en-US" w:val="en-US"/>
    </w:rPr>
  </w:style>
  <w:style w:type="character" w:styleId="SubttuloCar" w:customStyle="1">
    <w:name w:val="Subtítulo Car"/>
    <w:basedOn w:val="Fuentedeprrafopredeter"/>
    <w:link w:val="Subttulo"/>
    <w:uiPriority w:val="11"/>
    <w:rsid w:val="003E3177"/>
    <w:rPr>
      <w:rFonts w:eastAsiaTheme="minorEastAsia"/>
      <w:color w:val="5a5a5a" w:themeColor="text1" w:themeTint="0000A5"/>
      <w:spacing w:val="15"/>
      <w:sz w:val="28"/>
      <w:szCs w:val="28"/>
    </w:rPr>
  </w:style>
  <w:style w:type="character" w:styleId="Ttulo1Car" w:customStyle="1">
    <w:name w:val="Título 1 Car"/>
    <w:basedOn w:val="Fuentedeprrafopredeter"/>
    <w:link w:val="Ttulo1"/>
    <w:uiPriority w:val="9"/>
    <w:rsid w:val="00C17D9D"/>
    <w:rPr>
      <w:rFonts w:ascii="Times New Roman" w:cs="Times New Roman" w:eastAsia="Times New Roman" w:hAnsi="Times New Roman"/>
      <w:b w:val="1"/>
      <w:bCs w:val="1"/>
      <w:lang w:eastAsia="es-ES_tradnl"/>
    </w:rPr>
  </w:style>
  <w:style w:type="character" w:styleId="mi" w:customStyle="1">
    <w:name w:val="mi"/>
    <w:basedOn w:val="Fuentedeprrafopredeter"/>
    <w:rsid w:val="0071322B"/>
  </w:style>
  <w:style w:type="character" w:styleId="mo" w:customStyle="1">
    <w:name w:val="mo"/>
    <w:basedOn w:val="Fuentedeprrafopredeter"/>
    <w:rsid w:val="0071322B"/>
  </w:style>
  <w:style w:type="character" w:styleId="mn" w:customStyle="1">
    <w:name w:val="mn"/>
    <w:basedOn w:val="Fuentedeprrafopredeter"/>
    <w:rsid w:val="0071322B"/>
  </w:style>
  <w:style w:type="paragraph" w:styleId="Textodeglobo">
    <w:name w:val="Balloon Text"/>
    <w:basedOn w:val="Normal"/>
    <w:link w:val="TextodegloboCar"/>
    <w:uiPriority w:val="99"/>
    <w:semiHidden w:val="1"/>
    <w:unhideWhenUsed w:val="1"/>
    <w:rsid w:val="00122D50"/>
    <w:rPr>
      <w:rFonts w:ascii="Segoe UI" w:cs="Segoe UI" w:hAnsi="Segoe UI" w:eastAsiaTheme="minorHAnsi"/>
      <w:sz w:val="18"/>
      <w:szCs w:val="18"/>
      <w:lang w:eastAsia="en-US" w:val="en-US"/>
    </w:rPr>
  </w:style>
  <w:style w:type="character" w:styleId="TextodegloboCar" w:customStyle="1">
    <w:name w:val="Texto de globo Car"/>
    <w:basedOn w:val="Fuentedeprrafopredeter"/>
    <w:link w:val="Textodeglobo"/>
    <w:uiPriority w:val="99"/>
    <w:semiHidden w:val="1"/>
    <w:rsid w:val="00122D50"/>
    <w:rPr>
      <w:rFonts w:ascii="Segoe UI" w:cs="Segoe UI" w:hAnsi="Segoe UI"/>
      <w:sz w:val="18"/>
      <w:szCs w:val="18"/>
    </w:rPr>
  </w:style>
  <w:style w:type="paragraph" w:styleId="Revisin">
    <w:name w:val="Revision"/>
    <w:hidden w:val="1"/>
    <w:uiPriority w:val="99"/>
    <w:semiHidden w:val="1"/>
    <w:rsid w:val="00122D50"/>
    <w:pPr>
      <w:spacing w:after="0" w:line="240" w:lineRule="auto"/>
    </w:pPr>
    <w:rPr>
      <w:sz w:val="22"/>
    </w:rPr>
  </w:style>
  <w:style w:type="paragraph" w:styleId="Textocomentario">
    <w:name w:val="annotation text"/>
    <w:basedOn w:val="Normal"/>
    <w:link w:val="TextocomentarioCar"/>
    <w:uiPriority w:val="99"/>
    <w:unhideWhenUsed w:val="1"/>
    <w:pPr>
      <w:spacing w:after="120"/>
    </w:pPr>
    <w:rPr>
      <w:rFonts w:ascii="Georgia" w:hAnsi="Georgia" w:cstheme="minorBidi" w:eastAsiaTheme="minorHAnsi"/>
      <w:sz w:val="20"/>
      <w:szCs w:val="20"/>
      <w:lang w:eastAsia="en-US" w:val="en-US"/>
    </w:rPr>
  </w:style>
  <w:style w:type="character" w:styleId="TextocomentarioCar" w:customStyle="1">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Prrafodelista">
    <w:name w:val="List Paragraph"/>
    <w:basedOn w:val="Normal"/>
    <w:uiPriority w:val="34"/>
    <w:qFormat w:val="1"/>
    <w:rsid w:val="001C13DA"/>
    <w:pPr>
      <w:spacing w:after="120" w:line="276" w:lineRule="auto"/>
      <w:ind w:left="720"/>
      <w:contextualSpacing w:val="1"/>
    </w:pPr>
    <w:rPr>
      <w:rFonts w:ascii="Georgia" w:hAnsi="Georgia" w:cstheme="minorBidi" w:eastAsiaTheme="minorHAnsi"/>
      <w:sz w:val="22"/>
      <w:lang w:eastAsia="en-US" w:val="en-US"/>
    </w:rPr>
  </w:style>
  <w:style w:type="character" w:styleId="Textodelmarcadordeposicin">
    <w:name w:val="Placeholder Text"/>
    <w:basedOn w:val="Fuentedeprrafopredeter"/>
    <w:uiPriority w:val="99"/>
    <w:semiHidden w:val="1"/>
    <w:rsid w:val="00EF5174"/>
    <w:rPr>
      <w:color w:val="808080"/>
    </w:rPr>
  </w:style>
  <w:style w:type="table" w:styleId="Tablaconcuadrcula">
    <w:name w:val="Table Grid"/>
    <w:basedOn w:val="Tablanormal"/>
    <w:uiPriority w:val="39"/>
    <w:rsid w:val="00EC1E5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nnotation subject"/>
    <w:basedOn w:val="Textocomentario"/>
    <w:next w:val="Textocomentario"/>
    <w:link w:val="AsuntodelcomentarioCar"/>
    <w:uiPriority w:val="99"/>
    <w:semiHidden w:val="1"/>
    <w:unhideWhenUsed w:val="1"/>
    <w:rsid w:val="00EC1E56"/>
    <w:rPr>
      <w:b w:val="1"/>
      <w:bCs w:val="1"/>
    </w:rPr>
  </w:style>
  <w:style w:type="character" w:styleId="AsuntodelcomentarioCar" w:customStyle="1">
    <w:name w:val="Asunto del comentario Car"/>
    <w:basedOn w:val="TextocomentarioCar"/>
    <w:link w:val="Asuntodelcomentario"/>
    <w:uiPriority w:val="99"/>
    <w:semiHidden w:val="1"/>
    <w:rsid w:val="00EC1E56"/>
    <w:rPr>
      <w:b w:val="1"/>
      <w:bCs w:val="1"/>
      <w:sz w:val="20"/>
      <w:szCs w:val="20"/>
    </w:rPr>
  </w:style>
  <w:style w:type="character" w:styleId="Hipervnculo">
    <w:name w:val="Hyperlink"/>
    <w:basedOn w:val="Fuentedeprrafopredeter"/>
    <w:uiPriority w:val="99"/>
    <w:unhideWhenUsed w:val="1"/>
    <w:rsid w:val="00F91C05"/>
    <w:rPr>
      <w:color w:val="0563c1" w:themeColor="hyperlink"/>
      <w:u w:val="single"/>
    </w:rPr>
  </w:style>
  <w:style w:type="character" w:styleId="Mencinsinresolver1" w:customStyle="1">
    <w:name w:val="Mención sin resolver1"/>
    <w:basedOn w:val="Fuentedeprrafopredeter"/>
    <w:uiPriority w:val="99"/>
    <w:semiHidden w:val="1"/>
    <w:unhideWhenUsed w:val="1"/>
    <w:rsid w:val="00F91C05"/>
    <w:rPr>
      <w:color w:val="605e5c"/>
      <w:shd w:color="auto" w:fill="e1dfdd" w:val="clear"/>
    </w:rPr>
  </w:style>
  <w:style w:type="character" w:styleId="Hipervnculovisitado">
    <w:name w:val="FollowedHyperlink"/>
    <w:basedOn w:val="Fuentedeprrafopredeter"/>
    <w:uiPriority w:val="99"/>
    <w:semiHidden w:val="1"/>
    <w:unhideWhenUsed w:val="1"/>
    <w:rsid w:val="00333E80"/>
    <w:rPr>
      <w:color w:val="954f72" w:themeColor="followedHyperlink"/>
      <w:u w:val="single"/>
    </w:rPr>
  </w:style>
  <w:style w:type="paragraph" w:styleId="NormalWeb">
    <w:name w:val="Normal (Web)"/>
    <w:basedOn w:val="Normal"/>
    <w:uiPriority w:val="99"/>
    <w:semiHidden w:val="1"/>
    <w:unhideWhenUsed w:val="1"/>
    <w:rsid w:val="00ED04FE"/>
    <w:pPr>
      <w:spacing w:after="100" w:afterAutospacing="1" w:before="100" w:beforeAutospacing="1"/>
    </w:pPr>
    <w:rPr>
      <w:lang w:eastAsia="es-CL"/>
    </w:rPr>
  </w:style>
  <w:style w:type="character" w:styleId="mord" w:customStyle="1">
    <w:name w:val="mord"/>
    <w:basedOn w:val="Fuentedeprrafopredeter"/>
    <w:rsid w:val="00ED04FE"/>
  </w:style>
  <w:style w:type="character" w:styleId="nfasis">
    <w:name w:val="Emphasis"/>
    <w:basedOn w:val="Fuentedeprrafopredeter"/>
    <w:uiPriority w:val="20"/>
    <w:qFormat w:val="1"/>
    <w:rsid w:val="00ED04FE"/>
    <w:rPr>
      <w:i w:val="1"/>
      <w:iCs w:val="1"/>
    </w:rPr>
  </w:style>
  <w:style w:type="character" w:styleId="katex-mathml" w:customStyle="1">
    <w:name w:val="katex-mathml"/>
    <w:basedOn w:val="Fuentedeprrafopredeter"/>
    <w:rsid w:val="00ED04FE"/>
  </w:style>
  <w:style w:type="character" w:styleId="mrel" w:customStyle="1">
    <w:name w:val="mrel"/>
    <w:basedOn w:val="Fuentedeprrafopredeter"/>
    <w:rsid w:val="00ED04FE"/>
  </w:style>
  <w:style w:type="character" w:styleId="vlist-s" w:customStyle="1">
    <w:name w:val="vlist-s"/>
    <w:basedOn w:val="Fuentedeprrafopredeter"/>
    <w:rsid w:val="00ED04FE"/>
  </w:style>
  <w:style w:type="character" w:styleId="mbin" w:customStyle="1">
    <w:name w:val="mbin"/>
    <w:basedOn w:val="Fuentedeprrafopredeter"/>
    <w:rsid w:val="00ED04FE"/>
  </w:style>
  <w:style w:type="paragraph" w:styleId="EndNoteBibliographyTitle" w:customStyle="1">
    <w:name w:val="EndNote Bibliography Title"/>
    <w:basedOn w:val="Normal"/>
    <w:link w:val="EndNoteBibliographyTitleCar"/>
    <w:rsid w:val="00D51BF3"/>
    <w:pPr>
      <w:spacing w:line="276" w:lineRule="auto"/>
      <w:jc w:val="center"/>
    </w:pPr>
    <w:rPr>
      <w:rFonts w:eastAsiaTheme="minorHAnsi"/>
      <w:noProof w:val="1"/>
      <w:lang w:eastAsia="en-US" w:val="en-US"/>
    </w:rPr>
  </w:style>
  <w:style w:type="character" w:styleId="EndNoteBibliographyTitleCar" w:customStyle="1">
    <w:name w:val="EndNote Bibliography Title Car"/>
    <w:basedOn w:val="Fuentedeprrafopredeter"/>
    <w:link w:val="EndNoteBibliographyTitle"/>
    <w:rsid w:val="00D51BF3"/>
    <w:rPr>
      <w:rFonts w:ascii="Times New Roman" w:cs="Times New Roman" w:hAnsi="Times New Roman"/>
      <w:noProof w:val="1"/>
    </w:rPr>
  </w:style>
  <w:style w:type="paragraph" w:styleId="EndNoteBibliography" w:customStyle="1">
    <w:name w:val="EndNote Bibliography"/>
    <w:basedOn w:val="Normal"/>
    <w:link w:val="EndNoteBibliographyCar"/>
    <w:rsid w:val="00D51BF3"/>
    <w:pPr>
      <w:spacing w:after="120"/>
    </w:pPr>
    <w:rPr>
      <w:rFonts w:eastAsiaTheme="minorHAnsi"/>
      <w:noProof w:val="1"/>
      <w:lang w:eastAsia="en-US" w:val="en-US"/>
    </w:rPr>
  </w:style>
  <w:style w:type="character" w:styleId="EndNoteBibliographyCar" w:customStyle="1">
    <w:name w:val="EndNote Bibliography Car"/>
    <w:basedOn w:val="Fuentedeprrafopredeter"/>
    <w:link w:val="EndNoteBibliography"/>
    <w:rsid w:val="00D51BF3"/>
    <w:rPr>
      <w:rFonts w:ascii="Times New Roman" w:cs="Times New Roman" w:hAnsi="Times New Roman"/>
      <w:noProof w:val="1"/>
    </w:rPr>
  </w:style>
  <w:style w:type="character" w:styleId="Ttulo2Car" w:customStyle="1">
    <w:name w:val="Título 2 Car"/>
    <w:basedOn w:val="Fuentedeprrafopredeter"/>
    <w:link w:val="Ttulo2"/>
    <w:uiPriority w:val="9"/>
    <w:rsid w:val="00C17D9D"/>
    <w:rPr>
      <w:rFonts w:ascii="Times New Roman" w:cs="Times New Roman" w:eastAsia="Times New Roman" w:hAnsi="Times New Roman"/>
      <w:b w:val="1"/>
      <w:bCs w:val="1"/>
      <w:lang w:eastAsia="es-ES_tradnl"/>
    </w:rPr>
  </w:style>
  <w:style w:type="character" w:styleId="c-bibliographic-informationvalue" w:customStyle="1">
    <w:name w:val="c-bibliographic-information__value"/>
    <w:basedOn w:val="Fuentedeprrafopredeter"/>
    <w:rsid w:val="00EC7D56"/>
  </w:style>
  <w:style w:type="character" w:styleId="UnresolvedMention1" w:customStyle="1">
    <w:name w:val="Unresolved Mention1"/>
    <w:basedOn w:val="Fuentedeprrafopredeter"/>
    <w:uiPriority w:val="99"/>
    <w:semiHidden w:val="1"/>
    <w:unhideWhenUsed w:val="1"/>
    <w:rsid w:val="00D714FC"/>
    <w:rPr>
      <w:color w:val="605e5c"/>
      <w:shd w:color="auto" w:fill="e1dfdd" w:val="clear"/>
    </w:rPr>
  </w:style>
  <w:style w:type="paragraph" w:styleId="Piedepgina">
    <w:name w:val="footer"/>
    <w:basedOn w:val="Normal"/>
    <w:link w:val="PiedepginaCar"/>
    <w:uiPriority w:val="99"/>
    <w:unhideWhenUsed w:val="1"/>
    <w:rsid w:val="00E53328"/>
    <w:pPr>
      <w:tabs>
        <w:tab w:val="center" w:pos="4419"/>
        <w:tab w:val="right" w:pos="8838"/>
      </w:tabs>
    </w:pPr>
  </w:style>
  <w:style w:type="character" w:styleId="PiedepginaCar" w:customStyle="1">
    <w:name w:val="Pie de página Car"/>
    <w:basedOn w:val="Fuentedeprrafopredeter"/>
    <w:link w:val="Piedepgina"/>
    <w:uiPriority w:val="99"/>
    <w:rsid w:val="00E53328"/>
    <w:rPr>
      <w:rFonts w:ascii="Times New Roman" w:cs="Times New Roman" w:eastAsia="Times New Roman" w:hAnsi="Times New Roman"/>
      <w:lang w:eastAsia="es-ES_tradnl" w:val="es-CL"/>
    </w:rPr>
  </w:style>
  <w:style w:type="character" w:styleId="Nmerodepgina">
    <w:name w:val="page number"/>
    <w:basedOn w:val="Fuentedeprrafopredeter"/>
    <w:uiPriority w:val="99"/>
    <w:semiHidden w:val="1"/>
    <w:unhideWhenUsed w:val="1"/>
    <w:rsid w:val="00E53328"/>
  </w:style>
  <w:style w:type="character" w:styleId="Ttulo3Car" w:customStyle="1">
    <w:name w:val="Título 3 Car"/>
    <w:basedOn w:val="Fuentedeprrafopredeter"/>
    <w:link w:val="Ttulo3"/>
    <w:uiPriority w:val="9"/>
    <w:rsid w:val="00182B6B"/>
    <w:rPr>
      <w:rFonts w:asciiTheme="majorHAnsi" w:cstheme="majorBidi" w:eastAsiaTheme="majorEastAsia" w:hAnsiTheme="majorHAnsi"/>
      <w:color w:val="1f3763" w:themeColor="accent1" w:themeShade="00007F"/>
      <w:lang w:eastAsia="es-ES_tradnl" w:val="es-CL"/>
    </w:rPr>
  </w:style>
  <w:style w:type="character" w:styleId="hidden-xs-down" w:customStyle="1">
    <w:name w:val="hidden-xs-down"/>
    <w:basedOn w:val="Fuentedeprrafopredeter"/>
    <w:rsid w:val="00182B6B"/>
  </w:style>
  <w:style w:type="character" w:styleId="Mencinsinresolver">
    <w:name w:val="Unresolved Mention"/>
    <w:basedOn w:val="Fuentedeprrafopredeter"/>
    <w:uiPriority w:val="99"/>
    <w:semiHidden w:val="1"/>
    <w:unhideWhenUsed w:val="1"/>
    <w:rsid w:val="00F3484B"/>
    <w:rPr>
      <w:color w:val="605e5c"/>
      <w:shd w:color="auto" w:fill="e1dfdd" w:val="clear"/>
    </w:rPr>
  </w:style>
  <w:style w:type="paragraph" w:styleId="Subtitle">
    <w:name w:val="Subtitle"/>
    <w:basedOn w:val="Normal"/>
    <w:next w:val="Normal"/>
    <w:pPr>
      <w:spacing w:after="160" w:line="276" w:lineRule="auto"/>
    </w:pPr>
    <w:rPr>
      <w:rFonts w:ascii="Georgia" w:cs="Georgia" w:eastAsia="Georgia" w:hAnsi="Georgia"/>
      <w:color w:val="5a5a5a"/>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isionofhumanity.org/wp-content/uploads/2020/10/GPI_2020_web.pdf" TargetMode="External"/><Relationship Id="rId10" Type="http://schemas.openxmlformats.org/officeDocument/2006/relationships/hyperlink" Target="https://bibliotecadigital.indh.cl/bitstream/handle/123456789/1701/Informe%20Final-2019.pdf?sequence=1&amp;isAllowed=y" TargetMode="External"/><Relationship Id="rId13" Type="http://schemas.openxmlformats.org/officeDocument/2006/relationships/footer" Target="footer1.xml"/><Relationship Id="rId12" Type="http://schemas.openxmlformats.org/officeDocument/2006/relationships/hyperlink" Target="https://www.fonasa.cl/sites/fonasa/adjuntos/Informe_caracterizacion_poblacion_asegurad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lvacasti@gmail.com" TargetMode="External"/><Relationship Id="rId15" Type="http://schemas.openxmlformats.org/officeDocument/2006/relationships/image" Target="media/image2.jpg"/><Relationship Id="rId14" Type="http://schemas.openxmlformats.org/officeDocument/2006/relationships/footer" Target="footer2.xml"/><Relationship Id="rId16"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fOIAb7BKGmnU+hZd8vumXHt8ww==">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2021-03-02T01:09:00Z</dcterms:created>
  <dc:creator>Wagner, Thomas 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http://csl.mendeley.com/styles/96912/apa-no-ampersand-bupna-4</vt:lpwstr>
  </property>
  <property fmtid="{D5CDD505-2E9C-101B-9397-08002B2CF9AE}" pid="7" name="Mendeley Recent Style Name 2_1">
    <vt:lpwstr>BUPNA - APA 7ª ed. (Spanish-caps-all-no &amp;)</vt:lpwstr>
  </property>
  <property fmtid="{D5CDD505-2E9C-101B-9397-08002B2CF9AE}" pid="8" name="Mendeley Recent Style Id 3_1">
    <vt:lpwstr>http://csl.mendeley.com/styles/96912/apa-no-ampersand-bupna</vt:lpwstr>
  </property>
  <property fmtid="{D5CDD505-2E9C-101B-9397-08002B2CF9AE}" pid="9" name="Mendeley Recent Style Name 3_1">
    <vt:lpwstr>BUPNA - APA 7ª ed. (Spanish-no &amp;)</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