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77777777" w:rsidR="00542C1B" w:rsidRDefault="00542C1B" w:rsidP="00542C1B">
      <w:pPr>
        <w:spacing w:line="240" w:lineRule="auto"/>
        <w:jc w:val="both"/>
        <w:rPr>
          <w:rFonts w:ascii="Times New Roman" w:eastAsia="Times New Roman" w:hAnsi="Times New Roman" w:cs="Times New Roman"/>
          <w:b/>
          <w:bCs/>
          <w:iCs/>
          <w:szCs w:val="22"/>
        </w:rPr>
      </w:pPr>
    </w:p>
    <w:p w14:paraId="4D22C021" w14:textId="77777777"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Dates with larger social unrest</w:t>
      </w:r>
    </w:p>
    <w:tbl>
      <w:tblPr>
        <w:tblStyle w:val="Tablaconcuadrcula"/>
        <w:tblW w:w="0" w:type="auto"/>
        <w:tblLook w:val="04A0" w:firstRow="1" w:lastRow="0" w:firstColumn="1" w:lastColumn="0" w:noHBand="0" w:noVBand="1"/>
      </w:tblPr>
      <w:tblGrid>
        <w:gridCol w:w="2942"/>
        <w:gridCol w:w="2943"/>
        <w:gridCol w:w="2943"/>
      </w:tblGrid>
      <w:tr w:rsidR="00542C1B" w:rsidRPr="00542C1B" w14:paraId="1B4D1E06" w14:textId="77777777" w:rsidTr="00542C1B">
        <w:tc>
          <w:tcPr>
            <w:tcW w:w="2942" w:type="dxa"/>
          </w:tcPr>
          <w:p w14:paraId="4931889B"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2943" w:type="dxa"/>
          </w:tcPr>
          <w:p w14:paraId="0C527B41"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2943" w:type="dxa"/>
          </w:tcPr>
          <w:p w14:paraId="534F1107"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542C1B" w:rsidRPr="00542C1B" w14:paraId="6787E5F9" w14:textId="77777777" w:rsidTr="00542C1B">
        <w:tc>
          <w:tcPr>
            <w:tcW w:w="2942" w:type="dxa"/>
          </w:tcPr>
          <w:p w14:paraId="788595E8"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37D4DB4B"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7BEDA961" w14:textId="77777777" w:rsidR="00542C1B" w:rsidRPr="00542C1B" w:rsidRDefault="00542C1B" w:rsidP="00542C1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Insert reference number</w:t>
            </w:r>
          </w:p>
        </w:tc>
      </w:tr>
      <w:tr w:rsidR="00542C1B" w:rsidRPr="00542C1B" w14:paraId="0F76FFAA" w14:textId="77777777" w:rsidTr="00542C1B">
        <w:tc>
          <w:tcPr>
            <w:tcW w:w="2942" w:type="dxa"/>
          </w:tcPr>
          <w:p w14:paraId="638E657C"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68D832B1"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491D98AD"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r>
      <w:tr w:rsidR="00542C1B" w:rsidRPr="00542C1B" w14:paraId="251DFC2F" w14:textId="77777777" w:rsidTr="00542C1B">
        <w:tc>
          <w:tcPr>
            <w:tcW w:w="2942" w:type="dxa"/>
          </w:tcPr>
          <w:p w14:paraId="633AD5ED"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632DD5A3"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c>
          <w:tcPr>
            <w:tcW w:w="2943" w:type="dxa"/>
          </w:tcPr>
          <w:p w14:paraId="7069C7AC" w14:textId="77777777" w:rsidR="00542C1B" w:rsidRPr="00542C1B" w:rsidRDefault="00542C1B" w:rsidP="00542C1B">
            <w:pPr>
              <w:spacing w:line="240" w:lineRule="auto"/>
              <w:jc w:val="both"/>
              <w:rPr>
                <w:rFonts w:ascii="Times New Roman" w:eastAsia="Times New Roman" w:hAnsi="Times New Roman" w:cs="Times New Roman"/>
                <w:b/>
                <w:bCs/>
                <w:iCs/>
                <w:sz w:val="20"/>
                <w:szCs w:val="20"/>
              </w:rPr>
            </w:pPr>
          </w:p>
        </w:tc>
      </w:tr>
    </w:tbl>
    <w:p w14:paraId="0A6063BB" w14:textId="77777777" w:rsidR="00542C1B" w:rsidRPr="00542C1B" w:rsidRDefault="00542C1B" w:rsidP="00542C1B">
      <w:pPr>
        <w:spacing w:line="360" w:lineRule="auto"/>
        <w:jc w:val="both"/>
        <w:rPr>
          <w:rFonts w:ascii="Times New Roman" w:eastAsia="Times New Roman" w:hAnsi="Times New Roman" w:cs="Times New Roman"/>
          <w:b/>
          <w:bCs/>
          <w:iCs/>
          <w:sz w:val="20"/>
          <w:szCs w:val="20"/>
        </w:rPr>
      </w:pPr>
    </w:p>
    <w:p w14:paraId="2EDEA971" w14:textId="77777777"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77777777" w:rsidR="00542C1B" w:rsidRPr="00542C1B" w:rsidRDefault="00542C1B" w:rsidP="00542C1B">
      <w:pPr>
        <w:spacing w:line="360" w:lineRule="auto"/>
        <w:ind w:firstLine="708"/>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To evaluate the effect of social protests on ED service utilization we used Bayesian structural time series (</w:t>
      </w:r>
      <w:r w:rsidRPr="00542C1B">
        <w:rPr>
          <w:rFonts w:ascii="Times New Roman" w:eastAsia="Times New Roman" w:hAnsi="Times New Roman" w:cs="Times New Roman"/>
          <w:i/>
          <w:sz w:val="20"/>
          <w:szCs w:val="20"/>
        </w:rPr>
        <w:t>BSTS</w:t>
      </w:r>
      <w:r w:rsidRPr="00542C1B">
        <w:rPr>
          <w:rFonts w:ascii="Times New Roman" w:eastAsia="Times New Roman" w:hAnsi="Times New Roman" w:cs="Times New Roman"/>
          <w:iCs/>
          <w:sz w:val="20"/>
          <w:szCs w:val="20"/>
        </w:rPr>
        <w:t xml:space="preserve">) models </w:t>
      </w:r>
      <w:r w:rsidRPr="00542C1B">
        <w:rPr>
          <w:rFonts w:ascii="Times New Roman" w:eastAsia="Times New Roman" w:hAnsi="Times New Roman" w:cs="Times New Roman"/>
          <w:iCs/>
          <w:sz w:val="20"/>
          <w:szCs w:val="20"/>
          <w:highlight w:val="yellow"/>
        </w:rPr>
        <w:t>{Scott, 2014 #7}</w:t>
      </w:r>
      <w:r w:rsidRPr="00542C1B">
        <w:rPr>
          <w:rFonts w:ascii="Times New Roman" w:eastAsia="Times New Roman" w:hAnsi="Times New Roman" w:cs="Times New Roman"/>
          <w:iCs/>
          <w:sz w:val="20"/>
          <w:szCs w:val="20"/>
        </w:rPr>
        <w:t xml:space="preserve"> implemented using the </w:t>
      </w:r>
      <w:proofErr w:type="spellStart"/>
      <w:r w:rsidRPr="00542C1B">
        <w:rPr>
          <w:rFonts w:ascii="Times New Roman" w:eastAsia="Times New Roman" w:hAnsi="Times New Roman" w:cs="Times New Roman"/>
          <w:i/>
          <w:sz w:val="20"/>
          <w:szCs w:val="20"/>
        </w:rPr>
        <w:t>CausalImpact</w:t>
      </w:r>
      <w:proofErr w:type="spellEnd"/>
      <w:r w:rsidRPr="00542C1B">
        <w:rPr>
          <w:rFonts w:ascii="Times New Roman" w:eastAsia="Times New Roman" w:hAnsi="Times New Roman" w:cs="Times New Roman"/>
          <w:i/>
          <w:sz w:val="20"/>
          <w:szCs w:val="20"/>
        </w:rPr>
        <w:t xml:space="preserve"> </w:t>
      </w:r>
      <w:r w:rsidRPr="00542C1B">
        <w:rPr>
          <w:rFonts w:ascii="Times New Roman" w:eastAsia="Times New Roman" w:hAnsi="Times New Roman" w:cs="Times New Roman"/>
          <w:iCs/>
          <w:sz w:val="20"/>
          <w:szCs w:val="20"/>
        </w:rPr>
        <w:t>R package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w:t>
      </w:r>
      <w:proofErr w:type="spellStart"/>
      <w:r w:rsidRPr="00542C1B">
        <w:rPr>
          <w:rFonts w:ascii="Times New Roman" w:eastAsia="Times New Roman" w:hAnsi="Times New Roman" w:cs="Times New Roman"/>
          <w:iCs/>
          <w:sz w:val="20"/>
          <w:szCs w:val="20"/>
          <w:highlight w:val="yellow"/>
        </w:rPr>
        <w:t>Brodersen</w:t>
      </w:r>
      <w:proofErr w:type="spellEnd"/>
      <w:r w:rsidRPr="00542C1B">
        <w:rPr>
          <w:rFonts w:ascii="Times New Roman" w:eastAsia="Times New Roman" w:hAnsi="Times New Roman" w:cs="Times New Roman"/>
          <w:iCs/>
          <w:sz w:val="20"/>
          <w:szCs w:val="20"/>
          <w:highlight w:val="yellow"/>
        </w:rPr>
        <w:t>, 2015 #6}.</w:t>
      </w:r>
      <w:r w:rsidRPr="00542C1B">
        <w:rPr>
          <w:rFonts w:ascii="Times New Roman" w:eastAsia="Times New Roman" w:hAnsi="Times New Roman" w:cs="Times New Roman"/>
          <w:iCs/>
          <w:sz w:val="20"/>
          <w:szCs w:val="20"/>
        </w:rPr>
        <w:t xml:space="preserve"> This approach compares the observed trend of consultations and hospitalizations after the event, with an estimated average trend under </w:t>
      </w:r>
      <w:proofErr w:type="gramStart"/>
      <w:r w:rsidRPr="00542C1B">
        <w:rPr>
          <w:rFonts w:ascii="Times New Roman" w:eastAsia="Times New Roman" w:hAnsi="Times New Roman" w:cs="Times New Roman"/>
          <w:iCs/>
          <w:sz w:val="20"/>
          <w:szCs w:val="20"/>
        </w:rPr>
        <w:t>an</w:t>
      </w:r>
      <w:proofErr w:type="gramEnd"/>
      <w:r w:rsidRPr="00542C1B">
        <w:rPr>
          <w:rFonts w:ascii="Times New Roman" w:eastAsia="Times New Roman" w:hAnsi="Times New Roman" w:cs="Times New Roman"/>
          <w:iCs/>
          <w:sz w:val="20"/>
          <w:szCs w:val="20"/>
        </w:rPr>
        <w:t xml:space="preserve"> hypothetical scenario in which social protests did not occur (i.e., the counterfactual)</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{Pinilla, 2018 #4}</w:t>
      </w:r>
      <w:r w:rsidRPr="00542C1B">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542C1B" w:rsidRDefault="00542C1B" w:rsidP="00542C1B">
      <w:pPr>
        <w:spacing w:line="360" w:lineRule="auto"/>
        <w:jc w:val="both"/>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2E4E561B" w14:textId="77777777" w:rsidR="00542C1B" w:rsidRPr="00542C1B" w:rsidRDefault="00542C1B" w:rsidP="00542C1B">
      <w:pPr>
        <w:spacing w:line="360" w:lineRule="auto"/>
        <w:jc w:val="both"/>
        <w:rPr>
          <w:rFonts w:ascii="Times New Roman" w:eastAsia="Times New Roman" w:hAnsi="Times New Roman" w:cs="Times New Roman"/>
          <w:iCs/>
          <w:sz w:val="20"/>
          <w:szCs w:val="20"/>
          <w:lang w:val="fr-FR"/>
        </w:rPr>
      </w:pPr>
    </w:p>
    <w:p w14:paraId="0E4A13EB"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capture the dynamics of the time series </w:t>
      </w:r>
      <w:r w:rsidRPr="00542C1B">
        <w:rPr>
          <w:rFonts w:ascii="Times New Roman" w:eastAsia="Times New Roman" w:hAnsi="Times New Roman" w:cs="Times New Roman"/>
          <w:iCs/>
          <w:sz w:val="20"/>
          <w:szCs w:val="20"/>
          <w:highlight w:val="yellow"/>
        </w:rPr>
        <w:t>{Harvey, 2007 #1</w:t>
      </w:r>
      <w:r w:rsidRPr="00542C1B">
        <w:rPr>
          <w:rFonts w:ascii="Times New Roman" w:eastAsia="Times New Roman" w:hAnsi="Times New Roman" w:cs="Times New Roman"/>
          <w:iCs/>
          <w:sz w:val="20"/>
          <w:szCs w:val="20"/>
        </w:rPr>
        <w:t>}. The first two components describe how the hospitalizations and consultations are related to underlying states and how the latent state changes over time. It is referred to as the unobserved trend</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rPr>
        <w:t>inherent in time-series data. It is associated with a probability distribution of the noise and random disturbances, which allows to incorporate empirical priors on the parameter and transitory or cyclic components able to approximate volatility in the series. The third components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fourth component relates to other contemporaneous time-series that can be included as covariates via linear regression. We used as a covariate</w:t>
      </w:r>
      <w:commentRangeStart w:id="0"/>
      <w:commentRangeEnd w:id="0"/>
      <w:r w:rsidRPr="00542C1B">
        <w:rPr>
          <w:rStyle w:val="Refdecomentario"/>
          <w:rFonts w:ascii="Times New Roman" w:hAnsi="Times New Roman" w:cs="Times New Roman"/>
          <w:sz w:val="20"/>
          <w:szCs w:val="20"/>
        </w:rPr>
        <w:commentReference w:id="0"/>
      </w:r>
      <w:r w:rsidRPr="00542C1B">
        <w:rPr>
          <w:rFonts w:ascii="Times New Roman" w:eastAsia="Times New Roman" w:hAnsi="Times New Roman" w:cs="Times New Roman"/>
          <w:iCs/>
          <w:sz w:val="20"/>
          <w:szCs w:val="20"/>
        </w:rPr>
        <w:t xml:space="preserve"> the circulatory hospitalizations when the outcome were hospitalizations,</w:t>
      </w:r>
      <w:r w:rsidRPr="00542C1B">
        <w:rPr>
          <w:rFonts w:ascii="Times New Roman" w:eastAsia="Times New Roman" w:hAnsi="Times New Roman" w:cs="Times New Roman"/>
          <w:b/>
          <w:bCs/>
          <w:iCs/>
          <w:sz w:val="20"/>
          <w:szCs w:val="20"/>
        </w:rPr>
        <w:t xml:space="preserve"> </w:t>
      </w:r>
      <w:r w:rsidRPr="00542C1B">
        <w:rPr>
          <w:rFonts w:ascii="Times New Roman" w:eastAsia="Times New Roman" w:hAnsi="Times New Roman" w:cs="Times New Roman"/>
          <w:iCs/>
          <w:sz w:val="20"/>
          <w:szCs w:val="20"/>
        </w:rPr>
        <w:t xml:space="preserve">and consultations series when the </w:t>
      </w:r>
      <w:r w:rsidRPr="00542C1B">
        <w:rPr>
          <w:rFonts w:ascii="Times New Roman" w:eastAsia="Times New Roman" w:hAnsi="Times New Roman" w:cs="Times New Roman"/>
          <w:iCs/>
          <w:sz w:val="20"/>
          <w:szCs w:val="20"/>
        </w:rPr>
        <w:lastRenderedPageBreak/>
        <w:t xml:space="preserve">outcome were consultations. Due to the length of the time-series, </w:t>
      </w:r>
      <w:commentRangeStart w:id="1"/>
      <w:commentRangeStart w:id="2"/>
      <w:r w:rsidRPr="00542C1B">
        <w:rPr>
          <w:rFonts w:ascii="Times New Roman" w:eastAsia="Times New Roman" w:hAnsi="Times New Roman" w:cs="Times New Roman"/>
          <w:iCs/>
          <w:sz w:val="20"/>
          <w:szCs w:val="20"/>
        </w:rPr>
        <w:t>we used a dynamic framework which included the coefficients of time-varying regression, as a way to relax the assumption of stability of the model structure, and in which coefficients change over time according to a random walk process</w:t>
      </w:r>
      <w:r w:rsidRPr="00542C1B">
        <w:rPr>
          <w:rFonts w:ascii="Times New Roman" w:eastAsia="Times New Roman" w:hAnsi="Times New Roman" w:cs="Times New Roman"/>
          <w:iCs/>
          <w:sz w:val="20"/>
          <w:szCs w:val="20"/>
          <w:highlight w:val="yellow"/>
        </w:rPr>
        <w:t>{</w:t>
      </w:r>
      <w:proofErr w:type="spellStart"/>
      <w:r w:rsidRPr="00542C1B">
        <w:rPr>
          <w:rFonts w:ascii="Times New Roman" w:eastAsia="Times New Roman" w:hAnsi="Times New Roman" w:cs="Times New Roman"/>
          <w:iCs/>
          <w:sz w:val="20"/>
          <w:szCs w:val="20"/>
        </w:rPr>
        <w:t>Brodersen</w:t>
      </w:r>
      <w:proofErr w:type="spellEnd"/>
      <w:r w:rsidRPr="00542C1B">
        <w:rPr>
          <w:rFonts w:ascii="Times New Roman" w:eastAsia="Times New Roman" w:hAnsi="Times New Roman" w:cs="Times New Roman"/>
          <w:iCs/>
          <w:sz w:val="20"/>
          <w:szCs w:val="20"/>
        </w:rPr>
        <w:t>, 2015 #6</w:t>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w:t>
      </w:r>
      <w:commentRangeEnd w:id="1"/>
      <w:r w:rsidRPr="00542C1B">
        <w:rPr>
          <w:rStyle w:val="Refdecomentario"/>
          <w:rFonts w:ascii="Times New Roman" w:hAnsi="Times New Roman" w:cs="Times New Roman"/>
          <w:sz w:val="20"/>
          <w:szCs w:val="20"/>
        </w:rPr>
        <w:commentReference w:id="1"/>
      </w:r>
      <w:commentRangeEnd w:id="2"/>
      <w:r w:rsidRPr="00542C1B">
        <w:rPr>
          <w:rStyle w:val="Refdecomentario"/>
          <w:rFonts w:ascii="Times New Roman" w:hAnsi="Times New Roman" w:cs="Times New Roman"/>
          <w:sz w:val="20"/>
          <w:szCs w:val="20"/>
        </w:rPr>
        <w:commentReference w:id="2"/>
      </w:r>
      <w:r w:rsidRPr="00542C1B">
        <w:rPr>
          <w:rFonts w:ascii="Times New Roman" w:eastAsia="Times New Roman" w:hAnsi="Times New Roman" w:cs="Times New Roman"/>
          <w:iCs/>
          <w:sz w:val="20"/>
          <w:szCs w:val="20"/>
        </w:rPr>
        <w:t xml:space="preserve">  </w:t>
      </w:r>
    </w:p>
    <w:p w14:paraId="4AEAC422"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different trend drifts such as a random-walk, a semi-local linear trend or a local linear trend, or the inclusion of cyclicity of autoregressive terms. We selected the model with lower cumulative absolute one step ahead errors in the pre-intervention period for each outcome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{Koopman, 2000 #15}</w:t>
      </w:r>
      <w:r w:rsidRPr="00542C1B">
        <w:rPr>
          <w:rFonts w:ascii="Times New Roman" w:eastAsia="Times New Roman" w:hAnsi="Times New Roman" w:cs="Times New Roman"/>
          <w:iCs/>
          <w:sz w:val="20"/>
          <w:szCs w:val="20"/>
        </w:rPr>
        <w:t xml:space="preserve">. The models that had lower errors assumed studentized distributions, which are robust against </w:t>
      </w:r>
      <w:proofErr w:type="spellStart"/>
      <w:r w:rsidRPr="00542C1B">
        <w:rPr>
          <w:rFonts w:ascii="Times New Roman" w:eastAsia="Times New Roman" w:hAnsi="Times New Roman" w:cs="Times New Roman"/>
          <w:iCs/>
          <w:sz w:val="20"/>
          <w:szCs w:val="20"/>
        </w:rPr>
        <w:t>anomalities</w:t>
      </w:r>
      <w:proofErr w:type="spellEnd"/>
      <w:r w:rsidRPr="00542C1B">
        <w:rPr>
          <w:rFonts w:ascii="Times New Roman" w:eastAsia="Times New Roman" w:hAnsi="Times New Roman" w:cs="Times New Roman"/>
          <w:iCs/>
          <w:sz w:val="20"/>
          <w:szCs w:val="20"/>
        </w:rPr>
        <w:t xml:space="preserve"> such as </w:t>
      </w:r>
      <w:proofErr w:type="gramStart"/>
      <w:r w:rsidRPr="00542C1B">
        <w:rPr>
          <w:rFonts w:ascii="Times New Roman" w:eastAsia="Times New Roman" w:hAnsi="Times New Roman" w:cs="Times New Roman"/>
          <w:iCs/>
          <w:sz w:val="20"/>
          <w:szCs w:val="20"/>
        </w:rPr>
        <w:t>outliers .</w:t>
      </w:r>
      <w:proofErr w:type="gramEnd"/>
      <w:r w:rsidRPr="00542C1B">
        <w:rPr>
          <w:rFonts w:ascii="Times New Roman" w:eastAsia="Times New Roman" w:hAnsi="Times New Roman" w:cs="Times New Roman"/>
          <w:iCs/>
          <w:sz w:val="20"/>
          <w:szCs w:val="20"/>
        </w:rPr>
        <w:t xml:space="preserve"> This comparison allowed us to choose the specified structure with the greater accuracy to match actual trends before social </w:t>
      </w:r>
      <w:proofErr w:type="gramStart"/>
      <w:r w:rsidRPr="00542C1B">
        <w:rPr>
          <w:rFonts w:ascii="Times New Roman" w:eastAsia="Times New Roman" w:hAnsi="Times New Roman" w:cs="Times New Roman"/>
          <w:iCs/>
          <w:sz w:val="20"/>
          <w:szCs w:val="20"/>
        </w:rPr>
        <w:t>protests  in</w:t>
      </w:r>
      <w:proofErr w:type="gramEnd"/>
      <w:r w:rsidRPr="00542C1B">
        <w:rPr>
          <w:rFonts w:ascii="Times New Roman" w:eastAsia="Times New Roman" w:hAnsi="Times New Roman" w:cs="Times New Roman"/>
          <w:iCs/>
          <w:sz w:val="20"/>
          <w:szCs w:val="20"/>
        </w:rPr>
        <w:t xml:space="preserve"> order to strengthen causal inference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{Scott, 2020 #11}</w:t>
      </w:r>
      <w:r w:rsidRPr="00542C1B">
        <w:rPr>
          <w:rFonts w:ascii="Times New Roman" w:eastAsia="Times New Roman" w:hAnsi="Times New Roman" w:cs="Times New Roman"/>
          <w:iCs/>
          <w:sz w:val="20"/>
          <w:szCs w:val="20"/>
        </w:rPr>
        <w:t>.</w:t>
      </w:r>
    </w:p>
    <w:p w14:paraId="2B733B2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 xml:space="preserve">Gibbs sampling was performed to produce 30,000 Markov Chain Monte Carlo (MCMC) iterations following a 10% burn-in period. The point effect of social protest and its 95% credible interval was generated as the difference between the estimated forecasts and the observed trend across the each iteration </w:t>
      </w:r>
      <w:r w:rsidRPr="00542C1B">
        <w:rPr>
          <w:rFonts w:ascii="Times New Roman" w:eastAsia="Times New Roman" w:hAnsi="Times New Roman" w:cs="Times New Roman"/>
          <w:iCs/>
          <w:sz w:val="20"/>
          <w:szCs w:val="20"/>
          <w:highlight w:val="yellow"/>
        </w:rPr>
        <w:t>{Fragoso, 2018 #</w:t>
      </w:r>
      <w:proofErr w:type="gramStart"/>
      <w:r w:rsidRPr="00542C1B">
        <w:rPr>
          <w:rFonts w:ascii="Times New Roman" w:eastAsia="Times New Roman" w:hAnsi="Times New Roman" w:cs="Times New Roman"/>
          <w:iCs/>
          <w:sz w:val="20"/>
          <w:szCs w:val="20"/>
          <w:highlight w:val="yellow"/>
        </w:rPr>
        <w:t>2}{</w:t>
      </w:r>
      <w:proofErr w:type="gramEnd"/>
      <w:r w:rsidRPr="00542C1B">
        <w:rPr>
          <w:rFonts w:ascii="Times New Roman" w:eastAsia="Times New Roman" w:hAnsi="Times New Roman" w:cs="Times New Roman"/>
          <w:iCs/>
          <w:sz w:val="20"/>
          <w:szCs w:val="20"/>
          <w:highlight w:val="yellow"/>
        </w:rPr>
        <w:t>Scott, 2014 #7}{Kruschke, 2018 #10}.</w:t>
      </w:r>
      <w:r w:rsidRPr="00542C1B">
        <w:rPr>
          <w:rFonts w:ascii="Times New Roman" w:eastAsia="Times New Roman" w:hAnsi="Times New Roman" w:cs="Times New Roman"/>
          <w:iCs/>
          <w:sz w:val="20"/>
          <w:szCs w:val="20"/>
        </w:rPr>
        <w:t xml:space="preserve"> </w:t>
      </w:r>
    </w:p>
    <w:p w14:paraId="7EB1D342"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070287B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commentRangeStart w:id="3"/>
      <w:commentRangeStart w:id="4"/>
      <w:commentRangeStart w:id="5"/>
      <w:r w:rsidRPr="00542C1B">
        <w:rPr>
          <w:rFonts w:ascii="Times New Roman" w:eastAsia="Times New Roman" w:hAnsi="Times New Roman" w:cs="Times New Roman"/>
          <w:b/>
          <w:bCs/>
          <w:i/>
          <w:sz w:val="20"/>
          <w:szCs w:val="20"/>
        </w:rPr>
        <w:t>Outcome Validity Testing</w:t>
      </w:r>
    </w:p>
    <w:p w14:paraId="071DFB69"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The validity of results was tested analytically through mean comparison analyses for pre-exposure data and visually by observing the difference between actual and predicted cases in seven-day moving average plots during the pre-exposure time frame.</w:t>
      </w:r>
      <w:commentRangeEnd w:id="3"/>
      <w:r w:rsidRPr="00542C1B">
        <w:rPr>
          <w:rStyle w:val="Refdecomentario"/>
          <w:rFonts w:ascii="Times New Roman" w:hAnsi="Times New Roman" w:cs="Times New Roman"/>
          <w:sz w:val="20"/>
          <w:szCs w:val="20"/>
        </w:rPr>
        <w:commentReference w:id="3"/>
      </w:r>
      <w:commentRangeEnd w:id="4"/>
      <w:r w:rsidRPr="00542C1B">
        <w:rPr>
          <w:rStyle w:val="Refdecomentario"/>
          <w:rFonts w:ascii="Times New Roman" w:hAnsi="Times New Roman" w:cs="Times New Roman"/>
          <w:sz w:val="20"/>
          <w:szCs w:val="20"/>
        </w:rPr>
        <w:commentReference w:id="4"/>
      </w:r>
      <w:commentRangeEnd w:id="5"/>
      <w:r w:rsidRPr="00542C1B">
        <w:rPr>
          <w:rStyle w:val="Refdecomentario"/>
          <w:rFonts w:ascii="Times New Roman" w:hAnsi="Times New Roman" w:cs="Times New Roman"/>
          <w:sz w:val="20"/>
          <w:szCs w:val="20"/>
        </w:rPr>
        <w:commentReference w:id="5"/>
      </w:r>
    </w:p>
    <w:p w14:paraId="2442A2E5"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sz w:val="20"/>
          <w:szCs w:val="20"/>
        </w:rPr>
        <w:t xml:space="preserve">We used historical controls to contrast observed ED consultation and hospitalizations in the exposure period, that is, we used the same outcomes in the same hospitals, for the same time of the year, but in a different period (2015-2018). </w:t>
      </w:r>
    </w:p>
    <w:p w14:paraId="2B6FE410" w14:textId="77777777" w:rsidR="00E47E7B" w:rsidRPr="00542C1B" w:rsidRDefault="00542C1B" w:rsidP="00542C1B">
      <w:pPr>
        <w:spacing w:line="360" w:lineRule="auto"/>
        <w:rPr>
          <w:rFonts w:ascii="Times New Roman" w:hAnsi="Times New Roman" w:cs="Times New Roman"/>
          <w:sz w:val="20"/>
          <w:szCs w:val="20"/>
        </w:rPr>
      </w:pPr>
    </w:p>
    <w:p w14:paraId="7E8D0E7A" w14:textId="77777777" w:rsidR="00542C1B" w:rsidRPr="00542C1B" w:rsidRDefault="00542C1B">
      <w:pPr>
        <w:spacing w:line="360" w:lineRule="auto"/>
        <w:rPr>
          <w:rFonts w:ascii="Times New Roman" w:hAnsi="Times New Roman" w:cs="Times New Roman"/>
          <w:b/>
          <w:bCs/>
          <w:sz w:val="20"/>
          <w:szCs w:val="20"/>
        </w:rPr>
      </w:pPr>
      <w:r w:rsidRPr="00542C1B">
        <w:rPr>
          <w:rFonts w:ascii="Times New Roman" w:hAnsi="Times New Roman" w:cs="Times New Roman"/>
          <w:b/>
          <w:bCs/>
          <w:sz w:val="20"/>
          <w:szCs w:val="20"/>
        </w:rPr>
        <w:t>References</w:t>
      </w:r>
    </w:p>
    <w:sectPr w:rsidR="00542C1B"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varo Castillo Carniglia | U.Mayor" w:date="2020-10-29T09:27:00Z" w:initials="ACC|U">
    <w:p w14:paraId="6444897E" w14:textId="77777777" w:rsidR="00542C1B" w:rsidRPr="004129C6" w:rsidRDefault="00542C1B" w:rsidP="00542C1B">
      <w:pPr>
        <w:pStyle w:val="Textocomentario"/>
        <w:rPr>
          <w:lang w:val="es-CL"/>
        </w:rPr>
      </w:pPr>
      <w:r>
        <w:rPr>
          <w:rStyle w:val="Refdecomentario"/>
        </w:rPr>
        <w:annotationRef/>
      </w:r>
      <w:r w:rsidRPr="004129C6">
        <w:rPr>
          <w:lang w:val="es-CL"/>
        </w:rPr>
        <w:t>Explain why</w:t>
      </w:r>
    </w:p>
  </w:comment>
  <w:comment w:id="1" w:author="Alvaro Castillo Carniglia | U.Mayor" w:date="2020-10-29T09:27:00Z" w:initials="ACC|U">
    <w:p w14:paraId="345BA63A" w14:textId="77777777" w:rsidR="00542C1B" w:rsidRDefault="00542C1B" w:rsidP="00542C1B">
      <w:pPr>
        <w:pStyle w:val="Textocomentario"/>
      </w:pPr>
      <w:r>
        <w:rPr>
          <w:rStyle w:val="Refdecomentario"/>
        </w:rPr>
        <w:annotationRef/>
      </w:r>
      <w:r>
        <w:t>What is this and why we end up using dynamic framework</w:t>
      </w:r>
    </w:p>
  </w:comment>
  <w:comment w:id="2" w:author="Andrés González Santa Cruz" w:date="2020-10-29T14:35:00Z" w:initials="AGSC">
    <w:p w14:paraId="3B04D7C9" w14:textId="77777777" w:rsidR="00542C1B" w:rsidRDefault="00542C1B" w:rsidP="00542C1B">
      <w:pPr>
        <w:pStyle w:val="Textocomentario"/>
      </w:pPr>
      <w:r>
        <w:rPr>
          <w:rStyle w:val="Refdecomentario"/>
        </w:rPr>
        <w:annotationRef/>
      </w:r>
      <w:r>
        <w:t>They are used mainly for regressions with a small number of predictor variables</w:t>
      </w:r>
    </w:p>
    <w:p w14:paraId="43D71642" w14:textId="77777777" w:rsidR="00542C1B" w:rsidRDefault="00542C1B" w:rsidP="00542C1B">
      <w:pPr>
        <w:pStyle w:val="Textocomentario"/>
        <w:rPr>
          <w:b/>
          <w:bCs/>
        </w:rPr>
      </w:pPr>
      <w:hyperlink r:id="rId1" w:history="1">
        <w:r w:rsidRPr="000C52D9">
          <w:rPr>
            <w:rStyle w:val="Hipervnculo"/>
            <w:b/>
            <w:bCs/>
          </w:rPr>
          <w:t>http://www.unofficialgoogledatascience.com/2017/07/fitting-bayesian-structural-time-series.html</w:t>
        </w:r>
      </w:hyperlink>
    </w:p>
    <w:p w14:paraId="2D7DAC75" w14:textId="77777777" w:rsidR="00542C1B" w:rsidRDefault="00542C1B" w:rsidP="00542C1B">
      <w:pPr>
        <w:pStyle w:val="Textocomentario"/>
        <w:rPr>
          <w:b/>
          <w:bCs/>
        </w:rPr>
      </w:pPr>
    </w:p>
    <w:p w14:paraId="494DCD1C" w14:textId="77777777" w:rsidR="00542C1B" w:rsidRPr="00560BCB" w:rsidRDefault="00542C1B"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3" w:author="Alvaro Castillo Carniglia | U.Mayor" w:date="2020-10-29T09:59:00Z" w:initials="ACC|U">
    <w:p w14:paraId="48C28563" w14:textId="77777777" w:rsidR="00542C1B" w:rsidRDefault="00542C1B" w:rsidP="00542C1B">
      <w:pPr>
        <w:pStyle w:val="Textocomentario"/>
      </w:pPr>
      <w:r>
        <w:rPr>
          <w:rStyle w:val="Refdecomentario"/>
        </w:rPr>
        <w:annotationRef/>
      </w:r>
      <w:r>
        <w:t xml:space="preserve">Not sure what </w:t>
      </w:r>
      <w:proofErr w:type="gramStart"/>
      <w:r>
        <w:t>this  is</w:t>
      </w:r>
      <w:proofErr w:type="gramEnd"/>
    </w:p>
  </w:comment>
  <w:comment w:id="4" w:author="Andrés González Santa Cruz" w:date="2020-10-30T09:32:00Z" w:initials="AGSC">
    <w:p w14:paraId="6983F51D" w14:textId="77777777" w:rsidR="00542C1B" w:rsidRDefault="00542C1B" w:rsidP="00542C1B">
      <w:pPr>
        <w:pStyle w:val="Textocomentario"/>
      </w:pPr>
      <w:r w:rsidRPr="00835D22">
        <w:rPr>
          <w:rStyle w:val="Refdecomentario"/>
          <w:highlight w:val="yellow"/>
        </w:rPr>
        <w:annotationRef/>
      </w:r>
      <w:r w:rsidRPr="00835D22">
        <w:rPr>
          <w:highlight w:val="yellow"/>
        </w:rPr>
        <w:t xml:space="preserve">Me neither. I don’t know what </w:t>
      </w:r>
      <w:proofErr w:type="gramStart"/>
      <w:r w:rsidRPr="00835D22">
        <w:rPr>
          <w:highlight w:val="yellow"/>
        </w:rPr>
        <w:t>would be our sensitivity analysis</w:t>
      </w:r>
      <w:proofErr w:type="gramEnd"/>
      <w:r>
        <w:t xml:space="preserve">. I proved with </w:t>
      </w:r>
      <w:proofErr w:type="spellStart"/>
      <w:r>
        <w:t>DiD</w:t>
      </w:r>
      <w:proofErr w:type="spellEnd"/>
      <w:r>
        <w:t xml:space="preserve"> and ITS on historical data and had non-conclusive results. I’m still searching, I will try with the Prophet models made by Facebook</w:t>
      </w:r>
    </w:p>
  </w:comment>
  <w:comment w:id="5" w:author="Andrés González Santa Cruz" w:date="2020-11-02T15:07:00Z" w:initials="AGSC">
    <w:p w14:paraId="065F44B0" w14:textId="77777777" w:rsidR="00542C1B" w:rsidRDefault="00542C1B" w:rsidP="00542C1B">
      <w:pPr>
        <w:pStyle w:val="Textocomentario"/>
      </w:pPr>
      <w:r>
        <w:rPr>
          <w:rStyle w:val="Refdecomentario"/>
        </w:rPr>
        <w:annotationRef/>
      </w:r>
      <w:r>
        <w:rPr>
          <w:rFonts w:cstheme="minorHAnsi"/>
          <w:b/>
          <w:bCs/>
          <w:shd w:val="clear" w:color="auto" w:fill="FFFFFF"/>
        </w:rPr>
        <w:t xml:space="preserve">Another option is to run </w:t>
      </w:r>
      <w:r w:rsidRPr="00DE135E">
        <w:rPr>
          <w:rFonts w:cstheme="minorHAnsi"/>
          <w:b/>
          <w:bCs/>
          <w:shd w:val="clear" w:color="auto" w:fill="FFFFFF"/>
        </w:rPr>
        <w:t>temporal falsification tests</w:t>
      </w:r>
      <w:r w:rsidRPr="00DE135E">
        <w:rPr>
          <w:rFonts w:cstheme="minorHAnsi"/>
          <w:shd w:val="clear" w:color="auto" w:fill="FFFFFF"/>
        </w:rPr>
        <w:t xml:space="preserve"> </w:t>
      </w:r>
      <w:r>
        <w:rPr>
          <w:rFonts w:cstheme="minorHAnsi"/>
          <w:shd w:val="clear" w:color="auto" w:fill="FFFFFF"/>
        </w:rPr>
        <w:t xml:space="preserve">with </w:t>
      </w:r>
      <w:r w:rsidRPr="00DE135E">
        <w:rPr>
          <w:rFonts w:cstheme="minorHAnsi"/>
          <w:shd w:val="clear" w:color="auto" w:fill="FFFFFF"/>
        </w:rPr>
        <w:t xml:space="preserve">different dates </w:t>
      </w:r>
      <w:r>
        <w:rPr>
          <w:rFonts w:cstheme="minorHAnsi"/>
          <w:shd w:val="clear" w:color="auto" w:fill="FFFFFF"/>
        </w:rPr>
        <w:t>of intervention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4897E" w15:done="0"/>
  <w15:commentEx w15:paraId="345BA63A" w15:done="0"/>
  <w15:commentEx w15:paraId="494DCD1C" w15:paraIdParent="345BA63A" w15:done="0"/>
  <w15:commentEx w15:paraId="48C28563" w15:done="0"/>
  <w15:commentEx w15:paraId="6983F51D" w15:paraIdParent="48C28563" w15:done="0"/>
  <w15:commentEx w15:paraId="065F44B0" w15:paraIdParent="48C28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EBB" w16cex:dateUtc="2020-10-29T12:27:00Z"/>
  <w16cex:commentExtensible w16cex:durableId="2345098D" w16cex:dateUtc="2020-10-29T12:27:00Z"/>
  <w16cex:commentExtensible w16cex:durableId="234551B0" w16cex:dateUtc="2020-10-29T17:35:00Z"/>
  <w16cex:commentExtensible w16cex:durableId="23451117" w16cex:dateUtc="2020-10-29T12:59:00Z"/>
  <w16cex:commentExtensible w16cex:durableId="23465C30" w16cex:dateUtc="2020-10-30T12:32:00Z"/>
  <w16cex:commentExtensible w16cex:durableId="234A9F38" w16cex:dateUtc="2020-11-02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4897E" w16cid:durableId="234A9EBB"/>
  <w16cid:commentId w16cid:paraId="345BA63A" w16cid:durableId="2345098D"/>
  <w16cid:commentId w16cid:paraId="494DCD1C" w16cid:durableId="234551B0"/>
  <w16cid:commentId w16cid:paraId="48C28563" w16cid:durableId="23451117"/>
  <w16cid:commentId w16cid:paraId="6983F51D" w16cid:durableId="23465C30"/>
  <w16cid:commentId w16cid:paraId="065F44B0" w16cid:durableId="234A9F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varo Castillo Carniglia | U.Mayor">
    <w15:presenceInfo w15:providerId="AD" w15:userId="S::alvaro.castilloc@umayor.cl::9e1dbde5-be20-44f3-bdb5-367d2f6ece4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1B"/>
    <w:rsid w:val="00050DAF"/>
    <w:rsid w:val="0020125B"/>
    <w:rsid w:val="00542C1B"/>
    <w:rsid w:val="005B2321"/>
    <w:rsid w:val="00954FA9"/>
    <w:rsid w:val="00CF2F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1B"/>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692</Words>
  <Characters>3812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Abraham Isaac Jacob Gajardo Cortez (masterin)</cp:lastModifiedBy>
  <cp:revision>1</cp:revision>
  <dcterms:created xsi:type="dcterms:W3CDTF">2020-12-01T20:33:00Z</dcterms:created>
  <dcterms:modified xsi:type="dcterms:W3CDTF">2020-12-01T20:43:00Z</dcterms:modified>
</cp:coreProperties>
</file>