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67DDC" w14:textId="77777777" w:rsidR="001D2DAE" w:rsidRDefault="001D2DAE">
      <w:r>
        <w:t xml:space="preserve">Data sharing From September 21, 2020, all submitted research Articles must contain a data sharing statement, to be included at the end of the manuscript. </w:t>
      </w:r>
    </w:p>
    <w:p w14:paraId="74D49B4E" w14:textId="77777777" w:rsidR="001D2DAE" w:rsidRDefault="001D2DAE">
      <w:r>
        <w:t xml:space="preserve">Data sharing statements must include: </w:t>
      </w:r>
    </w:p>
    <w:p w14:paraId="7096A555" w14:textId="492E567B" w:rsidR="001D2DAE" w:rsidRDefault="001D2DAE" w:rsidP="001D2DAE">
      <w:pPr>
        <w:pStyle w:val="Prrafodelista"/>
        <w:numPr>
          <w:ilvl w:val="0"/>
          <w:numId w:val="2"/>
        </w:numPr>
      </w:pPr>
      <w:r>
        <w:t>Whether data collected for the study, including individual participant data and a data dictionary defining each field in the set, will be made available to others (“undecided” is not an acceptable answer</w:t>
      </w:r>
      <w:proofErr w:type="gramStart"/>
      <w:r>
        <w:t>);</w:t>
      </w:r>
      <w:proofErr w:type="gramEnd"/>
      <w:r>
        <w:t xml:space="preserve"> </w:t>
      </w:r>
    </w:p>
    <w:p w14:paraId="7CAA634E" w14:textId="3650CE10" w:rsidR="001D2DAE" w:rsidRDefault="001D2DAE" w:rsidP="001D2DAE">
      <w:pPr>
        <w:pStyle w:val="Prrafodelista"/>
        <w:numPr>
          <w:ilvl w:val="0"/>
          <w:numId w:val="2"/>
        </w:numPr>
      </w:pPr>
      <w:r>
        <w:t>What data will be made available (deidentified participant data, participant data with identifiers, data dictionary, or other specified data set</w:t>
      </w:r>
      <w:proofErr w:type="gramStart"/>
      <w:r>
        <w:t>);</w:t>
      </w:r>
      <w:proofErr w:type="gramEnd"/>
      <w:r>
        <w:t xml:space="preserve"> </w:t>
      </w:r>
    </w:p>
    <w:p w14:paraId="2440EBAD" w14:textId="4641A236" w:rsidR="001D2DAE" w:rsidRDefault="001D2DAE" w:rsidP="001D2DAE">
      <w:pPr>
        <w:pStyle w:val="Prrafodelista"/>
        <w:numPr>
          <w:ilvl w:val="0"/>
          <w:numId w:val="2"/>
        </w:numPr>
      </w:pPr>
      <w:r>
        <w:t>Whether additional, related documents will be available (</w:t>
      </w:r>
      <w:r w:rsidR="00C717C2">
        <w:t>e.g.</w:t>
      </w:r>
      <w:r>
        <w:t>, study protocol, statistical analysis plan, informed consent form</w:t>
      </w:r>
      <w:proofErr w:type="gramStart"/>
      <w:r>
        <w:t>);</w:t>
      </w:r>
      <w:proofErr w:type="gramEnd"/>
      <w:r>
        <w:t xml:space="preserve"> </w:t>
      </w:r>
    </w:p>
    <w:p w14:paraId="7063E1C6" w14:textId="647DEF87" w:rsidR="001D2DAE" w:rsidRDefault="001D2DAE" w:rsidP="001D2DAE">
      <w:pPr>
        <w:pStyle w:val="Prrafodelista"/>
        <w:numPr>
          <w:ilvl w:val="0"/>
          <w:numId w:val="2"/>
        </w:numPr>
      </w:pPr>
      <w:r>
        <w:t>When these data will be available (beginning and end date, or “with publication”, as applicable</w:t>
      </w:r>
      <w:proofErr w:type="gramStart"/>
      <w:r>
        <w:t>);</w:t>
      </w:r>
      <w:proofErr w:type="gramEnd"/>
      <w:r>
        <w:t xml:space="preserve"> </w:t>
      </w:r>
    </w:p>
    <w:p w14:paraId="28EDF72C" w14:textId="3432F63D" w:rsidR="001D2DAE" w:rsidRDefault="001D2DAE" w:rsidP="001D2DAE">
      <w:pPr>
        <w:pStyle w:val="Prrafodelista"/>
        <w:numPr>
          <w:ilvl w:val="0"/>
          <w:numId w:val="2"/>
        </w:numPr>
      </w:pPr>
      <w:r>
        <w:t>Where the data will be made available (including complete URLs or email addresses if relevant</w:t>
      </w:r>
      <w:proofErr w:type="gramStart"/>
      <w:r>
        <w:t>);</w:t>
      </w:r>
      <w:proofErr w:type="gramEnd"/>
      <w:r>
        <w:t xml:space="preserve"> </w:t>
      </w:r>
    </w:p>
    <w:p w14:paraId="6DCD1C7D" w14:textId="2212BCAB" w:rsidR="001D2DAE" w:rsidRDefault="001D2DAE" w:rsidP="001D2DAE">
      <w:pPr>
        <w:pStyle w:val="Prrafodelista"/>
        <w:numPr>
          <w:ilvl w:val="0"/>
          <w:numId w:val="2"/>
        </w:numPr>
      </w:pPr>
      <w:r>
        <w:t xml:space="preserve">By what access criteria data will be </w:t>
      </w:r>
      <w:proofErr w:type="gramStart"/>
      <w:r>
        <w:t>shared</w:t>
      </w:r>
      <w:r w:rsidR="005A2A49">
        <w:t xml:space="preserve"> </w:t>
      </w:r>
      <w:r>
        <w:t xml:space="preserve"> (</w:t>
      </w:r>
      <w:proofErr w:type="gramEnd"/>
      <w:r>
        <w:t xml:space="preserve">including with whom, for what types of analyses, by what mechanism – </w:t>
      </w:r>
      <w:proofErr w:type="spellStart"/>
      <w:r>
        <w:t>eg</w:t>
      </w:r>
      <w:proofErr w:type="spellEnd"/>
      <w:r>
        <w:t>, with or without investigator support, after approval of a proposal, with a signed data access agreement - or any additional restrictions).</w:t>
      </w:r>
    </w:p>
    <w:p w14:paraId="2FC8CA60" w14:textId="77777777" w:rsidR="001D2DAE" w:rsidRDefault="001D2DAE">
      <w:r>
        <w:t xml:space="preserve"> See table for examples. Clinical trials that begin enrolling participants on or after Jan 1, 2019, must include a data sharing plan in the trial’s registration.</w:t>
      </w:r>
    </w:p>
    <w:p w14:paraId="791B0A40" w14:textId="16C1DD17" w:rsidR="003A4008" w:rsidRDefault="001D2DAE">
      <w:r>
        <w:t xml:space="preserve">If the data sharing plan changes after registration, this should be reflected in the statement submitted and </w:t>
      </w:r>
      <w:r w:rsidR="00C717C2">
        <w:t>published and</w:t>
      </w:r>
      <w:r>
        <w:t xml:space="preserve"> updated in the registry record. Mendeley Data is a secure online repository for research data, permitting archiving of any file type and assigning a permanent and unique digital object identifier (DOI) so that the files can be easily referenced. If authors wish to share their supporting data, and have not already made alternative arrangements, a Mendeley DOI can be referred to in the data sharing statement</w:t>
      </w:r>
    </w:p>
    <w:p w14:paraId="7216E1C2" w14:textId="72DFCCC1" w:rsidR="001D2DAE" w:rsidRDefault="001D2DAE"/>
    <w:p w14:paraId="72598A99" w14:textId="77777777" w:rsidR="001D2DAE" w:rsidRDefault="001D2DAE">
      <w:r>
        <w:t xml:space="preserve">References </w:t>
      </w:r>
    </w:p>
    <w:p w14:paraId="0E8D2EE8" w14:textId="7F7ED327" w:rsidR="001D2DAE" w:rsidRDefault="001D2DAE" w:rsidP="00C717C2">
      <w:pPr>
        <w:pStyle w:val="Prrafodelista"/>
        <w:numPr>
          <w:ilvl w:val="0"/>
          <w:numId w:val="2"/>
        </w:numPr>
        <w:spacing w:after="0"/>
        <w:ind w:left="360"/>
      </w:pPr>
      <w:r>
        <w:t>Vancouver style—</w:t>
      </w:r>
      <w:r w:rsidR="00C717C2">
        <w:t>e.g.</w:t>
      </w:r>
      <w:r>
        <w:t xml:space="preserve">, </w:t>
      </w:r>
    </w:p>
    <w:p w14:paraId="24D7AC4E" w14:textId="00F9E9DB" w:rsidR="001D2DAE" w:rsidRDefault="001D2DAE" w:rsidP="00C717C2">
      <w:pPr>
        <w:spacing w:after="0"/>
        <w:ind w:left="360"/>
      </w:pPr>
      <w:commentRangeStart w:id="0"/>
      <w:r>
        <w:t xml:space="preserve">Smith A, Jones B, Clements S. Clinical transplantation of tissue-engineered airway. Lancet 2008; 372: 1201–09. Hourigan P. Ankle injuries. In: Chan D, ed. Sports medicine. London: Elsevier, 2008: 230–47. </w:t>
      </w:r>
      <w:commentRangeEnd w:id="0"/>
      <w:r w:rsidR="004A76AD">
        <w:rPr>
          <w:rStyle w:val="Refdecomentario"/>
        </w:rPr>
        <w:commentReference w:id="0"/>
      </w:r>
    </w:p>
    <w:p w14:paraId="0EBEFCEE" w14:textId="37038576" w:rsidR="001D2DAE" w:rsidRDefault="001D2DAE" w:rsidP="00C717C2">
      <w:pPr>
        <w:pStyle w:val="Prrafodelista"/>
        <w:numPr>
          <w:ilvl w:val="0"/>
          <w:numId w:val="2"/>
        </w:numPr>
        <w:spacing w:after="0"/>
        <w:ind w:left="360"/>
      </w:pPr>
      <w:r>
        <w:t>Numbered in order of mention in appendix and numbered separately from references in the full paper</w:t>
      </w:r>
    </w:p>
    <w:p w14:paraId="44803834" w14:textId="05F9019B" w:rsidR="004A392A" w:rsidRDefault="004A392A"/>
    <w:p w14:paraId="17B850E0" w14:textId="77777777" w:rsidR="004A392A" w:rsidRDefault="004A392A">
      <w:r>
        <w:t xml:space="preserve">Figures </w:t>
      </w:r>
    </w:p>
    <w:p w14:paraId="3BEC4017" w14:textId="79F702FE" w:rsidR="004A392A" w:rsidRDefault="004A392A" w:rsidP="00C717C2">
      <w:pPr>
        <w:pStyle w:val="Prrafodelista"/>
        <w:numPr>
          <w:ilvl w:val="0"/>
          <w:numId w:val="2"/>
        </w:numPr>
      </w:pPr>
      <w:r>
        <w:t xml:space="preserve">All images must have a minimum resolution of 300 dpi, width 107 mm </w:t>
      </w:r>
    </w:p>
    <w:p w14:paraId="15001514" w14:textId="660DB4E1" w:rsidR="004A392A" w:rsidRDefault="004A392A" w:rsidP="00C717C2">
      <w:pPr>
        <w:pStyle w:val="Prrafodelista"/>
        <w:numPr>
          <w:ilvl w:val="0"/>
          <w:numId w:val="2"/>
        </w:numPr>
      </w:pPr>
      <w:r>
        <w:t xml:space="preserve">Main figure heading should be in </w:t>
      </w:r>
      <w:r w:rsidR="00C717C2">
        <w:t>10-point</w:t>
      </w:r>
      <w:r>
        <w:t xml:space="preserve"> Times New Roman font BOLD </w:t>
      </w:r>
    </w:p>
    <w:p w14:paraId="3CBF3B33" w14:textId="51FBEC64" w:rsidR="004A392A" w:rsidRDefault="004A392A" w:rsidP="00C717C2">
      <w:pPr>
        <w:pStyle w:val="Prrafodelista"/>
        <w:numPr>
          <w:ilvl w:val="0"/>
          <w:numId w:val="2"/>
        </w:numPr>
      </w:pPr>
      <w:r>
        <w:t>Legends should be in 10 point, single spaced</w:t>
      </w:r>
    </w:p>
    <w:p w14:paraId="24AD6143" w14:textId="77777777" w:rsidR="004A392A" w:rsidRDefault="004A392A" w:rsidP="004A392A">
      <w:r>
        <w:t xml:space="preserve">Text </w:t>
      </w:r>
    </w:p>
    <w:p w14:paraId="1505B78C" w14:textId="2916898C" w:rsidR="004A392A" w:rsidRDefault="004A392A" w:rsidP="00C717C2">
      <w:pPr>
        <w:pStyle w:val="Prrafodelista"/>
        <w:numPr>
          <w:ilvl w:val="0"/>
          <w:numId w:val="2"/>
        </w:numPr>
      </w:pPr>
      <w:r>
        <w:lastRenderedPageBreak/>
        <w:t xml:space="preserve">Main heading for the web extra material should be in </w:t>
      </w:r>
      <w:r w:rsidR="00C717C2">
        <w:t>12-point</w:t>
      </w:r>
      <w:r>
        <w:t xml:space="preserve"> Times New Roman font BOLD • Text should be in </w:t>
      </w:r>
      <w:r w:rsidR="00C717C2">
        <w:t>10-point</w:t>
      </w:r>
      <w:r>
        <w:t xml:space="preserve"> Times New Roman font, single spaced </w:t>
      </w:r>
    </w:p>
    <w:p w14:paraId="689FEC03" w14:textId="7B43CD5A" w:rsidR="004A392A" w:rsidRDefault="004A392A" w:rsidP="00C717C2">
      <w:pPr>
        <w:pStyle w:val="Prrafodelista"/>
        <w:numPr>
          <w:ilvl w:val="0"/>
          <w:numId w:val="2"/>
        </w:numPr>
      </w:pPr>
      <w:r>
        <w:t xml:space="preserve">Headings should be in </w:t>
      </w:r>
      <w:r w:rsidR="00C717C2">
        <w:t>10-point</w:t>
      </w:r>
      <w:r>
        <w:t xml:space="preserve"> BOLD </w:t>
      </w:r>
    </w:p>
    <w:p w14:paraId="3C0BDF86" w14:textId="7AC81378" w:rsidR="004A392A" w:rsidRDefault="004A392A" w:rsidP="004A392A">
      <w:r>
        <w:t xml:space="preserve">Tables </w:t>
      </w:r>
    </w:p>
    <w:p w14:paraId="22C683DF" w14:textId="2D8A29F2" w:rsidR="004A392A" w:rsidRDefault="004A392A" w:rsidP="00C717C2">
      <w:pPr>
        <w:pStyle w:val="Prrafodelista"/>
        <w:numPr>
          <w:ilvl w:val="0"/>
          <w:numId w:val="2"/>
        </w:numPr>
      </w:pPr>
      <w:r>
        <w:t xml:space="preserve">Main table heading should be in </w:t>
      </w:r>
      <w:r w:rsidR="00C717C2">
        <w:t>10-point</w:t>
      </w:r>
      <w:r>
        <w:t xml:space="preserve"> Times New Roman font BOLD </w:t>
      </w:r>
    </w:p>
    <w:p w14:paraId="709CE367" w14:textId="76DF47B8" w:rsidR="004A392A" w:rsidRDefault="004A392A" w:rsidP="004A392A">
      <w:pPr>
        <w:pStyle w:val="Prrafodelista"/>
        <w:numPr>
          <w:ilvl w:val="0"/>
          <w:numId w:val="2"/>
        </w:numPr>
      </w:pPr>
      <w:r>
        <w:t xml:space="preserve">Legends should be in 10 point, single spaced </w:t>
      </w:r>
    </w:p>
    <w:p w14:paraId="4611D208" w14:textId="72BF768C" w:rsidR="004A392A" w:rsidRDefault="004A392A" w:rsidP="004A392A">
      <w:pPr>
        <w:pStyle w:val="Prrafodelista"/>
        <w:numPr>
          <w:ilvl w:val="0"/>
          <w:numId w:val="2"/>
        </w:numPr>
      </w:pPr>
      <w:r>
        <w:t xml:space="preserve">Tables should be in </w:t>
      </w:r>
      <w:r w:rsidR="00C717C2">
        <w:t>8-point</w:t>
      </w:r>
      <w:r>
        <w:t xml:space="preserve"> Times New Roman font, single spaced </w:t>
      </w:r>
    </w:p>
    <w:p w14:paraId="48A8A4AD" w14:textId="5E336B4F" w:rsidR="004A392A" w:rsidRDefault="004A392A" w:rsidP="004A392A">
      <w:pPr>
        <w:pStyle w:val="Prrafodelista"/>
        <w:numPr>
          <w:ilvl w:val="0"/>
          <w:numId w:val="2"/>
        </w:numPr>
      </w:pPr>
      <w:r>
        <w:t xml:space="preserve">Headings within tables should be in </w:t>
      </w:r>
      <w:r w:rsidR="00C717C2">
        <w:t>8-point</w:t>
      </w:r>
      <w:r>
        <w:t xml:space="preserve"> BOLD</w:t>
      </w:r>
    </w:p>
    <w:p w14:paraId="75A8A351" w14:textId="234311E0" w:rsidR="00C445C2" w:rsidRDefault="00C445C2" w:rsidP="00C445C2"/>
    <w:p w14:paraId="76DDBFEB" w14:textId="77777777" w:rsidR="00C445C2" w:rsidRDefault="00C445C2" w:rsidP="00C445C2">
      <w:r>
        <w:t xml:space="preserve">Formatting of text </w:t>
      </w:r>
    </w:p>
    <w:p w14:paraId="2AC45B0E" w14:textId="01F1BFFC" w:rsidR="00C445C2" w:rsidRDefault="00C445C2" w:rsidP="00B5691D">
      <w:pPr>
        <w:pStyle w:val="Prrafodelista"/>
        <w:numPr>
          <w:ilvl w:val="0"/>
          <w:numId w:val="2"/>
        </w:numPr>
      </w:pPr>
      <w:r>
        <w:t xml:space="preserve">Type a single space at the end of each sentence </w:t>
      </w:r>
    </w:p>
    <w:p w14:paraId="16FBDD3F" w14:textId="38D58DE7" w:rsidR="00C445C2" w:rsidRDefault="00C445C2" w:rsidP="00B5691D">
      <w:pPr>
        <w:pStyle w:val="Prrafodelista"/>
        <w:numPr>
          <w:ilvl w:val="0"/>
          <w:numId w:val="2"/>
        </w:numPr>
      </w:pPr>
      <w:r>
        <w:t xml:space="preserve">Do not use bold face for emphasis within text </w:t>
      </w:r>
    </w:p>
    <w:p w14:paraId="205E0CCF" w14:textId="6EB21149" w:rsidR="00C445C2" w:rsidRDefault="00C445C2" w:rsidP="00B5691D">
      <w:pPr>
        <w:pStyle w:val="Prrafodelista"/>
        <w:numPr>
          <w:ilvl w:val="0"/>
          <w:numId w:val="2"/>
        </w:numPr>
      </w:pPr>
      <w:r>
        <w:t xml:space="preserve">We use a comma before the final “and” or “or” in a list of items </w:t>
      </w:r>
    </w:p>
    <w:p w14:paraId="44709DFE" w14:textId="14A16D67" w:rsidR="00C445C2" w:rsidRDefault="00C445C2" w:rsidP="00B5691D">
      <w:pPr>
        <w:pStyle w:val="Prrafodelista"/>
        <w:numPr>
          <w:ilvl w:val="0"/>
          <w:numId w:val="2"/>
        </w:numPr>
      </w:pPr>
      <w:r>
        <w:t>Type decimal points midline (</w:t>
      </w:r>
      <w:proofErr w:type="spellStart"/>
      <w:r>
        <w:t>ie</w:t>
      </w:r>
      <w:proofErr w:type="spellEnd"/>
      <w:r>
        <w:t xml:space="preserve">, 23·4, not 23.4). To create a midline decimal on a PC: hold down ALT key and type 0183 on the number pad, or on a Mac: ALT shift 9 </w:t>
      </w:r>
    </w:p>
    <w:p w14:paraId="0FF0C214" w14:textId="7D6B4A5A" w:rsidR="00C445C2" w:rsidRDefault="00C445C2" w:rsidP="00B5691D">
      <w:pPr>
        <w:pStyle w:val="Prrafodelista"/>
        <w:numPr>
          <w:ilvl w:val="0"/>
          <w:numId w:val="2"/>
        </w:numPr>
      </w:pPr>
      <w:r>
        <w:t xml:space="preserve">Numbers one to ten are written out in words unless they are used as a unit of measurement, except in figures and tables </w:t>
      </w:r>
    </w:p>
    <w:p w14:paraId="47F54AE4" w14:textId="23BA74EA" w:rsidR="00C445C2" w:rsidRDefault="00C445C2" w:rsidP="00B5691D">
      <w:pPr>
        <w:pStyle w:val="Prrafodelista"/>
        <w:numPr>
          <w:ilvl w:val="0"/>
          <w:numId w:val="2"/>
        </w:numPr>
      </w:pPr>
      <w:r>
        <w:t xml:space="preserve">Use single hard-returns to separate paragraphs. Do not use tabs or indents to start a paragraph </w:t>
      </w:r>
    </w:p>
    <w:p w14:paraId="5F118BB3" w14:textId="5EC24209" w:rsidR="005F60BE" w:rsidRDefault="00C445C2" w:rsidP="00B5691D">
      <w:pPr>
        <w:pStyle w:val="Prrafodelista"/>
        <w:numPr>
          <w:ilvl w:val="0"/>
          <w:numId w:val="2"/>
        </w:numPr>
      </w:pPr>
      <w:r>
        <w:t>Do not use the automated features of your software, such as hyphenation, endnotes, headers, or footers (especially for references). Please use page numbering</w:t>
      </w:r>
    </w:p>
    <w:p w14:paraId="5D6C4BAE" w14:textId="77777777" w:rsidR="005F60BE" w:rsidRDefault="005F60BE">
      <w:r>
        <w:br w:type="page"/>
      </w:r>
    </w:p>
    <w:p w14:paraId="1EA02815" w14:textId="77777777" w:rsidR="005F60BE" w:rsidRPr="00D41C93" w:rsidRDefault="005F60BE" w:rsidP="005F60BE">
      <w:pPr>
        <w:rPr>
          <w:rPrChange w:id="1" w:author="Abraham Isaac Jacob Gajardo Cortez (masterin)" w:date="2021-03-18T17:38:00Z">
            <w:rPr>
              <w:rFonts w:ascii="Times New Roman" w:hAnsi="Times New Roman" w:cs="Times New Roman"/>
              <w:sz w:val="24"/>
            </w:rPr>
          </w:rPrChange>
        </w:rPr>
      </w:pPr>
      <w:r w:rsidRPr="00D41C93">
        <w:lastRenderedPageBreak/>
        <w:t>6.</w:t>
      </w:r>
      <w:r w:rsidRPr="00D41C93">
        <w:tab/>
      </w:r>
      <w:proofErr w:type="spellStart"/>
      <w:r w:rsidRPr="00D41C93">
        <w:rPr>
          <w:rPrChange w:id="2" w:author="Abraham Isaac Jacob Gajardo Cortez (masterin)" w:date="2021-03-18T17:38:00Z">
            <w:rPr>
              <w:rFonts w:ascii="Times New Roman" w:hAnsi="Times New Roman" w:cs="Times New Roman"/>
              <w:sz w:val="24"/>
            </w:rPr>
          </w:rPrChange>
        </w:rPr>
        <w:t>Krygier</w:t>
      </w:r>
      <w:proofErr w:type="spellEnd"/>
      <w:r w:rsidRPr="00D41C93">
        <w:rPr>
          <w:rPrChange w:id="3" w:author="Abraham Isaac Jacob Gajardo Cortez (masterin)" w:date="2021-03-18T17:38:00Z">
            <w:rPr>
              <w:rFonts w:ascii="Times New Roman" w:hAnsi="Times New Roman" w:cs="Times New Roman"/>
              <w:sz w:val="24"/>
            </w:rPr>
          </w:rPrChange>
        </w:rPr>
        <w:t xml:space="preserve"> R. Chile is preparing to rewrite its constitution. Why are people still protesting? The Washington Post. 2020, February </w:t>
      </w:r>
      <w:proofErr w:type="gramStart"/>
      <w:r w:rsidRPr="00D41C93">
        <w:rPr>
          <w:rPrChange w:id="4" w:author="Abraham Isaac Jacob Gajardo Cortez (masterin)" w:date="2021-03-18T17:38:00Z">
            <w:rPr>
              <w:rFonts w:ascii="Times New Roman" w:hAnsi="Times New Roman" w:cs="Times New Roman"/>
              <w:sz w:val="24"/>
            </w:rPr>
          </w:rPrChange>
        </w:rPr>
        <w:t>1;Sect.</w:t>
      </w:r>
      <w:proofErr w:type="gramEnd"/>
      <w:r w:rsidRPr="00D41C93">
        <w:rPr>
          <w:rPrChange w:id="5" w:author="Abraham Isaac Jacob Gajardo Cortez (masterin)" w:date="2021-03-18T17:38:00Z">
            <w:rPr>
              <w:rFonts w:ascii="Times New Roman" w:hAnsi="Times New Roman" w:cs="Times New Roman"/>
              <w:sz w:val="24"/>
            </w:rPr>
          </w:rPrChange>
        </w:rPr>
        <w:t xml:space="preserve"> The Americas.</w:t>
      </w:r>
    </w:p>
    <w:p w14:paraId="012E6741" w14:textId="77777777" w:rsidR="005F60BE" w:rsidRPr="00D41C93" w:rsidRDefault="005F60BE" w:rsidP="005F60BE">
      <w:pPr>
        <w:rPr>
          <w:rPrChange w:id="6" w:author="Abraham Isaac Jacob Gajardo Cortez (masterin)" w:date="2021-03-18T17:38:00Z">
            <w:rPr>
              <w:rFonts w:ascii="Times New Roman" w:hAnsi="Times New Roman" w:cs="Times New Roman"/>
              <w:sz w:val="24"/>
            </w:rPr>
          </w:rPrChange>
        </w:rPr>
      </w:pPr>
      <w:r w:rsidRPr="00D41C93">
        <w:rPr>
          <w:rPrChange w:id="7" w:author="Abraham Isaac Jacob Gajardo Cortez (masterin)" w:date="2021-03-18T17:38:00Z">
            <w:rPr>
              <w:rFonts w:ascii="Times New Roman" w:hAnsi="Times New Roman" w:cs="Times New Roman"/>
              <w:sz w:val="24"/>
            </w:rPr>
          </w:rPrChange>
        </w:rPr>
        <w:t>7.</w:t>
      </w:r>
      <w:r w:rsidRPr="00D41C93">
        <w:rPr>
          <w:rPrChange w:id="8" w:author="Abraham Isaac Jacob Gajardo Cortez (masterin)" w:date="2021-03-18T17:38:00Z">
            <w:rPr>
              <w:rFonts w:ascii="Times New Roman" w:hAnsi="Times New Roman" w:cs="Times New Roman"/>
              <w:sz w:val="24"/>
            </w:rPr>
          </w:rPrChange>
        </w:rPr>
        <w:tab/>
      </w:r>
      <w:proofErr w:type="spellStart"/>
      <w:r w:rsidRPr="00D41C93">
        <w:rPr>
          <w:rPrChange w:id="9" w:author="Abraham Isaac Jacob Gajardo Cortez (masterin)" w:date="2021-03-18T17:38:00Z">
            <w:rPr>
              <w:rFonts w:ascii="Times New Roman" w:hAnsi="Times New Roman" w:cs="Times New Roman"/>
              <w:sz w:val="24"/>
            </w:rPr>
          </w:rPrChange>
        </w:rPr>
        <w:t>Johanson</w:t>
      </w:r>
      <w:proofErr w:type="spellEnd"/>
      <w:r w:rsidRPr="00D41C93">
        <w:rPr>
          <w:rPrChange w:id="10" w:author="Abraham Isaac Jacob Gajardo Cortez (masterin)" w:date="2021-03-18T17:38:00Z">
            <w:rPr>
              <w:rFonts w:ascii="Times New Roman" w:hAnsi="Times New Roman" w:cs="Times New Roman"/>
              <w:sz w:val="24"/>
            </w:rPr>
          </w:rPrChange>
        </w:rPr>
        <w:t xml:space="preserve"> M. How a $0.04 metro fare price hike sparked massive unrest in Chile. Vox2019, October 29.</w:t>
      </w:r>
    </w:p>
    <w:p w14:paraId="6C3BCFE0" w14:textId="77777777" w:rsidR="005F60BE" w:rsidRPr="00D41C93" w:rsidRDefault="005F60BE" w:rsidP="005F60BE">
      <w:r w:rsidRPr="00D41C93">
        <w:rPr>
          <w:rPrChange w:id="11" w:author="Abraham Isaac Jacob Gajardo Cortez (masterin)" w:date="2021-03-18T17:38:00Z">
            <w:rPr>
              <w:rFonts w:ascii="Times New Roman" w:hAnsi="Times New Roman" w:cs="Times New Roman"/>
              <w:sz w:val="24"/>
            </w:rPr>
          </w:rPrChange>
        </w:rPr>
        <w:t>8.</w:t>
      </w:r>
      <w:r w:rsidRPr="00D41C93">
        <w:rPr>
          <w:rPrChange w:id="12" w:author="Abraham Isaac Jacob Gajardo Cortez (masterin)" w:date="2021-03-18T17:38:00Z">
            <w:rPr>
              <w:rFonts w:ascii="Times New Roman" w:hAnsi="Times New Roman" w:cs="Times New Roman"/>
              <w:sz w:val="24"/>
            </w:rPr>
          </w:rPrChange>
        </w:rPr>
        <w:tab/>
        <w:t xml:space="preserve">Gonzalez R, </w:t>
      </w:r>
      <w:proofErr w:type="spellStart"/>
      <w:r w:rsidRPr="00D41C93">
        <w:rPr>
          <w:rPrChange w:id="13" w:author="Abraham Isaac Jacob Gajardo Cortez (masterin)" w:date="2021-03-18T17:38:00Z">
            <w:rPr>
              <w:rFonts w:ascii="Times New Roman" w:hAnsi="Times New Roman" w:cs="Times New Roman"/>
              <w:sz w:val="24"/>
            </w:rPr>
          </w:rPrChange>
        </w:rPr>
        <w:t>Morán</w:t>
      </w:r>
      <w:proofErr w:type="spellEnd"/>
      <w:r w:rsidRPr="00D41C93">
        <w:rPr>
          <w:rPrChange w:id="14" w:author="Abraham Isaac Jacob Gajardo Cortez (masterin)" w:date="2021-03-18T17:38:00Z">
            <w:rPr>
              <w:rFonts w:ascii="Times New Roman" w:hAnsi="Times New Roman" w:cs="Times New Roman"/>
              <w:sz w:val="24"/>
            </w:rPr>
          </w:rPrChange>
        </w:rPr>
        <w:t xml:space="preserve"> CLF. The 2019–2020 Chilean protests: A first look at their causes and participants. International Journal of Sociology. 2020;50(3):227-35.</w:t>
      </w:r>
    </w:p>
    <w:p w14:paraId="4DA2A51C" w14:textId="77777777" w:rsidR="005F60BE" w:rsidRPr="00D41C93" w:rsidRDefault="005F60BE" w:rsidP="005F60BE">
      <w:r w:rsidRPr="00D41C93">
        <w:t>9.</w:t>
      </w:r>
      <w:r w:rsidRPr="00D41C93">
        <w:tab/>
        <w:t xml:space="preserve">Somma NM, </w:t>
      </w:r>
      <w:proofErr w:type="spellStart"/>
      <w:r w:rsidRPr="00D41C93">
        <w:t>Bargsted</w:t>
      </w:r>
      <w:proofErr w:type="spellEnd"/>
      <w:r w:rsidRPr="00D41C93">
        <w:t xml:space="preserve"> M, </w:t>
      </w:r>
      <w:proofErr w:type="spellStart"/>
      <w:r w:rsidRPr="00D41C93">
        <w:t>Disi</w:t>
      </w:r>
      <w:proofErr w:type="spellEnd"/>
      <w:r w:rsidRPr="00D41C93">
        <w:t xml:space="preserve"> </w:t>
      </w:r>
      <w:proofErr w:type="spellStart"/>
      <w:r w:rsidRPr="00D41C93">
        <w:t>Pavlic</w:t>
      </w:r>
      <w:proofErr w:type="spellEnd"/>
      <w:r w:rsidRPr="00D41C93">
        <w:t xml:space="preserve"> R, </w:t>
      </w:r>
      <w:proofErr w:type="spellStart"/>
      <w:r w:rsidRPr="00D41C93">
        <w:t>Medel</w:t>
      </w:r>
      <w:proofErr w:type="spellEnd"/>
      <w:r w:rsidRPr="00D41C93">
        <w:t xml:space="preserve"> RM. No water in the oasis: the Chilean Spring of 2019–2020. Social Movement Studies. 2020:1-8.</w:t>
      </w:r>
    </w:p>
    <w:p w14:paraId="73A4F55E" w14:textId="77777777" w:rsidR="005F60BE" w:rsidRDefault="005F60BE" w:rsidP="005F60BE">
      <w:proofErr w:type="spellStart"/>
      <w:r>
        <w:t>Debiesen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URL</w:t>
      </w:r>
    </w:p>
    <w:p w14:paraId="1A65FAF5" w14:textId="77777777" w:rsidR="005F60BE" w:rsidRPr="00144F47" w:rsidRDefault="005F60BE" w:rsidP="005F60BE">
      <w:pPr>
        <w:pStyle w:val="EndNoteBibliography"/>
        <w:spacing w:after="0"/>
      </w:pPr>
      <w:r w:rsidRPr="00144F47">
        <w:t>6.</w:t>
      </w:r>
      <w:r w:rsidRPr="00144F47">
        <w:tab/>
        <w:t>Krygier R. Chile is preparing to rewrite its constitution. Why are people still protesting? The Washington Post. 2020, February 1;Sect. The Americas.</w:t>
      </w:r>
    </w:p>
    <w:p w14:paraId="55593A61" w14:textId="77777777" w:rsidR="005F60BE" w:rsidRPr="00144F47" w:rsidRDefault="005F60BE" w:rsidP="005F60BE">
      <w:pPr>
        <w:pStyle w:val="EndNoteBibliography"/>
        <w:spacing w:after="0"/>
      </w:pPr>
      <w:r w:rsidRPr="00144F47">
        <w:t>7.</w:t>
      </w:r>
      <w:r w:rsidRPr="00144F47">
        <w:tab/>
        <w:t>Johanson M. How a $0.04 metro fare price hike sparked massive unrest in Chile. Vox2019, October 29.</w:t>
      </w:r>
    </w:p>
    <w:p w14:paraId="5B218FFA" w14:textId="77777777" w:rsidR="005F60BE" w:rsidRDefault="005F60BE" w:rsidP="005F60BE"/>
    <w:p w14:paraId="319D4383" w14:textId="77777777" w:rsidR="005F60BE" w:rsidRDefault="005F60BE" w:rsidP="005F60BE"/>
    <w:p w14:paraId="7933BC52" w14:textId="77777777" w:rsidR="005F60BE" w:rsidRDefault="005F60BE" w:rsidP="005F60BE">
      <w:r>
        <w:t xml:space="preserve">Mal </w:t>
      </w:r>
      <w:proofErr w:type="spellStart"/>
      <w:r>
        <w:t>Citado</w:t>
      </w:r>
      <w:proofErr w:type="spellEnd"/>
      <w:r>
        <w:t>:</w:t>
      </w:r>
    </w:p>
    <w:p w14:paraId="50CC9DC9" w14:textId="77777777" w:rsidR="005F60BE" w:rsidRPr="00144F47" w:rsidRDefault="005F60BE" w:rsidP="005F60BE">
      <w:pPr>
        <w:pStyle w:val="EndNoteBibliography"/>
        <w:spacing w:after="0"/>
      </w:pPr>
      <w:r w:rsidRPr="00144F47">
        <w:t>16.</w:t>
      </w:r>
      <w:r w:rsidRPr="00144F47">
        <w:tab/>
        <w:t>The Lancet O. Hong Kong: long civil unrest with long-term consequences. Lancet Oncol. 2020;21(1):1.</w:t>
      </w:r>
    </w:p>
    <w:p w14:paraId="54CDF592" w14:textId="77777777" w:rsidR="005F60BE" w:rsidRPr="00144F47" w:rsidRDefault="005F60BE" w:rsidP="005F60BE">
      <w:pPr>
        <w:pStyle w:val="EndNoteBibliography"/>
        <w:spacing w:after="0"/>
      </w:pPr>
      <w:r w:rsidRPr="00144F47">
        <w:t>20.</w:t>
      </w:r>
      <w:r w:rsidRPr="00144F47">
        <w:tab/>
        <w:t>Ballantyne B. Medical management of the traumatic consequences of civil unrest incidents: causation, clinical approaches, needs and advanced planning criteria. (1176-2551 (Print)).</w:t>
      </w:r>
    </w:p>
    <w:p w14:paraId="7C52BBCD" w14:textId="77777777" w:rsidR="005F60BE" w:rsidRPr="00144F47" w:rsidRDefault="005F60BE" w:rsidP="005F60BE">
      <w:pPr>
        <w:pStyle w:val="EndNoteBibliography"/>
        <w:spacing w:after="0"/>
      </w:pPr>
      <w:r w:rsidRPr="00144F47">
        <w:t>25.</w:t>
      </w:r>
      <w:r w:rsidRPr="00144F47">
        <w:tab/>
        <w:t>Blain PG. Tear gases and irritant incapacitants. 1-chloroacetophenone, 2-chlorobenzylidene malononitrile and dibenz[b,f]-1,4-oxazepine. (1176-2551 (Print)).</w:t>
      </w:r>
    </w:p>
    <w:p w14:paraId="0CFB988B" w14:textId="77777777" w:rsidR="005F60BE" w:rsidRDefault="005F60BE" w:rsidP="005F60BE"/>
    <w:p w14:paraId="2B17C3B8" w14:textId="77777777" w:rsidR="005F60BE" w:rsidRPr="00800684" w:rsidRDefault="005F60BE" w:rsidP="005F60BE">
      <w:pPr>
        <w:rPr>
          <w:lang w:val="es-CL"/>
        </w:rPr>
      </w:pPr>
      <w:r>
        <w:rPr>
          <w:lang w:val="es-CL"/>
        </w:rPr>
        <w:t>Falta Corchete traducido</w:t>
      </w:r>
    </w:p>
    <w:p w14:paraId="3535747A" w14:textId="3EBAA74B" w:rsidR="00C445C2" w:rsidRPr="00965BD8" w:rsidRDefault="005F60BE" w:rsidP="005F60BE">
      <w:pPr>
        <w:pStyle w:val="Prrafodelista"/>
        <w:numPr>
          <w:ilvl w:val="0"/>
          <w:numId w:val="2"/>
        </w:numPr>
        <w:rPr>
          <w:lang w:val="es-CL"/>
        </w:rPr>
      </w:pPr>
      <w:r w:rsidRPr="00800684">
        <w:rPr>
          <w:noProof/>
          <w:lang w:val="es-CL"/>
        </w:rPr>
        <w:t>52.</w:t>
      </w:r>
      <w:r w:rsidRPr="00800684">
        <w:rPr>
          <w:noProof/>
          <w:lang w:val="es-CL"/>
        </w:rPr>
        <w:tab/>
        <w:t xml:space="preserve">Fondo Nacional de Salud [FONASA]. Caracterización sociodemográfica y socioeconómica en la población asegurada inscrita Santiago, Chile2020 [Available from: </w:t>
      </w:r>
      <w:hyperlink r:id="rId9" w:history="1">
        <w:r w:rsidRPr="00800684">
          <w:rPr>
            <w:rStyle w:val="Hipervnculo"/>
            <w:noProof/>
            <w:lang w:val="es-CL"/>
          </w:rPr>
          <w:t>https://www.fonasa.cl/sites/fonasa/adjuntos/Informe_caracterizacion_poblacion_asegurada</w:t>
        </w:r>
      </w:hyperlink>
    </w:p>
    <w:p w14:paraId="19B0B919" w14:textId="77777777" w:rsidR="00965BD8" w:rsidRPr="00965BD8" w:rsidRDefault="00965BD8" w:rsidP="00965BD8">
      <w:pPr>
        <w:rPr>
          <w:lang w:val="es-CL"/>
        </w:rPr>
      </w:pPr>
    </w:p>
    <w:sectPr w:rsidR="00965BD8" w:rsidRPr="00965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drés González Santa Cruz" w:date="2021-03-21T14:53:00Z" w:initials="AGSC">
    <w:p w14:paraId="44E9CEE9" w14:textId="4D56F5BF" w:rsidR="004A76AD" w:rsidRPr="004A76AD" w:rsidRDefault="004A76AD">
      <w:pPr>
        <w:pStyle w:val="Textocomentario"/>
        <w:rPr>
          <w:lang w:val="es-CL"/>
        </w:rPr>
      </w:pPr>
      <w:r>
        <w:rPr>
          <w:rStyle w:val="Refdecomentario"/>
        </w:rPr>
        <w:annotationRef/>
      </w:r>
      <w:r w:rsidRPr="004A76AD">
        <w:rPr>
          <w:lang w:val="es-CL"/>
        </w:rPr>
        <w:t>En el ejemplo no aparece e</w:t>
      </w:r>
      <w:r>
        <w:rPr>
          <w:lang w:val="es-CL"/>
        </w:rPr>
        <w:t>l DOI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4E9CE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1DC70" w16cex:dateUtc="2021-03-21T17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E9CEE9" w16cid:durableId="2401DC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D41CA"/>
    <w:multiLevelType w:val="hybridMultilevel"/>
    <w:tmpl w:val="6DD647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F41DD"/>
    <w:multiLevelType w:val="hybridMultilevel"/>
    <w:tmpl w:val="11A43AA0"/>
    <w:lvl w:ilvl="0" w:tplc="F7DC740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86ED6"/>
    <w:multiLevelType w:val="hybridMultilevel"/>
    <w:tmpl w:val="C7A0E760"/>
    <w:lvl w:ilvl="0" w:tplc="F7DC740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5C52"/>
    <w:multiLevelType w:val="hybridMultilevel"/>
    <w:tmpl w:val="0F9889AC"/>
    <w:lvl w:ilvl="0" w:tplc="F7DC740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47C57"/>
    <w:multiLevelType w:val="hybridMultilevel"/>
    <w:tmpl w:val="F4C274B6"/>
    <w:lvl w:ilvl="0" w:tplc="F7DC740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27E75"/>
    <w:multiLevelType w:val="hybridMultilevel"/>
    <w:tmpl w:val="6706E872"/>
    <w:lvl w:ilvl="0" w:tplc="F7DC740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46F08"/>
    <w:multiLevelType w:val="hybridMultilevel"/>
    <w:tmpl w:val="C2F823E2"/>
    <w:lvl w:ilvl="0" w:tplc="F7DC740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és González Santa Cruz">
    <w15:presenceInfo w15:providerId="Windows Live" w15:userId="0f261097151cd0dc"/>
  </w15:person>
  <w15:person w15:author="Abraham Isaac Jacob Gajardo Cortez (masterin)">
    <w15:presenceInfo w15:providerId="AD" w15:userId="S::masterin@uchile.cl::f40611c1-2972-4ac4-a143-c6b70c07f5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NLM0MjczsTQ3NDdU0lEKTi0uzszPAykwqgUAXGspnSwAAAA="/>
  </w:docVars>
  <w:rsids>
    <w:rsidRoot w:val="001D2DAE"/>
    <w:rsid w:val="001D2DAE"/>
    <w:rsid w:val="003A4008"/>
    <w:rsid w:val="004A392A"/>
    <w:rsid w:val="004A76AD"/>
    <w:rsid w:val="005A2A49"/>
    <w:rsid w:val="005F60BE"/>
    <w:rsid w:val="00965BD8"/>
    <w:rsid w:val="00B5691D"/>
    <w:rsid w:val="00BE0E5D"/>
    <w:rsid w:val="00C445C2"/>
    <w:rsid w:val="00C7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4407"/>
  <w15:chartTrackingRefBased/>
  <w15:docId w15:val="{5B1F6CB0-DCAB-47DC-A86C-6376D45A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DA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76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76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76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76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76AD"/>
    <w:rPr>
      <w:b/>
      <w:bCs/>
      <w:sz w:val="20"/>
      <w:szCs w:val="20"/>
    </w:rPr>
  </w:style>
  <w:style w:type="paragraph" w:customStyle="1" w:styleId="EndNoteBibliography">
    <w:name w:val="EndNote Bibliography"/>
    <w:basedOn w:val="Normal"/>
    <w:link w:val="EndNoteBibliographyCar"/>
    <w:rsid w:val="005F60BE"/>
    <w:pPr>
      <w:spacing w:after="120" w:line="240" w:lineRule="auto"/>
    </w:pPr>
    <w:rPr>
      <w:rFonts w:ascii="Georgia" w:hAnsi="Georgia"/>
      <w:noProof/>
      <w:szCs w:val="24"/>
    </w:rPr>
  </w:style>
  <w:style w:type="character" w:customStyle="1" w:styleId="EndNoteBibliographyCar">
    <w:name w:val="EndNote Bibliography Car"/>
    <w:basedOn w:val="Fuentedeprrafopredeter"/>
    <w:link w:val="EndNoteBibliography"/>
    <w:rsid w:val="005F60BE"/>
    <w:rPr>
      <w:rFonts w:ascii="Georgia" w:hAnsi="Georgia"/>
      <w:noProof/>
      <w:szCs w:val="24"/>
    </w:rPr>
  </w:style>
  <w:style w:type="character" w:styleId="Hipervnculo">
    <w:name w:val="Hyperlink"/>
    <w:basedOn w:val="Fuentedeprrafopredeter"/>
    <w:uiPriority w:val="99"/>
    <w:unhideWhenUsed/>
    <w:rsid w:val="005F60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onasa.cl/sites/fonasa/adjuntos/Informe_caracterizacion_poblacion_asegura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799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González Santa Cruz</dc:creator>
  <cp:keywords/>
  <dc:description/>
  <cp:lastModifiedBy>Andrés González Santa Cruz</cp:lastModifiedBy>
  <cp:revision>7</cp:revision>
  <dcterms:created xsi:type="dcterms:W3CDTF">2021-03-21T16:15:00Z</dcterms:created>
  <dcterms:modified xsi:type="dcterms:W3CDTF">2021-03-23T14:33:00Z</dcterms:modified>
</cp:coreProperties>
</file>