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0DDC9" w14:textId="1ADB765C" w:rsidR="003B3546" w:rsidRPr="00F76A8E" w:rsidRDefault="00F76A8E">
      <w:pPr>
        <w:rPr>
          <w:b/>
          <w:bCs/>
          <w:lang w:val="en-US"/>
        </w:rPr>
      </w:pPr>
      <w:r w:rsidRPr="00F76A8E">
        <w:rPr>
          <w:b/>
          <w:bCs/>
          <w:lang w:val="en-US"/>
        </w:rPr>
        <w:t>Use of pellet guns for crowd control in Kashmir: How lethal is “non-lethal”?</w:t>
      </w:r>
    </w:p>
    <w:p w14:paraId="705864DC" w14:textId="0A224A08" w:rsidR="00F76A8E" w:rsidRDefault="00F76A8E">
      <w:pPr>
        <w:rPr>
          <w:lang w:val="en-US"/>
        </w:rPr>
      </w:pPr>
    </w:p>
    <w:p w14:paraId="607EBCFE" w14:textId="70294BB1" w:rsidR="00F76A8E" w:rsidRDefault="00F76A8E">
      <w:pPr>
        <w:rPr>
          <w:lang w:val="en-US"/>
        </w:rPr>
      </w:pPr>
      <w:r w:rsidRPr="00F76A8E">
        <w:rPr>
          <w:lang w:val="en-US"/>
        </w:rPr>
        <w:t>the use of these “non-lethal” weapons often leads to serious injuries, permanent disability, and death</w:t>
      </w:r>
    </w:p>
    <w:p w14:paraId="7B49B46B" w14:textId="785DD2FD" w:rsidR="00F76A8E" w:rsidRDefault="00F76A8E">
      <w:r w:rsidRPr="00F76A8E">
        <w:rPr>
          <w:lang w:val="en-US"/>
        </w:rPr>
        <w:t xml:space="preserve">Not many weapons can cause effects that are temporary and reversible without any medical intervention, yet unpleasant enough to ensure crowd compliance; certainly not pellet guns. The fact that volatile conditions, inaccuracies in the aim of the pellets, over-use of the pellet guns and the perception of their harmlessness exacerbate the damaging effects of these guns. </w:t>
      </w:r>
    </w:p>
    <w:p w14:paraId="42742C9F" w14:textId="2C775E47" w:rsidR="00F76A8E" w:rsidRDefault="00F76A8E">
      <w:pPr>
        <w:rPr>
          <w:b/>
          <w:bCs/>
          <w:lang w:val="en-US"/>
        </w:rPr>
      </w:pPr>
      <w:proofErr w:type="spellStart"/>
      <w:r w:rsidRPr="00F76A8E">
        <w:rPr>
          <w:b/>
          <w:bCs/>
          <w:lang w:val="en-US"/>
        </w:rPr>
        <w:t>Haar</w:t>
      </w:r>
      <w:proofErr w:type="spellEnd"/>
      <w:r w:rsidRPr="00F76A8E">
        <w:rPr>
          <w:b/>
          <w:bCs/>
          <w:lang w:val="en-US"/>
        </w:rPr>
        <w:t xml:space="preserve"> RJ, </w:t>
      </w:r>
      <w:proofErr w:type="spellStart"/>
      <w:r w:rsidRPr="00F76A8E">
        <w:rPr>
          <w:b/>
          <w:bCs/>
          <w:lang w:val="en-US"/>
        </w:rPr>
        <w:t>Iacopino</w:t>
      </w:r>
      <w:proofErr w:type="spellEnd"/>
      <w:r w:rsidRPr="00F76A8E">
        <w:rPr>
          <w:b/>
          <w:bCs/>
          <w:lang w:val="en-US"/>
        </w:rPr>
        <w:t xml:space="preserve"> V, Ranadive N, et </w:t>
      </w:r>
      <w:proofErr w:type="spellStart"/>
      <w:r w:rsidRPr="00F76A8E">
        <w:rPr>
          <w:b/>
          <w:bCs/>
          <w:lang w:val="en-US"/>
        </w:rPr>
        <w:t>alDeath</w:t>
      </w:r>
      <w:proofErr w:type="spellEnd"/>
      <w:r w:rsidRPr="00F76A8E">
        <w:rPr>
          <w:b/>
          <w:bCs/>
          <w:lang w:val="en-US"/>
        </w:rPr>
        <w:t xml:space="preserve">, injury and disability from kinetic impact projectiles in crowd-control settings: a systematic </w:t>
      </w:r>
      <w:proofErr w:type="spellStart"/>
      <w:r w:rsidRPr="00F76A8E">
        <w:rPr>
          <w:b/>
          <w:bCs/>
          <w:lang w:val="en-US"/>
        </w:rPr>
        <w:t>reviewBMJ</w:t>
      </w:r>
      <w:proofErr w:type="spellEnd"/>
      <w:r w:rsidRPr="00F76A8E">
        <w:rPr>
          <w:b/>
          <w:bCs/>
          <w:lang w:val="en-US"/>
        </w:rPr>
        <w:t xml:space="preserve"> Open 2017;</w:t>
      </w:r>
      <w:proofErr w:type="gramStart"/>
      <w:r w:rsidRPr="00F76A8E">
        <w:rPr>
          <w:b/>
          <w:bCs/>
          <w:lang w:val="en-US"/>
        </w:rPr>
        <w:t>7:e</w:t>
      </w:r>
      <w:proofErr w:type="gramEnd"/>
      <w:r w:rsidRPr="00F76A8E">
        <w:rPr>
          <w:b/>
          <w:bCs/>
          <w:lang w:val="en-US"/>
        </w:rPr>
        <w:t xml:space="preserve">018154. </w:t>
      </w:r>
      <w:proofErr w:type="spellStart"/>
      <w:r w:rsidRPr="00F76A8E">
        <w:rPr>
          <w:b/>
          <w:bCs/>
          <w:lang w:val="en-US"/>
        </w:rPr>
        <w:t>doi</w:t>
      </w:r>
      <w:proofErr w:type="spellEnd"/>
      <w:r w:rsidRPr="00F76A8E">
        <w:rPr>
          <w:b/>
          <w:bCs/>
          <w:lang w:val="en-US"/>
        </w:rPr>
        <w:t>: 10.1136/bmjopen-2017-018154</w:t>
      </w:r>
    </w:p>
    <w:p w14:paraId="7A6887C1" w14:textId="62946396" w:rsidR="00F76A8E" w:rsidRDefault="00F76A8E">
      <w:pPr>
        <w:rPr>
          <w:lang w:val="en-US"/>
        </w:rPr>
      </w:pPr>
      <w:r w:rsidRPr="00F76A8E">
        <w:rPr>
          <w:lang w:val="en-US"/>
        </w:rPr>
        <w:t>rubber or plastic bullets, are used commonly in crowd-control settings.</w:t>
      </w:r>
    </w:p>
    <w:p w14:paraId="71BD573E" w14:textId="448A8B74" w:rsidR="00F76A8E" w:rsidRDefault="00F76A8E">
      <w:pPr>
        <w:rPr>
          <w:lang w:val="en-US"/>
        </w:rPr>
      </w:pPr>
      <w:r w:rsidRPr="00F76A8E">
        <w:rPr>
          <w:lang w:val="en-US"/>
        </w:rPr>
        <w:t>associated health consequences of severe injury, disability and death</w:t>
      </w:r>
    </w:p>
    <w:p w14:paraId="1214C792" w14:textId="295B1FB2" w:rsidR="00F76A8E" w:rsidRDefault="00F76A8E">
      <w:pPr>
        <w:rPr>
          <w:lang w:val="en-US"/>
        </w:rPr>
      </w:pPr>
    </w:p>
    <w:p w14:paraId="27DBC695" w14:textId="77777777" w:rsidR="00F76A8E" w:rsidRDefault="00F76A8E">
      <w:pPr>
        <w:rPr>
          <w:lang w:val="en-US"/>
        </w:rPr>
      </w:pPr>
    </w:p>
    <w:p w14:paraId="1CA12895" w14:textId="4729CAEF" w:rsidR="00F76A8E" w:rsidRDefault="00F76A8E">
      <w:pPr>
        <w:rPr>
          <w:lang w:val="en-US"/>
        </w:rPr>
      </w:pPr>
      <w:r w:rsidRPr="00F76A8E">
        <w:rPr>
          <w:lang w:val="en-US"/>
        </w:rPr>
        <w:t xml:space="preserve">Most clinical effects secondary to CS gas exposure are acute and transient. These include ocular effects: lacrimation, blepharospasm, eye irritation, conjunctivitis and periorbital oedema, which typically onset within minutes and resolves in 1 day.3 Respiratory manifestations can occur immediately such as cough, </w:t>
      </w:r>
      <w:proofErr w:type="spellStart"/>
      <w:r w:rsidRPr="00F76A8E">
        <w:rPr>
          <w:lang w:val="en-US"/>
        </w:rPr>
        <w:t>dyspnoea</w:t>
      </w:r>
      <w:proofErr w:type="spellEnd"/>
      <w:r w:rsidRPr="00F76A8E">
        <w:rPr>
          <w:lang w:val="en-US"/>
        </w:rPr>
        <w:t xml:space="preserve">, </w:t>
      </w:r>
      <w:proofErr w:type="spellStart"/>
      <w:r w:rsidRPr="00F76A8E">
        <w:rPr>
          <w:lang w:val="en-US"/>
        </w:rPr>
        <w:t>haemoptysis</w:t>
      </w:r>
      <w:proofErr w:type="spellEnd"/>
      <w:r w:rsidRPr="00F76A8E">
        <w:rPr>
          <w:lang w:val="en-US"/>
        </w:rPr>
        <w:t>, bronchoconstriction and laryngospasm; or after a latency period of up to 1 to 2 weeks causing hypersensitivity pneumonitis or reactive airways dysfunction syndrome</w:t>
      </w:r>
    </w:p>
    <w:p w14:paraId="459DC1F0" w14:textId="203C00A2" w:rsidR="00F76A8E" w:rsidRDefault="00F76A8E">
      <w:pPr>
        <w:rPr>
          <w:lang w:val="en-US"/>
        </w:rPr>
      </w:pPr>
      <w:r w:rsidRPr="00F76A8E">
        <w:rPr>
          <w:lang w:val="en-US"/>
        </w:rPr>
        <w:t xml:space="preserve">Compared with unexposed controls, patients exposed to CS gas demonstrate sustained worse lung function in terms of the proportion of forced expired volume in first second to forced vital capacity, and the maximum mid-expiratory flow rate, especially if they are smokers.4 Gastrointestinal symptoms including </w:t>
      </w:r>
      <w:proofErr w:type="spellStart"/>
      <w:r w:rsidRPr="00F76A8E">
        <w:rPr>
          <w:lang w:val="en-US"/>
        </w:rPr>
        <w:t>diarrhoea</w:t>
      </w:r>
      <w:proofErr w:type="spellEnd"/>
      <w:r w:rsidRPr="00F76A8E">
        <w:rPr>
          <w:lang w:val="en-US"/>
        </w:rPr>
        <w:t xml:space="preserve">, vomiting, </w:t>
      </w:r>
      <w:proofErr w:type="spellStart"/>
      <w:r w:rsidRPr="00F76A8E">
        <w:rPr>
          <w:lang w:val="en-US"/>
        </w:rPr>
        <w:t>haematemesis</w:t>
      </w:r>
      <w:proofErr w:type="spellEnd"/>
      <w:r w:rsidRPr="00F76A8E">
        <w:rPr>
          <w:lang w:val="en-US"/>
        </w:rPr>
        <w:t>, and abdominal pain have also been attributed to CS gas exposure or ingestion.</w:t>
      </w:r>
    </w:p>
    <w:p w14:paraId="38F114DA" w14:textId="5AF72FFC" w:rsidR="00F76A8E" w:rsidRDefault="00F76A8E">
      <w:pPr>
        <w:rPr>
          <w:lang w:val="en-US"/>
        </w:rPr>
      </w:pPr>
      <w:r w:rsidRPr="00F76A8E">
        <w:rPr>
          <w:lang w:val="en-US"/>
        </w:rPr>
        <w:t>Perhaps less appreciated are the dermatological effects of CS, which ranged from mild erythema to extensive blistering and burn. These can have variable latency period from minutes to 2 weeks.</w:t>
      </w:r>
    </w:p>
    <w:p w14:paraId="2AAD92A2" w14:textId="77777777" w:rsidR="00F76A8E" w:rsidRPr="00F76A8E" w:rsidRDefault="00F76A8E" w:rsidP="00F76A8E">
      <w:pPr>
        <w:rPr>
          <w:lang w:val="en-US"/>
        </w:rPr>
      </w:pPr>
      <w:r w:rsidRPr="00F76A8E">
        <w:rPr>
          <w:lang w:val="en-US"/>
        </w:rPr>
        <w:t>Hong Kong Med J 2020 Apr;26(2):151–3</w:t>
      </w:r>
    </w:p>
    <w:p w14:paraId="57F8C776" w14:textId="2DDB6210" w:rsidR="00F76A8E" w:rsidRDefault="00F76A8E" w:rsidP="00F76A8E">
      <w:pPr>
        <w:rPr>
          <w:lang w:val="en-US"/>
        </w:rPr>
      </w:pPr>
      <w:hyperlink r:id="rId4" w:history="1">
        <w:r w:rsidRPr="000C52D9">
          <w:rPr>
            <w:rStyle w:val="Hipervnculo"/>
            <w:lang w:val="en-US"/>
          </w:rPr>
          <w:t>https://doi.org/10.12809/hkmj198145</w:t>
        </w:r>
      </w:hyperlink>
    </w:p>
    <w:p w14:paraId="63413C8F" w14:textId="77777777" w:rsidR="00F76A8E" w:rsidRPr="00F76A8E" w:rsidRDefault="00F76A8E" w:rsidP="00F76A8E">
      <w:pPr>
        <w:rPr>
          <w:b/>
          <w:bCs/>
          <w:lang w:val="en-US"/>
        </w:rPr>
      </w:pPr>
      <w:r w:rsidRPr="00F76A8E">
        <w:rPr>
          <w:b/>
          <w:bCs/>
          <w:lang w:val="en-US"/>
        </w:rPr>
        <w:t>Health risks of exposure to CS gas (tear gas): an update for healthcare practitioners in Hong Kong</w:t>
      </w:r>
    </w:p>
    <w:p w14:paraId="403420B4" w14:textId="69CC711F" w:rsidR="00F76A8E" w:rsidRDefault="00F76A8E" w:rsidP="00F76A8E">
      <w:pPr>
        <w:rPr>
          <w:b/>
          <w:bCs/>
          <w:lang w:val="en-US"/>
        </w:rPr>
      </w:pPr>
      <w:r w:rsidRPr="00F76A8E">
        <w:rPr>
          <w:b/>
          <w:bCs/>
          <w:lang w:val="en-US"/>
        </w:rPr>
        <w:t>Anderson CO Tsang, MB, BS1; LF Li, MB, BS2; Raymond KY Tsang, MB, ChB, MS3</w:t>
      </w:r>
    </w:p>
    <w:p w14:paraId="631C958A" w14:textId="10E5DF1F" w:rsidR="00F76A8E" w:rsidRDefault="00F76A8E" w:rsidP="00F76A8E">
      <w:pPr>
        <w:rPr>
          <w:b/>
          <w:bCs/>
          <w:lang w:val="en-US"/>
        </w:rPr>
      </w:pPr>
    </w:p>
    <w:p w14:paraId="5DAD69D3" w14:textId="0A2658B6" w:rsidR="00F76A8E" w:rsidRDefault="00F76A8E" w:rsidP="00F76A8E">
      <w:pPr>
        <w:rPr>
          <w:lang w:val="en-US"/>
        </w:rPr>
      </w:pPr>
      <w:r w:rsidRPr="00F76A8E">
        <w:rPr>
          <w:lang w:val="en-US"/>
        </w:rPr>
        <w:lastRenderedPageBreak/>
        <w:t>chemical irritants have been considered “nonlethal” or “less lethal” but the intent of temporary irritation may misrepresent the actual health consequences and the impacts of real-world use and misuse of these weapon</w:t>
      </w:r>
    </w:p>
    <w:p w14:paraId="7C25F26A" w14:textId="0FE25108" w:rsidR="00F76A8E" w:rsidRDefault="00F76A8E" w:rsidP="00F76A8E">
      <w:pPr>
        <w:rPr>
          <w:lang w:val="en-US"/>
        </w:rPr>
      </w:pPr>
      <w:r w:rsidRPr="00F76A8E">
        <w:rPr>
          <w:lang w:val="en-US"/>
        </w:rPr>
        <w:t>Eighteen of the disabilities were secondary to traumatic injuries from the projectile munitions. These included globe ruptures and blindness (four people), traumatic brain injury resulting in a persistent vegetative state (one person), limb amputations (three people), and functional loss of limbs (10 people). Persistent psychiatric symptoms were documented in 14 people and persistent symptoms of asthma and other respiratory complaints were reported in 23 people. Chronic dermatological conditions such as hypersensitivity reactions were documented by skin testing in three people</w:t>
      </w:r>
    </w:p>
    <w:p w14:paraId="784B478A" w14:textId="77777777" w:rsidR="00F76A8E" w:rsidRPr="00F76A8E" w:rsidRDefault="00F76A8E" w:rsidP="00F76A8E">
      <w:pPr>
        <w:rPr>
          <w:lang w:val="en-US"/>
        </w:rPr>
      </w:pPr>
    </w:p>
    <w:p w14:paraId="0ABBDD84" w14:textId="740AF51A" w:rsidR="00F76A8E" w:rsidRDefault="00F76A8E" w:rsidP="00F76A8E">
      <w:pPr>
        <w:rPr>
          <w:b/>
          <w:bCs/>
          <w:lang w:val="en-US"/>
        </w:rPr>
      </w:pPr>
      <w:proofErr w:type="spellStart"/>
      <w:r w:rsidRPr="00F76A8E">
        <w:rPr>
          <w:b/>
          <w:bCs/>
        </w:rPr>
        <w:t>Haar</w:t>
      </w:r>
      <w:proofErr w:type="spellEnd"/>
      <w:r w:rsidRPr="00F76A8E">
        <w:rPr>
          <w:b/>
          <w:bCs/>
        </w:rPr>
        <w:t xml:space="preserve">, R.J., </w:t>
      </w:r>
      <w:proofErr w:type="spellStart"/>
      <w:r w:rsidRPr="00F76A8E">
        <w:rPr>
          <w:b/>
          <w:bCs/>
        </w:rPr>
        <w:t>Iacopino</w:t>
      </w:r>
      <w:proofErr w:type="spellEnd"/>
      <w:r w:rsidRPr="00F76A8E">
        <w:rPr>
          <w:b/>
          <w:bCs/>
        </w:rPr>
        <w:t xml:space="preserve">, V., </w:t>
      </w:r>
      <w:proofErr w:type="spellStart"/>
      <w:r w:rsidRPr="00F76A8E">
        <w:rPr>
          <w:b/>
          <w:bCs/>
        </w:rPr>
        <w:t>Ranadive</w:t>
      </w:r>
      <w:proofErr w:type="spellEnd"/>
      <w:r w:rsidRPr="00F76A8E">
        <w:rPr>
          <w:b/>
          <w:bCs/>
        </w:rPr>
        <w:t xml:space="preserve">, N. et al. </w:t>
      </w:r>
      <w:r w:rsidRPr="00F76A8E">
        <w:rPr>
          <w:b/>
          <w:bCs/>
          <w:lang w:val="en-US"/>
        </w:rPr>
        <w:t xml:space="preserve">Health impacts of chemical irritants used for crowd control: a systematic review of the injuries and deaths caused by tear gas and pepper spray. BMC Public Health 17, 831 (2017). </w:t>
      </w:r>
      <w:hyperlink r:id="rId5" w:history="1">
        <w:r w:rsidR="00765A5D" w:rsidRPr="000C52D9">
          <w:rPr>
            <w:rStyle w:val="Hipervnculo"/>
            <w:b/>
            <w:bCs/>
            <w:lang w:val="en-US"/>
          </w:rPr>
          <w:t>https://doi.org/10.1186/s12889-017-4814-6</w:t>
        </w:r>
      </w:hyperlink>
    </w:p>
    <w:p w14:paraId="039BEE82" w14:textId="6369E5AC" w:rsidR="00765A5D" w:rsidRDefault="00765A5D" w:rsidP="00F76A8E">
      <w:pPr>
        <w:rPr>
          <w:b/>
          <w:bCs/>
          <w:lang w:val="en-US"/>
        </w:rPr>
      </w:pPr>
    </w:p>
    <w:p w14:paraId="709CE1CE" w14:textId="60EA6767" w:rsidR="00765A5D" w:rsidRPr="00765A5D" w:rsidRDefault="00765A5D" w:rsidP="00F76A8E">
      <w:pPr>
        <w:rPr>
          <w:lang w:val="en-US"/>
        </w:rPr>
      </w:pPr>
      <w:r w:rsidRPr="00765A5D">
        <w:rPr>
          <w:lang w:val="en-US"/>
        </w:rPr>
        <w:t>instantaneous irritation to the eyes, nose, mouth, skin, and respiratory tract.9 Dermal effects include itching, stinging, and redness, with potential blistering and allergic contact dermatitis.25 Ocular exposure can result in lacrimation, blepharospasm, itching, and burning sensation.26 When inhaled, CS often leads to coughing, choking, salivation, and chest tightness.11 OC exposure causes pain and tingling in the respiratory tract, accompanied by coughing</w:t>
      </w:r>
    </w:p>
    <w:p w14:paraId="1B8DBCBA" w14:textId="77777777" w:rsidR="00765A5D" w:rsidRPr="00765A5D" w:rsidRDefault="00765A5D" w:rsidP="00F76A8E">
      <w:pPr>
        <w:rPr>
          <w:b/>
          <w:bCs/>
          <w:lang w:val="en-US"/>
        </w:rPr>
      </w:pPr>
    </w:p>
    <w:p w14:paraId="17EF2E24" w14:textId="3D95AD7E" w:rsidR="00765A5D" w:rsidRPr="00765A5D" w:rsidRDefault="00765A5D" w:rsidP="00F76A8E">
      <w:pPr>
        <w:rPr>
          <w:b/>
          <w:bCs/>
          <w:lang w:val="en-US"/>
        </w:rPr>
      </w:pPr>
      <w:r w:rsidRPr="00765A5D">
        <w:rPr>
          <w:b/>
          <w:bCs/>
          <w:lang w:val="en-US"/>
        </w:rPr>
        <w:t>ANNALS OF THE NEW YORK ACADEMY OF SCIENCES Issue: Countermeasures Against Chemical Threats Tear gas: an epidemiological and mechanistic reassessmen</w:t>
      </w:r>
      <w:r w:rsidRPr="00765A5D">
        <w:rPr>
          <w:b/>
          <w:bCs/>
          <w:lang w:val="en-US"/>
        </w:rPr>
        <w:t>t</w:t>
      </w:r>
    </w:p>
    <w:p w14:paraId="322D7ECF" w14:textId="06D39FAA" w:rsidR="00765A5D" w:rsidRPr="00765A5D" w:rsidRDefault="00765A5D" w:rsidP="00F76A8E">
      <w:pPr>
        <w:rPr>
          <w:b/>
          <w:bCs/>
          <w:lang w:val="en-US"/>
        </w:rPr>
      </w:pPr>
      <w:r w:rsidRPr="00765A5D">
        <w:rPr>
          <w:b/>
          <w:bCs/>
          <w:lang w:val="en-US"/>
        </w:rPr>
        <w:t>https://www.ncbi.nlm.nih.gov/pmc/articles/PMC5096012/pdf/NYAS-1378-96.pdf</w:t>
      </w:r>
    </w:p>
    <w:p w14:paraId="5339816B" w14:textId="77777777" w:rsidR="00765A5D" w:rsidRPr="00F76A8E" w:rsidRDefault="00765A5D" w:rsidP="00F76A8E">
      <w:pPr>
        <w:rPr>
          <w:b/>
          <w:bCs/>
          <w:lang w:val="en-US"/>
        </w:rPr>
      </w:pPr>
    </w:p>
    <w:sectPr w:rsidR="00765A5D" w:rsidRPr="00F76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8E"/>
    <w:rsid w:val="003B3546"/>
    <w:rsid w:val="00765A5D"/>
    <w:rsid w:val="00B05070"/>
    <w:rsid w:val="00F76A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E00"/>
  <w15:chartTrackingRefBased/>
  <w15:docId w15:val="{EBCB60D7-8987-41C2-A986-B08DD4F6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6A8E"/>
    <w:rPr>
      <w:color w:val="0563C1" w:themeColor="hyperlink"/>
      <w:u w:val="single"/>
    </w:rPr>
  </w:style>
  <w:style w:type="character" w:styleId="Mencinsinresolver">
    <w:name w:val="Unresolved Mention"/>
    <w:basedOn w:val="Fuentedeprrafopredeter"/>
    <w:uiPriority w:val="99"/>
    <w:semiHidden/>
    <w:unhideWhenUsed/>
    <w:rsid w:val="00F76A8E"/>
    <w:rPr>
      <w:color w:val="605E5C"/>
      <w:shd w:val="clear" w:color="auto" w:fill="E1DFDD"/>
    </w:rPr>
  </w:style>
  <w:style w:type="paragraph" w:styleId="Textodeglobo">
    <w:name w:val="Balloon Text"/>
    <w:basedOn w:val="Normal"/>
    <w:link w:val="TextodegloboCar"/>
    <w:uiPriority w:val="99"/>
    <w:semiHidden/>
    <w:unhideWhenUsed/>
    <w:rsid w:val="00765A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5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6447">
      <w:bodyDiv w:val="1"/>
      <w:marLeft w:val="0"/>
      <w:marRight w:val="0"/>
      <w:marTop w:val="0"/>
      <w:marBottom w:val="0"/>
      <w:divBdr>
        <w:top w:val="none" w:sz="0" w:space="0" w:color="auto"/>
        <w:left w:val="none" w:sz="0" w:space="0" w:color="auto"/>
        <w:bottom w:val="none" w:sz="0" w:space="0" w:color="auto"/>
        <w:right w:val="none" w:sz="0" w:space="0" w:color="auto"/>
      </w:divBdr>
      <w:divsChild>
        <w:div w:id="1702634278">
          <w:marLeft w:val="-113"/>
          <w:marRight w:val="-113"/>
          <w:marTop w:val="0"/>
          <w:marBottom w:val="0"/>
          <w:divBdr>
            <w:top w:val="none" w:sz="0" w:space="0" w:color="auto"/>
            <w:left w:val="none" w:sz="0" w:space="0" w:color="auto"/>
            <w:bottom w:val="none" w:sz="0" w:space="0" w:color="auto"/>
            <w:right w:val="none" w:sz="0" w:space="0" w:color="auto"/>
          </w:divBdr>
          <w:divsChild>
            <w:div w:id="1125348316">
              <w:marLeft w:val="0"/>
              <w:marRight w:val="0"/>
              <w:marTop w:val="0"/>
              <w:marBottom w:val="0"/>
              <w:divBdr>
                <w:top w:val="single" w:sz="6" w:space="0" w:color="CCCCCC"/>
                <w:left w:val="single" w:sz="6" w:space="0" w:color="CCCCCC"/>
                <w:bottom w:val="single" w:sz="6" w:space="0" w:color="CCCCCC"/>
                <w:right w:val="single" w:sz="6" w:space="0" w:color="CCCCCC"/>
              </w:divBdr>
              <w:divsChild>
                <w:div w:id="1260870601">
                  <w:marLeft w:val="0"/>
                  <w:marRight w:val="0"/>
                  <w:marTop w:val="0"/>
                  <w:marBottom w:val="0"/>
                  <w:divBdr>
                    <w:top w:val="none" w:sz="0" w:space="0" w:color="auto"/>
                    <w:left w:val="none" w:sz="0" w:space="0" w:color="auto"/>
                    <w:bottom w:val="none" w:sz="0" w:space="0" w:color="auto"/>
                    <w:right w:val="none" w:sz="0" w:space="0" w:color="auto"/>
                  </w:divBdr>
                  <w:divsChild>
                    <w:div w:id="1510560582">
                      <w:marLeft w:val="0"/>
                      <w:marRight w:val="0"/>
                      <w:marTop w:val="0"/>
                      <w:marBottom w:val="0"/>
                      <w:divBdr>
                        <w:top w:val="none" w:sz="0" w:space="0" w:color="auto"/>
                        <w:left w:val="none" w:sz="0" w:space="0" w:color="auto"/>
                        <w:bottom w:val="none" w:sz="0" w:space="0" w:color="auto"/>
                        <w:right w:val="none" w:sz="0" w:space="0" w:color="auto"/>
                      </w:divBdr>
                      <w:divsChild>
                        <w:div w:id="1747142416">
                          <w:marLeft w:val="0"/>
                          <w:marRight w:val="0"/>
                          <w:marTop w:val="0"/>
                          <w:marBottom w:val="0"/>
                          <w:divBdr>
                            <w:top w:val="none" w:sz="0" w:space="0" w:color="auto"/>
                            <w:left w:val="none" w:sz="0" w:space="0" w:color="auto"/>
                            <w:bottom w:val="none" w:sz="0" w:space="0" w:color="auto"/>
                            <w:right w:val="none" w:sz="0" w:space="0" w:color="auto"/>
                          </w:divBdr>
                          <w:divsChild>
                            <w:div w:id="235018084">
                              <w:marLeft w:val="0"/>
                              <w:marRight w:val="0"/>
                              <w:marTop w:val="0"/>
                              <w:marBottom w:val="0"/>
                              <w:divBdr>
                                <w:top w:val="none" w:sz="0" w:space="0" w:color="auto"/>
                                <w:left w:val="none" w:sz="0" w:space="0" w:color="auto"/>
                                <w:bottom w:val="none" w:sz="0" w:space="0" w:color="auto"/>
                                <w:right w:val="none" w:sz="0" w:space="0" w:color="auto"/>
                              </w:divBdr>
                              <w:divsChild>
                                <w:div w:id="96948413">
                                  <w:marLeft w:val="0"/>
                                  <w:marRight w:val="0"/>
                                  <w:marTop w:val="0"/>
                                  <w:marBottom w:val="0"/>
                                  <w:divBdr>
                                    <w:top w:val="none" w:sz="0" w:space="0" w:color="auto"/>
                                    <w:left w:val="none" w:sz="0" w:space="0" w:color="auto"/>
                                    <w:bottom w:val="none" w:sz="0" w:space="0" w:color="auto"/>
                                    <w:right w:val="none" w:sz="0" w:space="0" w:color="auto"/>
                                  </w:divBdr>
                                  <w:divsChild>
                                    <w:div w:id="1232274305">
                                      <w:marLeft w:val="0"/>
                                      <w:marRight w:val="0"/>
                                      <w:marTop w:val="0"/>
                                      <w:marBottom w:val="0"/>
                                      <w:divBdr>
                                        <w:top w:val="none" w:sz="0" w:space="0" w:color="auto"/>
                                        <w:left w:val="none" w:sz="0" w:space="0" w:color="auto"/>
                                        <w:bottom w:val="none" w:sz="0" w:space="0" w:color="auto"/>
                                        <w:right w:val="none" w:sz="0" w:space="0" w:color="auto"/>
                                      </w:divBdr>
                                      <w:divsChild>
                                        <w:div w:id="524294047">
                                          <w:marLeft w:val="0"/>
                                          <w:marRight w:val="0"/>
                                          <w:marTop w:val="0"/>
                                          <w:marBottom w:val="0"/>
                                          <w:divBdr>
                                            <w:top w:val="none" w:sz="0" w:space="0" w:color="auto"/>
                                            <w:left w:val="none" w:sz="0" w:space="0" w:color="auto"/>
                                            <w:bottom w:val="none" w:sz="0" w:space="0" w:color="auto"/>
                                            <w:right w:val="none" w:sz="0" w:space="0" w:color="auto"/>
                                          </w:divBdr>
                                          <w:divsChild>
                                            <w:div w:id="1492062503">
                                              <w:marLeft w:val="0"/>
                                              <w:marRight w:val="0"/>
                                              <w:marTop w:val="0"/>
                                              <w:marBottom w:val="0"/>
                                              <w:divBdr>
                                                <w:top w:val="none" w:sz="0" w:space="0" w:color="auto"/>
                                                <w:left w:val="none" w:sz="0" w:space="0" w:color="auto"/>
                                                <w:bottom w:val="none" w:sz="0" w:space="0" w:color="auto"/>
                                                <w:right w:val="none" w:sz="0" w:space="0" w:color="auto"/>
                                              </w:divBdr>
                                              <w:divsChild>
                                                <w:div w:id="1510213128">
                                                  <w:marLeft w:val="0"/>
                                                  <w:marRight w:val="0"/>
                                                  <w:marTop w:val="0"/>
                                                  <w:marBottom w:val="0"/>
                                                  <w:divBdr>
                                                    <w:top w:val="none" w:sz="0" w:space="0" w:color="auto"/>
                                                    <w:left w:val="none" w:sz="0" w:space="0" w:color="auto"/>
                                                    <w:bottom w:val="none" w:sz="0" w:space="0" w:color="auto"/>
                                                    <w:right w:val="none" w:sz="0" w:space="0" w:color="auto"/>
                                                  </w:divBdr>
                                                  <w:divsChild>
                                                    <w:div w:id="1725374308">
                                                      <w:marLeft w:val="0"/>
                                                      <w:marRight w:val="0"/>
                                                      <w:marTop w:val="0"/>
                                                      <w:marBottom w:val="0"/>
                                                      <w:divBdr>
                                                        <w:top w:val="none" w:sz="0" w:space="0" w:color="auto"/>
                                                        <w:left w:val="none" w:sz="0" w:space="0" w:color="auto"/>
                                                        <w:bottom w:val="none" w:sz="0" w:space="0" w:color="auto"/>
                                                        <w:right w:val="none" w:sz="0" w:space="0" w:color="auto"/>
                                                      </w:divBdr>
                                                      <w:divsChild>
                                                        <w:div w:id="1147088625">
                                                          <w:marLeft w:val="0"/>
                                                          <w:marRight w:val="0"/>
                                                          <w:marTop w:val="0"/>
                                                          <w:marBottom w:val="0"/>
                                                          <w:divBdr>
                                                            <w:top w:val="none" w:sz="0" w:space="0" w:color="auto"/>
                                                            <w:left w:val="none" w:sz="0" w:space="0" w:color="auto"/>
                                                            <w:bottom w:val="none" w:sz="0" w:space="0" w:color="auto"/>
                                                            <w:right w:val="none" w:sz="0" w:space="0" w:color="auto"/>
                                                          </w:divBdr>
                                                          <w:divsChild>
                                                            <w:div w:id="896017229">
                                                              <w:marLeft w:val="0"/>
                                                              <w:marRight w:val="0"/>
                                                              <w:marTop w:val="0"/>
                                                              <w:marBottom w:val="0"/>
                                                              <w:divBdr>
                                                                <w:top w:val="none" w:sz="0" w:space="0" w:color="auto"/>
                                                                <w:left w:val="none" w:sz="0" w:space="0" w:color="auto"/>
                                                                <w:bottom w:val="none" w:sz="0" w:space="0" w:color="auto"/>
                                                                <w:right w:val="none" w:sz="0" w:space="0" w:color="auto"/>
                                                              </w:divBdr>
                                                              <w:divsChild>
                                                                <w:div w:id="645479469">
                                                                  <w:marLeft w:val="0"/>
                                                                  <w:marRight w:val="0"/>
                                                                  <w:marTop w:val="0"/>
                                                                  <w:marBottom w:val="0"/>
                                                                  <w:divBdr>
                                                                    <w:top w:val="none" w:sz="0" w:space="0" w:color="auto"/>
                                                                    <w:left w:val="none" w:sz="0" w:space="0" w:color="auto"/>
                                                                    <w:bottom w:val="none" w:sz="0" w:space="0" w:color="auto"/>
                                                                    <w:right w:val="none" w:sz="0" w:space="0" w:color="auto"/>
                                                                  </w:divBdr>
                                                                  <w:divsChild>
                                                                    <w:div w:id="1597009925">
                                                                      <w:marLeft w:val="0"/>
                                                                      <w:marRight w:val="0"/>
                                                                      <w:marTop w:val="0"/>
                                                                      <w:marBottom w:val="525"/>
                                                                      <w:divBdr>
                                                                        <w:top w:val="none" w:sz="0" w:space="0" w:color="auto"/>
                                                                        <w:left w:val="none" w:sz="0" w:space="0" w:color="auto"/>
                                                                        <w:bottom w:val="none" w:sz="0" w:space="0" w:color="auto"/>
                                                                        <w:right w:val="none" w:sz="0" w:space="0" w:color="auto"/>
                                                                      </w:divBdr>
                                                                      <w:divsChild>
                                                                        <w:div w:id="1438139442">
                                                                          <w:marLeft w:val="0"/>
                                                                          <w:marRight w:val="0"/>
                                                                          <w:marTop w:val="0"/>
                                                                          <w:marBottom w:val="0"/>
                                                                          <w:divBdr>
                                                                            <w:top w:val="none" w:sz="0" w:space="0" w:color="auto"/>
                                                                            <w:left w:val="none" w:sz="0" w:space="0" w:color="auto"/>
                                                                            <w:bottom w:val="none" w:sz="0" w:space="0" w:color="auto"/>
                                                                            <w:right w:val="none" w:sz="0" w:space="0" w:color="auto"/>
                                                                          </w:divBdr>
                                                                          <w:divsChild>
                                                                            <w:div w:id="1954050095">
                                                                              <w:marLeft w:val="0"/>
                                                                              <w:marRight w:val="0"/>
                                                                              <w:marTop w:val="0"/>
                                                                              <w:marBottom w:val="0"/>
                                                                              <w:divBdr>
                                                                                <w:top w:val="none" w:sz="0" w:space="0" w:color="auto"/>
                                                                                <w:left w:val="none" w:sz="0" w:space="0" w:color="auto"/>
                                                                                <w:bottom w:val="none" w:sz="0" w:space="0" w:color="auto"/>
                                                                                <w:right w:val="none" w:sz="0" w:space="0" w:color="auto"/>
                                                                              </w:divBdr>
                                                                              <w:divsChild>
                                                                                <w:div w:id="1602640072">
                                                                                  <w:marLeft w:val="0"/>
                                                                                  <w:marRight w:val="0"/>
                                                                                  <w:marTop w:val="0"/>
                                                                                  <w:marBottom w:val="0"/>
                                                                                  <w:divBdr>
                                                                                    <w:top w:val="none" w:sz="0" w:space="0" w:color="auto"/>
                                                                                    <w:left w:val="none" w:sz="0" w:space="0" w:color="auto"/>
                                                                                    <w:bottom w:val="none" w:sz="0" w:space="0" w:color="auto"/>
                                                                                    <w:right w:val="none" w:sz="0" w:space="0" w:color="auto"/>
                                                                                  </w:divBdr>
                                                                                </w:div>
                                                                                <w:div w:id="489061752">
                                                                                  <w:marLeft w:val="0"/>
                                                                                  <w:marRight w:val="0"/>
                                                                                  <w:marTop w:val="0"/>
                                                                                  <w:marBottom w:val="0"/>
                                                                                  <w:divBdr>
                                                                                    <w:top w:val="none" w:sz="0" w:space="0" w:color="auto"/>
                                                                                    <w:left w:val="none" w:sz="0" w:space="0" w:color="auto"/>
                                                                                    <w:bottom w:val="none" w:sz="0" w:space="0" w:color="auto"/>
                                                                                    <w:right w:val="none" w:sz="0" w:space="0" w:color="auto"/>
                                                                                  </w:divBdr>
                                                                                </w:div>
                                                                                <w:div w:id="3232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86/s12889-017-4814-6" TargetMode="External"/><Relationship Id="rId4" Type="http://schemas.openxmlformats.org/officeDocument/2006/relationships/hyperlink" Target="https://doi.org/10.12809/hkmj19814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cp:revision>
  <dcterms:created xsi:type="dcterms:W3CDTF">2020-10-29T16:04:00Z</dcterms:created>
  <dcterms:modified xsi:type="dcterms:W3CDTF">2020-10-30T01:11:00Z</dcterms:modified>
</cp:coreProperties>
</file>