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BC078" w14:textId="74DD27C6" w:rsidR="00345D7F" w:rsidRDefault="006F7741">
      <w:r>
        <w:t>Proposed</w:t>
      </w:r>
      <w:r w:rsidR="002F2300">
        <w:t xml:space="preserve"> use of LAI to attribute cohort coverage of a site</w:t>
      </w:r>
      <w:r>
        <w:t xml:space="preserve"> in </w:t>
      </w:r>
      <w:proofErr w:type="spellStart"/>
      <w:r>
        <w:t>PnET</w:t>
      </w:r>
      <w:proofErr w:type="spellEnd"/>
      <w:r w:rsidR="002F2300">
        <w:t>-</w:t>
      </w:r>
      <w:r>
        <w:t>Succession</w:t>
      </w:r>
    </w:p>
    <w:p w14:paraId="07E57E00" w14:textId="7D5A32D9" w:rsidR="0022171B" w:rsidRDefault="0022171B" w:rsidP="00F96571">
      <w:r>
        <w:t xml:space="preserve">To enable the breadth of multi-cohort and disturbance processes required of </w:t>
      </w:r>
      <w:proofErr w:type="spellStart"/>
      <w:r>
        <w:t>PnET</w:t>
      </w:r>
      <w:proofErr w:type="spellEnd"/>
      <w:r>
        <w:t xml:space="preserve"> succession within LANDIS-II, we make the following simplifying assumptions:</w:t>
      </w:r>
    </w:p>
    <w:p w14:paraId="447DCC98" w14:textId="7D94A82B" w:rsidR="0022171B" w:rsidRDefault="0022171B" w:rsidP="00BE1301">
      <w:pPr>
        <w:pStyle w:val="ListParagraph"/>
        <w:numPr>
          <w:ilvl w:val="0"/>
          <w:numId w:val="4"/>
        </w:numPr>
      </w:pPr>
      <w:r>
        <w:t xml:space="preserve">Competition for horizontal </w:t>
      </w:r>
      <w:r w:rsidR="00BE1301">
        <w:t>(i.e., 2D) canopy</w:t>
      </w:r>
      <w:r>
        <w:t xml:space="preserve"> space occurs WI</w:t>
      </w:r>
      <w:r w:rsidR="00BE1301">
        <w:t>THIN a canopy layer.</w:t>
      </w:r>
    </w:p>
    <w:p w14:paraId="671F1354" w14:textId="634BCE24" w:rsidR="00BE1301" w:rsidRDefault="00BE1301" w:rsidP="00BE1301">
      <w:pPr>
        <w:pStyle w:val="ListParagraph"/>
        <w:numPr>
          <w:ilvl w:val="0"/>
          <w:numId w:val="4"/>
        </w:numPr>
      </w:pPr>
      <w:r>
        <w:t>Tree species cohorts compete for horizontal canopy space but must fill up their 3D canopy volume</w:t>
      </w:r>
      <w:r w:rsidR="00AA5FF8">
        <w:t>.</w:t>
      </w:r>
    </w:p>
    <w:p w14:paraId="2E560C31" w14:textId="4552BCD5" w:rsidR="00AA5FF8" w:rsidRDefault="00AA5FF8" w:rsidP="00BE1301">
      <w:pPr>
        <w:pStyle w:val="ListParagraph"/>
        <w:numPr>
          <w:ilvl w:val="0"/>
          <w:numId w:val="4"/>
        </w:numPr>
      </w:pPr>
      <w:r>
        <w:t>Cohorts within the same canopy layer occupy discreet (non-overlapping) horizontal space.  Therefore, cohort growth calculations performed with density units (m</w:t>
      </w:r>
      <w:r>
        <w:rPr>
          <w:vertAlign w:val="superscript"/>
        </w:rPr>
        <w:t>-2</w:t>
      </w:r>
      <w:r>
        <w:t xml:space="preserve">) require no adjustment from </w:t>
      </w:r>
      <w:proofErr w:type="spellStart"/>
      <w:r>
        <w:t>PnET</w:t>
      </w:r>
      <w:proofErr w:type="spellEnd"/>
      <w:r>
        <w:t>-II methods.</w:t>
      </w:r>
    </w:p>
    <w:p w14:paraId="663E842D" w14:textId="6E30149D" w:rsidR="00AA5FF8" w:rsidRDefault="00AA5FF8" w:rsidP="00BE1301">
      <w:pPr>
        <w:pStyle w:val="ListParagraph"/>
        <w:numPr>
          <w:ilvl w:val="0"/>
          <w:numId w:val="4"/>
        </w:numPr>
      </w:pPr>
      <w:r>
        <w:t>Site-level attributes</w:t>
      </w:r>
      <w:r w:rsidR="0093611B">
        <w:t xml:space="preserve"> (e.g., biomass, LAI) represent the total amount of all cohorts present on the site, where each cohort contributes to the total in proportion to its estimated horizontal cover</w:t>
      </w:r>
      <w:r w:rsidR="002F2300">
        <w:t>a</w:t>
      </w:r>
      <w:r w:rsidR="0093611B">
        <w:t>ge.</w:t>
      </w:r>
    </w:p>
    <w:p w14:paraId="0503612F" w14:textId="2A1063D7" w:rsidR="00BE1301" w:rsidRDefault="00BE1301" w:rsidP="00BE1301">
      <w:pPr>
        <w:pStyle w:val="ListParagraph"/>
        <w:numPr>
          <w:ilvl w:val="0"/>
          <w:numId w:val="4"/>
        </w:numPr>
      </w:pPr>
      <w:r>
        <w:t>The proportion of horizontal canopy space</w:t>
      </w:r>
      <w:r w:rsidR="00557650">
        <w:t xml:space="preserve"> for a given LANDIS </w:t>
      </w:r>
      <w:r w:rsidR="00C247F0">
        <w:t xml:space="preserve">site </w:t>
      </w:r>
      <w:r w:rsidR="00557650">
        <w:t>(cell)</w:t>
      </w:r>
      <w:r>
        <w:t xml:space="preserve"> a cohort </w:t>
      </w:r>
      <w:r w:rsidR="00FA0A88">
        <w:t xml:space="preserve">can POTENTIALLY </w:t>
      </w:r>
      <w:r>
        <w:t>occup</w:t>
      </w:r>
      <w:r w:rsidR="00FA0A88">
        <w:t>y</w:t>
      </w:r>
      <w:r>
        <w:t xml:space="preserve"> is a function of its </w:t>
      </w:r>
      <w:r w:rsidR="00FA0A88">
        <w:t>calculated LAI</w:t>
      </w:r>
      <w:r>
        <w:t xml:space="preserve"> divided by its maximum LAI.</w:t>
      </w:r>
      <w:r w:rsidR="00C247F0">
        <w:t xml:space="preserve">  This assumes th</w:t>
      </w:r>
      <w:r w:rsidR="00AA5FF8">
        <w:t xml:space="preserve">at when growing alone, </w:t>
      </w:r>
      <w:commentRangeStart w:id="0"/>
      <w:r w:rsidR="00AA5FF8">
        <w:t>a cohort completely fills the horizontal canopy space when it reaches its maximum LAI.</w:t>
      </w:r>
      <w:commentRangeEnd w:id="0"/>
      <w:r w:rsidR="00AA5FF8">
        <w:rPr>
          <w:rStyle w:val="CommentReference"/>
        </w:rPr>
        <w:commentReference w:id="0"/>
      </w:r>
      <w:r w:rsidR="0093611B">
        <w:t xml:space="preserve">  It also means that small (young) cohorts do not completely fill the growing space.</w:t>
      </w:r>
    </w:p>
    <w:p w14:paraId="0A87AC50" w14:textId="0654C80B" w:rsidR="00BE1301" w:rsidRPr="00BE1301" w:rsidRDefault="002F2300" w:rsidP="006F7741">
      <w:pPr>
        <w:ind w:left="72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Foliage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TotalBiom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FracFol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FActiveBiom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1EA3C80" w14:textId="602226C0" w:rsidR="00BE1301" w:rsidRPr="00BE1301" w:rsidRDefault="002F2300" w:rsidP="00BE1301">
      <w:pPr>
        <w:ind w:left="72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LAI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Foliage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SLWmax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bookmarkStart w:id="1" w:name="_Hlk90036775"/>
    <w:p w14:paraId="3B88F15C" w14:textId="1E07C907" w:rsidR="00BE1301" w:rsidRDefault="002F2300" w:rsidP="006F7741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PCanArea.pot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LAI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MaxLAI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  <w:bookmarkEnd w:id="1"/>
    </w:p>
    <w:p w14:paraId="5676116F" w14:textId="26DA0AFB" w:rsidR="00BE1301" w:rsidRDefault="0093611B" w:rsidP="00BE1301">
      <w:pPr>
        <w:pStyle w:val="ListParagraph"/>
        <w:numPr>
          <w:ilvl w:val="0"/>
          <w:numId w:val="4"/>
        </w:numPr>
      </w:pPr>
      <w:r>
        <w:t>Layer-</w:t>
      </w:r>
      <w:r w:rsidR="00557650">
        <w:t xml:space="preserve">Level Canopy Area is </w:t>
      </w:r>
      <w:r>
        <w:t>the sum of the canopy proportions for the cohorts in the layer.</w:t>
      </w:r>
      <w:r w:rsidR="00557650">
        <w:t xml:space="preserve">  </w:t>
      </w:r>
      <w:r>
        <w:t>C</w:t>
      </w:r>
      <w:r w:rsidR="00557650">
        <w:t xml:space="preserve">overage of a canopy layer can be less than one (i.e., incomplete crown closure), but no greater than </w:t>
      </w:r>
      <w:r w:rsidR="00C247F0">
        <w:t>one</w:t>
      </w:r>
      <w:r w:rsidR="00557650">
        <w:t xml:space="preserve"> </w:t>
      </w:r>
      <w:r w:rsidR="00C247F0">
        <w:t xml:space="preserve">(i.e., </w:t>
      </w:r>
      <w:r w:rsidR="00557650">
        <w:t>complete</w:t>
      </w:r>
      <w:r w:rsidR="00C247F0">
        <w:t xml:space="preserve"> crown closure)</w:t>
      </w:r>
      <w:r>
        <w:t>, so when the sum exceeds 1 a limit is applied</w:t>
      </w:r>
      <w:r w:rsidR="00557650">
        <w:t>.</w:t>
      </w:r>
    </w:p>
    <w:p w14:paraId="25DCAAEE" w14:textId="72B3C53E" w:rsidR="00773F14" w:rsidRPr="006F7741" w:rsidRDefault="002F2300" w:rsidP="006F7741">
      <w:pPr>
        <w:ind w:left="72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PCanArea</m:t>
              </m:r>
            </m:e>
            <m:sub>
              <m:r>
                <w:rPr>
                  <w:rFonts w:ascii="Cambria Math" w:hAnsi="Cambria Math"/>
                </w:rPr>
                <m:t>Layer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PCanArea.pot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7B9821C4" w14:textId="6574F3EE" w:rsidR="00AA5FF8" w:rsidRDefault="00AA5FF8" w:rsidP="00AA5FF8">
      <w:pPr>
        <w:pStyle w:val="ListParagraph"/>
        <w:numPr>
          <w:ilvl w:val="1"/>
          <w:numId w:val="4"/>
        </w:numPr>
      </w:pPr>
      <w:r>
        <w:t xml:space="preserve">When </w:t>
      </w:r>
      <w:proofErr w:type="spellStart"/>
      <w:r>
        <w:t>PCanArea</w:t>
      </w:r>
      <w:r w:rsidR="0093611B">
        <w:rPr>
          <w:vertAlign w:val="subscript"/>
        </w:rPr>
        <w:t>Layer</w:t>
      </w:r>
      <w:proofErr w:type="spellEnd"/>
      <w:r>
        <w:t xml:space="preserve"> &lt;= 1, no adjustment to cohorts’ canopy area is necessary.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PCanArea.act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PCanArea.pot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94781A3" w14:textId="263769FD" w:rsidR="00557650" w:rsidRDefault="00773F14" w:rsidP="00FA0A88">
      <w:pPr>
        <w:pStyle w:val="ListParagraph"/>
        <w:numPr>
          <w:ilvl w:val="1"/>
          <w:numId w:val="4"/>
        </w:numPr>
      </w:pPr>
      <w:r>
        <w:t>Whe</w:t>
      </w:r>
      <w:r w:rsidR="00AA5FF8">
        <w:t>n</w:t>
      </w:r>
      <w:r>
        <w:t xml:space="preserve"> </w:t>
      </w:r>
      <w:proofErr w:type="spellStart"/>
      <w:r w:rsidR="0093611B">
        <w:t>PCanArea</w:t>
      </w:r>
      <w:r w:rsidR="0093611B">
        <w:rPr>
          <w:vertAlign w:val="subscript"/>
        </w:rPr>
        <w:t>Layer</w:t>
      </w:r>
      <w:proofErr w:type="spellEnd"/>
      <w:r w:rsidR="0093611B">
        <w:t xml:space="preserve"> </w:t>
      </w:r>
      <w:r w:rsidR="00FA0A88">
        <w:t xml:space="preserve">is estimated as &gt;1, the </w:t>
      </w:r>
      <w:proofErr w:type="spellStart"/>
      <w:r w:rsidR="00FA0A88">
        <w:t>PCanArea</w:t>
      </w:r>
      <w:proofErr w:type="spellEnd"/>
      <w:r w:rsidR="00FA0A88">
        <w:t xml:space="preserve"> of cohorts are constrained to sum to 1, apportioning the canopy space </w:t>
      </w:r>
      <w:r w:rsidR="00AA5FF8">
        <w:t>in proportion to</w:t>
      </w:r>
      <w:r w:rsidR="00FA0A88">
        <w:t xml:space="preserve"> their potential canopy area relative to each other</w:t>
      </w:r>
      <w:r w:rsidR="00AA5FF8">
        <w:t>.</w:t>
      </w:r>
    </w:p>
    <w:p w14:paraId="220C3A31" w14:textId="66355DAA" w:rsidR="005C786F" w:rsidRDefault="002F2300" w:rsidP="006F7741">
      <w:pPr>
        <w:pStyle w:val="ListParagraph"/>
        <w:ind w:left="1800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PCanArea.act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PCanArea.pot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PCanArea</m:t>
              </m:r>
            </m:e>
            <m:sub>
              <m:r>
                <w:rPr>
                  <w:rFonts w:ascii="Cambria Math" w:hAnsi="Cambria Math"/>
                </w:rPr>
                <m:t>Layer</m:t>
              </m:r>
            </m:sub>
          </m:sSub>
        </m:oMath>
      </m:oMathPara>
    </w:p>
    <w:p w14:paraId="48F746B6" w14:textId="3EBEA133" w:rsidR="004A3AD3" w:rsidRDefault="004A3AD3" w:rsidP="004A6CC7">
      <w:pPr>
        <w:pStyle w:val="ListParagraph"/>
        <w:numPr>
          <w:ilvl w:val="1"/>
          <w:numId w:val="4"/>
        </w:numPr>
      </w:pPr>
      <w:r>
        <w:t>Once a limit has been applied to a cohort due to canopy closure (</w:t>
      </w:r>
      <w:proofErr w:type="spellStart"/>
      <w:r w:rsidRPr="004A3AD3">
        <w:t>PCanArea.act</w:t>
      </w:r>
      <w:proofErr w:type="spellEnd"/>
      <w:r>
        <w:t xml:space="preserve"> &lt; </w:t>
      </w:r>
      <w:r w:rsidRPr="004A3AD3">
        <w:t>PCanArea.pot</w:t>
      </w:r>
      <w:r>
        <w:t xml:space="preserve">), that limit will always represent the maximum </w:t>
      </w:r>
      <w:proofErr w:type="spellStart"/>
      <w:r>
        <w:t>PCanArea</w:t>
      </w:r>
      <w:proofErr w:type="spellEnd"/>
      <w:r>
        <w:t xml:space="preserve"> that cohort can reach, even if the cohort is later relieved of the canopy competition.  This means that after canopy closure, the removal of a cohort leaves “empty space” in the canopy layer that cannot be filled by the previous competitors.</w:t>
      </w:r>
    </w:p>
    <w:p w14:paraId="611625C0" w14:textId="4E0FA344" w:rsidR="004A6CC7" w:rsidRDefault="004A6CC7" w:rsidP="004A6CC7">
      <w:pPr>
        <w:pStyle w:val="ListParagraph"/>
        <w:numPr>
          <w:ilvl w:val="1"/>
          <w:numId w:val="4"/>
        </w:numPr>
      </w:pPr>
      <w:r>
        <w:lastRenderedPageBreak/>
        <w:t xml:space="preserve">Site-level </w:t>
      </w:r>
      <w:r w:rsidR="00C247F0">
        <w:t>attributes (LAI, biomass, etc.)</w:t>
      </w:r>
      <w:r>
        <w:t xml:space="preserve"> </w:t>
      </w:r>
      <w:r w:rsidR="00C247F0">
        <w:t>are</w:t>
      </w:r>
      <w:r>
        <w:t xml:space="preserve"> then calculated as the</w:t>
      </w:r>
      <w:r w:rsidR="00C247F0">
        <w:t xml:space="preserve"> weighted</w:t>
      </w:r>
      <w:r>
        <w:t xml:space="preserve"> sum of the </w:t>
      </w:r>
      <w:r w:rsidR="00C247F0">
        <w:t xml:space="preserve">cohort-level values </w:t>
      </w:r>
      <w:r>
        <w:t xml:space="preserve">for all </w:t>
      </w:r>
      <w:r w:rsidR="00C247F0">
        <w:t>cohorts</w:t>
      </w:r>
      <w:r>
        <w:t xml:space="preserve"> in the canopy (</w:t>
      </w:r>
      <w:r w:rsidR="00C247F0">
        <w:t>e.g.</w:t>
      </w:r>
      <w:r>
        <w:t>, the sum of</w:t>
      </w:r>
      <w:r w:rsidR="00C247F0">
        <w:t xml:space="preserve"> </w:t>
      </w:r>
      <w:r>
        <w:t>LAI of cohorts multiplied by their respective proportions of the canopy layer)</w:t>
      </w:r>
    </w:p>
    <w:p w14:paraId="31851685" w14:textId="12CED7C5" w:rsidR="004A6CC7" w:rsidRPr="005C786F" w:rsidRDefault="004A6CC7" w:rsidP="004A6CC7">
      <w:pPr>
        <w:ind w:left="720"/>
        <w:rPr>
          <w:rFonts w:eastAsiaTheme="minorEastAsia"/>
          <w:iCs/>
        </w:rPr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LAI</m:t>
              </m:r>
            </m:e>
            <m:sub>
              <m:r>
                <w:rPr>
                  <w:rFonts w:ascii="Cambria Math" w:hAnsi="Cambria Math"/>
                </w:rPr>
                <m:t>Site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LAI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PCanArea.act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24502055" w14:textId="0C84647C" w:rsidR="00FA0A88" w:rsidRDefault="00456F7E" w:rsidP="004A3AD3">
      <w:pPr>
        <w:pStyle w:val="ListParagraph"/>
        <w:numPr>
          <w:ilvl w:val="0"/>
          <w:numId w:val="4"/>
        </w:numPr>
      </w:pPr>
      <w:r>
        <w:t xml:space="preserve">The above formulations will make succession more sensitive to parameters affecting </w:t>
      </w:r>
      <w:r w:rsidR="004A3AD3">
        <w:t xml:space="preserve">cohort </w:t>
      </w:r>
      <w:r>
        <w:t>folia</w:t>
      </w:r>
      <w:r w:rsidR="00D24B53">
        <w:t>ge and the distribution of that foliage via LAI</w:t>
      </w:r>
    </w:p>
    <w:p w14:paraId="000D6CF6" w14:textId="33D49B08" w:rsidR="00D24B53" w:rsidRDefault="00D24B53" w:rsidP="004A3AD3">
      <w:pPr>
        <w:pStyle w:val="ListParagraph"/>
        <w:numPr>
          <w:ilvl w:val="1"/>
          <w:numId w:val="4"/>
        </w:numPr>
      </w:pPr>
      <w:proofErr w:type="spellStart"/>
      <w:r>
        <w:t>FracFol</w:t>
      </w:r>
      <w:proofErr w:type="spellEnd"/>
      <w:r>
        <w:t xml:space="preserve">, </w:t>
      </w:r>
      <w:proofErr w:type="spellStart"/>
      <w:r>
        <w:t>FrActWd</w:t>
      </w:r>
      <w:proofErr w:type="spellEnd"/>
      <w:r>
        <w:t xml:space="preserve">, </w:t>
      </w:r>
      <w:proofErr w:type="spellStart"/>
      <w:r>
        <w:t>SLWMax</w:t>
      </w:r>
      <w:proofErr w:type="spellEnd"/>
      <w:r>
        <w:t xml:space="preserve">, </w:t>
      </w:r>
      <w:proofErr w:type="spellStart"/>
      <w:r>
        <w:t>MaxLAI</w:t>
      </w:r>
      <w:proofErr w:type="spellEnd"/>
    </w:p>
    <w:p w14:paraId="308BA505" w14:textId="5BD12E2E" w:rsidR="00D24B53" w:rsidRDefault="00D24B53" w:rsidP="004A3AD3">
      <w:pPr>
        <w:pStyle w:val="ListParagraph"/>
        <w:numPr>
          <w:ilvl w:val="0"/>
          <w:numId w:val="4"/>
        </w:numPr>
      </w:pPr>
      <w:r>
        <w:t>The above approach has some desired behaviors</w:t>
      </w:r>
    </w:p>
    <w:p w14:paraId="7E4C4BDB" w14:textId="1934F491" w:rsidR="00D24B53" w:rsidRDefault="00D24B53" w:rsidP="004A3AD3">
      <w:pPr>
        <w:pStyle w:val="ListParagraph"/>
        <w:numPr>
          <w:ilvl w:val="1"/>
          <w:numId w:val="4"/>
        </w:numPr>
      </w:pPr>
      <w:r>
        <w:t xml:space="preserve">Cohorts do not instantly occupy growing spaced freed by a partial or complete removal of another cohort within their respective layer. </w:t>
      </w:r>
    </w:p>
    <w:p w14:paraId="35E29642" w14:textId="5241D0F9" w:rsidR="00D24B53" w:rsidRDefault="00D24B53" w:rsidP="004A3AD3">
      <w:pPr>
        <w:pStyle w:val="ListParagraph"/>
        <w:numPr>
          <w:ilvl w:val="1"/>
          <w:numId w:val="4"/>
        </w:numPr>
      </w:pPr>
      <w:r>
        <w:t>The process of canopy closure is modelled explicitly</w:t>
      </w:r>
      <w:r w:rsidR="002F2300">
        <w:t>.</w:t>
      </w:r>
    </w:p>
    <w:p w14:paraId="41FABB1F" w14:textId="50811240" w:rsidR="002F2300" w:rsidRDefault="002F2300" w:rsidP="002F2300">
      <w:pPr>
        <w:pStyle w:val="ListParagraph"/>
        <w:numPr>
          <w:ilvl w:val="0"/>
          <w:numId w:val="4"/>
        </w:numPr>
      </w:pPr>
      <w:r>
        <w:t>Undesired behaviors</w:t>
      </w:r>
    </w:p>
    <w:p w14:paraId="02A60A27" w14:textId="5CF40325" w:rsidR="002F2300" w:rsidRDefault="002F2300" w:rsidP="002F2300">
      <w:pPr>
        <w:pStyle w:val="ListParagraph"/>
        <w:numPr>
          <w:ilvl w:val="1"/>
          <w:numId w:val="4"/>
        </w:numPr>
      </w:pPr>
      <w:r>
        <w:t>Once a cohort has been constrained, it is completely unable to acquire space when the space is open.  In reality, a cohort cannot “move” into the empty space, or add stems to the vacated space, but there is some capacity for branches to extend into empty canopy space.</w:t>
      </w:r>
    </w:p>
    <w:p w14:paraId="14D38212" w14:textId="514C8089" w:rsidR="00A410DD" w:rsidRDefault="00A410DD" w:rsidP="006F7741"/>
    <w:sectPr w:rsidR="00A41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iranda, Brian -FS" w:date="2022-01-06T14:51:00Z" w:initials="MBF">
    <w:p w14:paraId="11B1E898" w14:textId="345A7101" w:rsidR="00AA5FF8" w:rsidRDefault="00AA5FF8">
      <w:pPr>
        <w:pStyle w:val="CommentText"/>
      </w:pPr>
      <w:r>
        <w:rPr>
          <w:rStyle w:val="CommentReference"/>
        </w:rPr>
        <w:annotationRef/>
      </w:r>
      <w:r>
        <w:t xml:space="preserve">A parameter could be added to make the “filled canopy” condition occur at some proportion of </w:t>
      </w:r>
      <w:proofErr w:type="spellStart"/>
      <w:r>
        <w:t>MaxLAI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1B1E89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818073" w16cex:dateUtc="2022-01-06T20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1B1E898" w16cid:durableId="2581807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5099E"/>
    <w:multiLevelType w:val="hybridMultilevel"/>
    <w:tmpl w:val="47C4C0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652E01"/>
    <w:multiLevelType w:val="hybridMultilevel"/>
    <w:tmpl w:val="DA7C5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415D9"/>
    <w:multiLevelType w:val="hybridMultilevel"/>
    <w:tmpl w:val="D3ACE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601EA"/>
    <w:multiLevelType w:val="hybridMultilevel"/>
    <w:tmpl w:val="1EEA4FA6"/>
    <w:lvl w:ilvl="0" w:tplc="76A076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randa, Brian -FS">
    <w15:presenceInfo w15:providerId="AD" w15:userId="S::brian.r.miranda@usda.gov::91d43872-6622-4cae-9f21-5f61293ab8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4AC"/>
    <w:rsid w:val="000159C7"/>
    <w:rsid w:val="00041118"/>
    <w:rsid w:val="00071DF4"/>
    <w:rsid w:val="00083924"/>
    <w:rsid w:val="00085464"/>
    <w:rsid w:val="001070AF"/>
    <w:rsid w:val="00110AA2"/>
    <w:rsid w:val="00124B0D"/>
    <w:rsid w:val="00133254"/>
    <w:rsid w:val="001414AC"/>
    <w:rsid w:val="00191758"/>
    <w:rsid w:val="0022171B"/>
    <w:rsid w:val="002B250F"/>
    <w:rsid w:val="002E7006"/>
    <w:rsid w:val="002F2300"/>
    <w:rsid w:val="00345D7F"/>
    <w:rsid w:val="00397AC4"/>
    <w:rsid w:val="003A2931"/>
    <w:rsid w:val="003E0892"/>
    <w:rsid w:val="003E6BC5"/>
    <w:rsid w:val="00456F7E"/>
    <w:rsid w:val="004A3AD3"/>
    <w:rsid w:val="004A6CC7"/>
    <w:rsid w:val="004B3A7F"/>
    <w:rsid w:val="00523D9D"/>
    <w:rsid w:val="00526257"/>
    <w:rsid w:val="00557650"/>
    <w:rsid w:val="005A6411"/>
    <w:rsid w:val="005B4AB3"/>
    <w:rsid w:val="005C786F"/>
    <w:rsid w:val="006231E0"/>
    <w:rsid w:val="00626AFC"/>
    <w:rsid w:val="006959B9"/>
    <w:rsid w:val="006A6EDF"/>
    <w:rsid w:val="006E1A79"/>
    <w:rsid w:val="006F7741"/>
    <w:rsid w:val="00720D8F"/>
    <w:rsid w:val="00723E23"/>
    <w:rsid w:val="00773F14"/>
    <w:rsid w:val="007E26B4"/>
    <w:rsid w:val="008B07F1"/>
    <w:rsid w:val="008F00AB"/>
    <w:rsid w:val="00915D06"/>
    <w:rsid w:val="0093611B"/>
    <w:rsid w:val="009524F3"/>
    <w:rsid w:val="009F269F"/>
    <w:rsid w:val="00A410DD"/>
    <w:rsid w:val="00AA5FF8"/>
    <w:rsid w:val="00AA6415"/>
    <w:rsid w:val="00AB5A6E"/>
    <w:rsid w:val="00AD0C3B"/>
    <w:rsid w:val="00BE1301"/>
    <w:rsid w:val="00C247F0"/>
    <w:rsid w:val="00C27255"/>
    <w:rsid w:val="00C53BDC"/>
    <w:rsid w:val="00CE3587"/>
    <w:rsid w:val="00CF7299"/>
    <w:rsid w:val="00D24B53"/>
    <w:rsid w:val="00D904E5"/>
    <w:rsid w:val="00DC2C6B"/>
    <w:rsid w:val="00DF55E8"/>
    <w:rsid w:val="00E46176"/>
    <w:rsid w:val="00E86696"/>
    <w:rsid w:val="00E875C5"/>
    <w:rsid w:val="00F0201C"/>
    <w:rsid w:val="00F51187"/>
    <w:rsid w:val="00F72341"/>
    <w:rsid w:val="00F94DDA"/>
    <w:rsid w:val="00F96571"/>
    <w:rsid w:val="00FA0A88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803D0"/>
  <w15:chartTrackingRefBased/>
  <w15:docId w15:val="{9E080EC0-C03F-48A3-9EA6-FF691288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4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4A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AB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E2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26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2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2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26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Gustafson, Eric -FS</dc:creator>
  <cp:keywords/>
  <dc:description/>
  <cp:lastModifiedBy>Miranda, Brian -FS</cp:lastModifiedBy>
  <cp:revision>2</cp:revision>
  <dcterms:created xsi:type="dcterms:W3CDTF">2022-01-06T22:02:00Z</dcterms:created>
  <dcterms:modified xsi:type="dcterms:W3CDTF">2022-01-06T22:02:00Z</dcterms:modified>
</cp:coreProperties>
</file>