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6F2E7" w14:textId="77777777" w:rsidR="00DA5060" w:rsidRPr="0058674A" w:rsidRDefault="008C3269">
      <w:pPr>
        <w:rPr>
          <w:b/>
          <w:sz w:val="24"/>
        </w:rPr>
      </w:pPr>
      <w:r w:rsidRPr="0058674A">
        <w:rPr>
          <w:b/>
          <w:sz w:val="24"/>
        </w:rPr>
        <w:t>Root Rot Pseudocode</w:t>
      </w:r>
    </w:p>
    <w:p w14:paraId="44515B03" w14:textId="77777777" w:rsidR="008C3269" w:rsidRDefault="008C3269"/>
    <w:p w14:paraId="001D6CCB" w14:textId="77777777" w:rsidR="008C3269" w:rsidRPr="0058674A" w:rsidRDefault="008C3269">
      <w:pPr>
        <w:rPr>
          <w:u w:val="single"/>
        </w:rPr>
      </w:pPr>
      <w:r w:rsidRPr="0058674A">
        <w:rPr>
          <w:u w:val="single"/>
        </w:rPr>
        <w:t>Assumptions:</w:t>
      </w:r>
    </w:p>
    <w:p w14:paraId="03E34E0A" w14:textId="77777777" w:rsidR="008C3269" w:rsidRDefault="008C3269" w:rsidP="008C3269">
      <w:pPr>
        <w:pStyle w:val="ListParagraph"/>
        <w:numPr>
          <w:ilvl w:val="0"/>
          <w:numId w:val="1"/>
        </w:numPr>
      </w:pPr>
      <w:r>
        <w:t>Pathogen can disperse everywhere</w:t>
      </w:r>
    </w:p>
    <w:p w14:paraId="42358224" w14:textId="77777777" w:rsidR="008C3269" w:rsidRDefault="008C3269" w:rsidP="008C3269">
      <w:pPr>
        <w:pStyle w:val="ListParagraph"/>
        <w:numPr>
          <w:ilvl w:val="0"/>
          <w:numId w:val="1"/>
        </w:numPr>
      </w:pPr>
      <w:r>
        <w:t>Each active cell has a mutually exclusive status of Susceptible (S), Infected non-symptomatic (I) or Diseased symptomatic (D)</w:t>
      </w:r>
    </w:p>
    <w:p w14:paraId="19CE833F" w14:textId="77777777" w:rsidR="008C3269" w:rsidRDefault="00913E6B" w:rsidP="008C3269">
      <w:pPr>
        <w:pStyle w:val="ListParagraph"/>
        <w:numPr>
          <w:ilvl w:val="0"/>
          <w:numId w:val="1"/>
        </w:numPr>
      </w:pPr>
      <w:r>
        <w:t>Cells that are I</w:t>
      </w:r>
      <w:r w:rsidR="008C3269">
        <w:t>nfected (I)</w:t>
      </w:r>
      <w:r>
        <w:t xml:space="preserve"> or Diseased (D)</w:t>
      </w:r>
      <w:r w:rsidR="008C3269">
        <w:t xml:space="preserve"> </w:t>
      </w:r>
      <w:r>
        <w:t>only</w:t>
      </w:r>
      <w:r w:rsidR="008C3269">
        <w:t xml:space="preserve"> revert to a status of Susceptible (S)</w:t>
      </w:r>
      <w:r>
        <w:t xml:space="preserve"> when pathogen is absent (Presence == 0)</w:t>
      </w:r>
    </w:p>
    <w:p w14:paraId="228DC541" w14:textId="77777777" w:rsidR="008C3269" w:rsidRDefault="008C3269" w:rsidP="008C3269">
      <w:pPr>
        <w:pStyle w:val="ListParagraph"/>
        <w:numPr>
          <w:ilvl w:val="0"/>
          <w:numId w:val="1"/>
        </w:numPr>
      </w:pPr>
      <w:r>
        <w:t xml:space="preserve">Cells that are Diseased (D) can revert to a status of </w:t>
      </w:r>
      <w:r w:rsidR="00913E6B">
        <w:t>Infected</w:t>
      </w:r>
      <w:r>
        <w:t xml:space="preserve"> (</w:t>
      </w:r>
      <w:r w:rsidR="00913E6B">
        <w:t>I</w:t>
      </w:r>
      <w:r>
        <w:t>)</w:t>
      </w:r>
      <w:r w:rsidR="00467E12">
        <w:t xml:space="preserve">, and will always revert to </w:t>
      </w:r>
      <w:r w:rsidR="00913E6B">
        <w:t>I</w:t>
      </w:r>
      <w:r>
        <w:t xml:space="preserve"> if all susceptible tree hosts are eliminated</w:t>
      </w:r>
    </w:p>
    <w:p w14:paraId="33D51F63" w14:textId="77777777" w:rsidR="008C3269" w:rsidRDefault="008C3269" w:rsidP="008C3269"/>
    <w:p w14:paraId="1221EB77" w14:textId="77777777" w:rsidR="00A64BAC" w:rsidRPr="0058674A" w:rsidRDefault="00A64BAC" w:rsidP="008C3269">
      <w:pPr>
        <w:rPr>
          <w:u w:val="single"/>
        </w:rPr>
      </w:pPr>
      <w:r w:rsidRPr="0058674A">
        <w:rPr>
          <w:u w:val="single"/>
        </w:rPr>
        <w:t>Inputs:</w:t>
      </w:r>
    </w:p>
    <w:p w14:paraId="3A52E72F" w14:textId="77777777" w:rsidR="008C3269" w:rsidRDefault="008C3269" w:rsidP="00DD5507">
      <w:pPr>
        <w:pStyle w:val="ListParagraph"/>
        <w:numPr>
          <w:ilvl w:val="0"/>
          <w:numId w:val="4"/>
        </w:numPr>
      </w:pPr>
      <w:r>
        <w:t>Starting condition</w:t>
      </w:r>
      <w:r w:rsidR="00A64BAC">
        <w:t xml:space="preserve"> map</w:t>
      </w:r>
      <w:r>
        <w:t xml:space="preserve"> – </w:t>
      </w:r>
      <w:r w:rsidR="00467E12">
        <w:t>O</w:t>
      </w:r>
      <w:r>
        <w:t>ptional map coded to represent initial cell status.  If no map is provided, all active cells are assume to be Susceptible (S).</w:t>
      </w:r>
    </w:p>
    <w:p w14:paraId="197BBD55" w14:textId="77777777" w:rsidR="008C3269" w:rsidRDefault="008C3269" w:rsidP="008C3269">
      <w:pPr>
        <w:pStyle w:val="ListParagraph"/>
        <w:numPr>
          <w:ilvl w:val="0"/>
          <w:numId w:val="2"/>
        </w:numPr>
      </w:pPr>
      <w:r>
        <w:t xml:space="preserve">0 = </w:t>
      </w:r>
      <w:proofErr w:type="spellStart"/>
      <w:r>
        <w:t>Nonactive</w:t>
      </w:r>
      <w:proofErr w:type="spellEnd"/>
    </w:p>
    <w:p w14:paraId="3B1B35C1" w14:textId="77777777" w:rsidR="008C3269" w:rsidRDefault="008C3269" w:rsidP="008C3269">
      <w:pPr>
        <w:pStyle w:val="ListParagraph"/>
        <w:numPr>
          <w:ilvl w:val="0"/>
          <w:numId w:val="2"/>
        </w:numPr>
      </w:pPr>
      <w:r>
        <w:t>1 = Susceptible (S)</w:t>
      </w:r>
    </w:p>
    <w:p w14:paraId="1DE9F8B8" w14:textId="77777777" w:rsidR="008C3269" w:rsidRDefault="008C3269" w:rsidP="008C3269">
      <w:pPr>
        <w:pStyle w:val="ListParagraph"/>
        <w:numPr>
          <w:ilvl w:val="0"/>
          <w:numId w:val="2"/>
        </w:numPr>
      </w:pPr>
      <w:r>
        <w:t>2 = Infected (I)</w:t>
      </w:r>
    </w:p>
    <w:p w14:paraId="33F768E3" w14:textId="77777777" w:rsidR="008C3269" w:rsidRDefault="008C3269" w:rsidP="008C3269">
      <w:pPr>
        <w:pStyle w:val="ListParagraph"/>
        <w:numPr>
          <w:ilvl w:val="0"/>
          <w:numId w:val="2"/>
        </w:numPr>
      </w:pPr>
      <w:r>
        <w:t>3 = Diseased (D)</w:t>
      </w:r>
      <w:r w:rsidR="00DD5507">
        <w:br/>
      </w:r>
    </w:p>
    <w:p w14:paraId="357F8F3A" w14:textId="72BB9998" w:rsidR="00DD5507" w:rsidRDefault="00DD5507" w:rsidP="00DD5507">
      <w:pPr>
        <w:pStyle w:val="ListParagraph"/>
        <w:numPr>
          <w:ilvl w:val="0"/>
          <w:numId w:val="4"/>
        </w:numPr>
      </w:pPr>
      <w:r>
        <w:t>Species susceptibility table</w:t>
      </w:r>
      <w:r w:rsidR="00467E12">
        <w:t xml:space="preserve"> – For each tree species (i) an index of susceptibility to damage when disease occurs [Susceptibility(</w:t>
      </w:r>
      <w:r w:rsidR="00467E12" w:rsidRPr="00675F18">
        <w:rPr>
          <w:i/>
        </w:rPr>
        <w:t>i</w:t>
      </w:r>
      <w:r w:rsidR="00467E12">
        <w:t>)], ranging from 0.0 – 1.0, where 1.0 is completely susceptible</w:t>
      </w:r>
      <w:r w:rsidR="0058674A">
        <w:t xml:space="preserve"> and 0.0 is unsusceptible</w:t>
      </w:r>
      <w:r w:rsidR="00467E12">
        <w:t>.</w:t>
      </w:r>
      <w:r w:rsidR="00B8407E">
        <w:t xml:space="preserve">  Species not listed are assumed to have susceptibility of 0.</w:t>
      </w:r>
      <w:r w:rsidR="00467E12">
        <w:br/>
      </w:r>
    </w:p>
    <w:p w14:paraId="79A677D6" w14:textId="261279D5" w:rsidR="00467E12" w:rsidRDefault="00467E12" w:rsidP="00DD5507">
      <w:pPr>
        <w:pStyle w:val="ListParagraph"/>
        <w:numPr>
          <w:ilvl w:val="0"/>
          <w:numId w:val="4"/>
        </w:numPr>
      </w:pPr>
      <w:proofErr w:type="spellStart"/>
      <w:r>
        <w:t>LethalTemp</w:t>
      </w:r>
      <w:proofErr w:type="spellEnd"/>
      <w:r>
        <w:t xml:space="preserve"> – The minimum temperature below which</w:t>
      </w:r>
      <w:r w:rsidRPr="00A87715">
        <w:rPr>
          <w:i/>
        </w:rPr>
        <w:t xml:space="preserve"> </w:t>
      </w:r>
      <w:r w:rsidRPr="00DF3185">
        <w:rPr>
          <w:i/>
        </w:rPr>
        <w:t>P</w:t>
      </w:r>
      <w:r>
        <w:rPr>
          <w:i/>
        </w:rPr>
        <w:t>.</w:t>
      </w:r>
      <w:r w:rsidRPr="00DF3185">
        <w:rPr>
          <w:i/>
        </w:rPr>
        <w:t xml:space="preserve"> </w:t>
      </w:r>
      <w:proofErr w:type="spellStart"/>
      <w:r w:rsidRPr="00DF3185">
        <w:rPr>
          <w:i/>
        </w:rPr>
        <w:t>cinnamomi</w:t>
      </w:r>
      <w:proofErr w:type="spellEnd"/>
      <w:r>
        <w:t xml:space="preserve"> cannot survive.</w:t>
      </w:r>
      <w:r w:rsidR="00C277B1">
        <w:t xml:space="preserve">  In the examples below, </w:t>
      </w:r>
      <w:proofErr w:type="spellStart"/>
      <w:r w:rsidR="00C277B1">
        <w:t>LethalTemp</w:t>
      </w:r>
      <w:proofErr w:type="spellEnd"/>
      <w:r w:rsidR="00C277B1">
        <w:t xml:space="preserve"> is set to -24.</w:t>
      </w:r>
      <w:r>
        <w:t xml:space="preserve">  From McConnell and </w:t>
      </w:r>
      <w:proofErr w:type="spellStart"/>
      <w:r>
        <w:t>Balci</w:t>
      </w:r>
      <w:proofErr w:type="spellEnd"/>
      <w:r>
        <w:t xml:space="preserve"> (2014), this may be about -24 </w:t>
      </w:r>
      <w:proofErr w:type="spellStart"/>
      <w:r w:rsidRPr="00CB5AA1">
        <w:rPr>
          <w:vertAlign w:val="superscript"/>
        </w:rPr>
        <w:t>o</w:t>
      </w:r>
      <w:r>
        <w:t>C</w:t>
      </w:r>
      <w:proofErr w:type="spellEnd"/>
      <w:r>
        <w:t xml:space="preserve"> (</w:t>
      </w:r>
      <w:r w:rsidRPr="00DF3185">
        <w:rPr>
          <w:i/>
        </w:rPr>
        <w:t>P</w:t>
      </w:r>
      <w:r>
        <w:rPr>
          <w:i/>
        </w:rPr>
        <w:t>.</w:t>
      </w:r>
      <w:r w:rsidRPr="00DF3185">
        <w:rPr>
          <w:i/>
        </w:rPr>
        <w:t xml:space="preserve"> </w:t>
      </w:r>
      <w:proofErr w:type="spellStart"/>
      <w:r w:rsidRPr="00DF3185">
        <w:rPr>
          <w:i/>
        </w:rPr>
        <w:t>cinnamomi</w:t>
      </w:r>
      <w:proofErr w:type="spellEnd"/>
      <w:r>
        <w:t xml:space="preserve"> unable to survive in USDA hardiness zone 6 or higher).</w:t>
      </w:r>
      <w:r>
        <w:br/>
      </w:r>
    </w:p>
    <w:p w14:paraId="02504FCC" w14:textId="2DD8AED5" w:rsidR="00467E12" w:rsidRDefault="00E70CF9" w:rsidP="00DD5507">
      <w:pPr>
        <w:pStyle w:val="ListParagraph"/>
        <w:numPr>
          <w:ilvl w:val="0"/>
          <w:numId w:val="4"/>
        </w:numPr>
      </w:pPr>
      <w:proofErr w:type="spellStart"/>
      <w:proofErr w:type="gramStart"/>
      <w:r>
        <w:t>phWet</w:t>
      </w:r>
      <w:proofErr w:type="spellEnd"/>
      <w:proofErr w:type="gramEnd"/>
      <w:r w:rsidR="00501874">
        <w:t xml:space="preserve"> – The </w:t>
      </w:r>
      <w:proofErr w:type="spellStart"/>
      <w:r>
        <w:t>pressurehead</w:t>
      </w:r>
      <w:proofErr w:type="spellEnd"/>
      <w:r>
        <w:t xml:space="preserve"> threshold below which the soil is considered wet.</w:t>
      </w:r>
      <w:r w:rsidR="00501874">
        <w:t xml:space="preserve"> </w:t>
      </w:r>
      <w:r>
        <w:t>Under wet conditions</w:t>
      </w:r>
      <w:r w:rsidR="00501874">
        <w:t xml:space="preserve"> it</w:t>
      </w:r>
      <w:r>
        <w:t xml:space="preserve"> is</w:t>
      </w:r>
      <w:r w:rsidR="00501874">
        <w:t xml:space="preserve"> possible for a site to progress from S to I </w:t>
      </w:r>
      <w:r>
        <w:t xml:space="preserve">and </w:t>
      </w:r>
      <w:r w:rsidR="00FA16C8">
        <w:t xml:space="preserve">from </w:t>
      </w:r>
      <w:r>
        <w:t>I to D.</w:t>
      </w:r>
      <w:r w:rsidR="00C277B1">
        <w:t xml:space="preserve">  In the examples below, </w:t>
      </w:r>
      <w:proofErr w:type="spellStart"/>
      <w:r w:rsidR="00C277B1">
        <w:t>phWet</w:t>
      </w:r>
      <w:proofErr w:type="spellEnd"/>
      <w:r w:rsidR="00C277B1">
        <w:t xml:space="preserve"> is set to 30.</w:t>
      </w:r>
      <w:r>
        <w:t xml:space="preserve">  </w:t>
      </w:r>
      <w:proofErr w:type="spellStart"/>
      <w:r>
        <w:t>Pressurehead</w:t>
      </w:r>
      <w:proofErr w:type="spellEnd"/>
      <w:r>
        <w:t xml:space="preserve"> equals 0 when soil is saturated and increases as water is reduced.  A </w:t>
      </w:r>
      <w:proofErr w:type="spellStart"/>
      <w:r>
        <w:t>pressurehead</w:t>
      </w:r>
      <w:proofErr w:type="spellEnd"/>
      <w:r>
        <w:t xml:space="preserve"> of approximately 33 equates to soil field capacity, and 150 equates to soil wilting point.</w:t>
      </w:r>
      <w:r w:rsidR="00501874">
        <w:br/>
      </w:r>
    </w:p>
    <w:p w14:paraId="5E11ECBF" w14:textId="0794C551" w:rsidR="00501874" w:rsidRDefault="00E70CF9" w:rsidP="00DD5507">
      <w:pPr>
        <w:pStyle w:val="ListParagraph"/>
        <w:numPr>
          <w:ilvl w:val="0"/>
          <w:numId w:val="4"/>
        </w:numPr>
      </w:pPr>
      <w:proofErr w:type="spellStart"/>
      <w:proofErr w:type="gramStart"/>
      <w:r>
        <w:t>phDry</w:t>
      </w:r>
      <w:proofErr w:type="spellEnd"/>
      <w:proofErr w:type="gramEnd"/>
      <w:r w:rsidR="00501874">
        <w:t xml:space="preserve"> – </w:t>
      </w:r>
      <w:r>
        <w:t xml:space="preserve">The </w:t>
      </w:r>
      <w:proofErr w:type="spellStart"/>
      <w:r>
        <w:t>pressurehead</w:t>
      </w:r>
      <w:proofErr w:type="spellEnd"/>
      <w:r>
        <w:t xml:space="preserve"> threshold above which the soil is considered dry. Under dry conditions it is possible for a site to progress </w:t>
      </w:r>
      <w:r w:rsidR="00090C78">
        <w:t xml:space="preserve">from </w:t>
      </w:r>
      <w:proofErr w:type="gramStart"/>
      <w:r>
        <w:t>I</w:t>
      </w:r>
      <w:proofErr w:type="gramEnd"/>
      <w:r>
        <w:t xml:space="preserve"> to D.</w:t>
      </w:r>
      <w:r w:rsidR="00C277B1">
        <w:t xml:space="preserve">  In the examples below, </w:t>
      </w:r>
      <w:proofErr w:type="spellStart"/>
      <w:r w:rsidR="00C277B1">
        <w:t>phDry</w:t>
      </w:r>
      <w:proofErr w:type="spellEnd"/>
      <w:r w:rsidR="00C277B1">
        <w:t xml:space="preserve"> is set to 150.</w:t>
      </w:r>
      <w:r>
        <w:t xml:space="preserve">  </w:t>
      </w:r>
      <w:proofErr w:type="spellStart"/>
      <w:r>
        <w:t>Pressurehead</w:t>
      </w:r>
      <w:proofErr w:type="spellEnd"/>
      <w:r>
        <w:t xml:space="preserve"> equals 0 when soil is saturated and increases as water is reduced.  A </w:t>
      </w:r>
      <w:proofErr w:type="spellStart"/>
      <w:r>
        <w:t>pressurehead</w:t>
      </w:r>
      <w:proofErr w:type="spellEnd"/>
      <w:r>
        <w:t xml:space="preserve"> of approximately 33 equates to soil field capacity, and 150 equates to soil wilting point.</w:t>
      </w:r>
      <w:r>
        <w:br/>
      </w:r>
    </w:p>
    <w:p w14:paraId="70B43899" w14:textId="712FDB74" w:rsidR="00E70CF9" w:rsidRDefault="00E70CF9" w:rsidP="00DD5507">
      <w:pPr>
        <w:pStyle w:val="ListParagraph"/>
        <w:numPr>
          <w:ilvl w:val="0"/>
          <w:numId w:val="4"/>
        </w:numPr>
      </w:pPr>
      <w:proofErr w:type="spellStart"/>
      <w:proofErr w:type="gramStart"/>
      <w:r>
        <w:t>phMax</w:t>
      </w:r>
      <w:proofErr w:type="spellEnd"/>
      <w:proofErr w:type="gramEnd"/>
      <w:r>
        <w:t xml:space="preserve"> – The </w:t>
      </w:r>
      <w:proofErr w:type="spellStart"/>
      <w:r>
        <w:t>pressurehead</w:t>
      </w:r>
      <w:proofErr w:type="spellEnd"/>
      <w:r>
        <w:t xml:space="preserve"> threshold above which the soil is considered dry enough to be optimal for site progression from I to D.</w:t>
      </w:r>
      <w:r w:rsidR="00C277B1">
        <w:t xml:space="preserve">  In the examples below, </w:t>
      </w:r>
      <w:proofErr w:type="spellStart"/>
      <w:r w:rsidR="00C277B1">
        <w:t>phMax</w:t>
      </w:r>
      <w:proofErr w:type="spellEnd"/>
      <w:r w:rsidR="00C277B1">
        <w:t xml:space="preserve"> is set to 250.</w:t>
      </w:r>
      <w:r>
        <w:t xml:space="preserve">  </w:t>
      </w:r>
      <w:proofErr w:type="spellStart"/>
      <w:r>
        <w:lastRenderedPageBreak/>
        <w:t>Pressurehead</w:t>
      </w:r>
      <w:proofErr w:type="spellEnd"/>
      <w:r>
        <w:t xml:space="preserve"> equals 0 when soil is saturated and in</w:t>
      </w:r>
      <w:bookmarkStart w:id="0" w:name="_GoBack"/>
      <w:bookmarkEnd w:id="0"/>
      <w:r>
        <w:t xml:space="preserve">creases as water is reduced.  A </w:t>
      </w:r>
      <w:proofErr w:type="spellStart"/>
      <w:r>
        <w:t>pressurehead</w:t>
      </w:r>
      <w:proofErr w:type="spellEnd"/>
      <w:r>
        <w:t xml:space="preserve"> of approximately 33 equates to soil field capacity, and 150 equates to soil wilting point.</w:t>
      </w:r>
      <w:r w:rsidR="00402DAD">
        <w:br/>
      </w:r>
    </w:p>
    <w:p w14:paraId="19E13EB8" w14:textId="50ADD07C" w:rsidR="00402DAD" w:rsidRDefault="00402DAD" w:rsidP="00DD5507">
      <w:pPr>
        <w:pStyle w:val="ListParagraph"/>
        <w:numPr>
          <w:ilvl w:val="0"/>
          <w:numId w:val="4"/>
        </w:numPr>
      </w:pPr>
      <w:proofErr w:type="spellStart"/>
      <w:proofErr w:type="gramStart"/>
      <w:r>
        <w:t>minProbID</w:t>
      </w:r>
      <w:proofErr w:type="spellEnd"/>
      <w:proofErr w:type="gramEnd"/>
      <w:r>
        <w:t xml:space="preserve"> – The minimum probability of infected converting to diseased.  At moderate </w:t>
      </w:r>
      <w:proofErr w:type="spellStart"/>
      <w:r>
        <w:t>pressurehead</w:t>
      </w:r>
      <w:proofErr w:type="spellEnd"/>
      <w:r>
        <w:t xml:space="preserve">, the probability of disease development can be greater than 0.  In the examples below, </w:t>
      </w:r>
      <w:proofErr w:type="spellStart"/>
      <w:r>
        <w:t>minProbID</w:t>
      </w:r>
      <w:proofErr w:type="spellEnd"/>
      <w:r>
        <w:t xml:space="preserve"> is set to 0.10.</w:t>
      </w:r>
      <w:r w:rsidR="00071886">
        <w:br/>
      </w:r>
    </w:p>
    <w:p w14:paraId="3724161D" w14:textId="0A47ED0D" w:rsidR="00071886" w:rsidRDefault="00071886" w:rsidP="00DD5507">
      <w:pPr>
        <w:pStyle w:val="ListParagraph"/>
        <w:numPr>
          <w:ilvl w:val="0"/>
          <w:numId w:val="4"/>
        </w:numPr>
      </w:pPr>
      <w:proofErr w:type="spellStart"/>
      <w:proofErr w:type="gramStart"/>
      <w:r>
        <w:t>maxProbDI</w:t>
      </w:r>
      <w:proofErr w:type="spellEnd"/>
      <w:proofErr w:type="gramEnd"/>
      <w:r>
        <w:t xml:space="preserve"> – The maximum probability of diseased converting to infected. At moderate </w:t>
      </w:r>
      <w:proofErr w:type="spellStart"/>
      <w:r>
        <w:t>pressurehead</w:t>
      </w:r>
      <w:proofErr w:type="spellEnd"/>
      <w:r>
        <w:t xml:space="preserve">, the probability of disease symptoms disappearing can be high, but might be less than 1.  In the examples below, </w:t>
      </w:r>
      <w:proofErr w:type="spellStart"/>
      <w:r>
        <w:t>maxProbDI</w:t>
      </w:r>
      <w:proofErr w:type="spellEnd"/>
      <w:r>
        <w:t xml:space="preserve"> is set to 0.85.</w:t>
      </w:r>
    </w:p>
    <w:p w14:paraId="4CEC34ED" w14:textId="77777777" w:rsidR="00A64BAC" w:rsidRDefault="00A64BAC" w:rsidP="008C3269"/>
    <w:p w14:paraId="1CB73EF1" w14:textId="77777777" w:rsidR="008C3269" w:rsidRPr="0058674A" w:rsidRDefault="0058674A" w:rsidP="008C3269">
      <w:pPr>
        <w:rPr>
          <w:u w:val="single"/>
        </w:rPr>
      </w:pPr>
      <w:r w:rsidRPr="0058674A">
        <w:rPr>
          <w:u w:val="single"/>
        </w:rPr>
        <w:t>Calculations a</w:t>
      </w:r>
      <w:r w:rsidR="008C3269" w:rsidRPr="0058674A">
        <w:rPr>
          <w:u w:val="single"/>
        </w:rPr>
        <w:t>t each timestep:</w:t>
      </w:r>
    </w:p>
    <w:p w14:paraId="3CF66B08" w14:textId="77777777" w:rsidR="008C3269" w:rsidRDefault="008C3269" w:rsidP="008C3269">
      <w:pPr>
        <w:pStyle w:val="ListParagraph"/>
        <w:numPr>
          <w:ilvl w:val="0"/>
          <w:numId w:val="3"/>
        </w:numPr>
      </w:pPr>
      <w:r>
        <w:t xml:space="preserve">Evaluate each </w:t>
      </w:r>
      <w:r w:rsidR="00F722A9">
        <w:t>site</w:t>
      </w:r>
      <w:r>
        <w:t xml:space="preserve"> for transitions between states</w:t>
      </w:r>
    </w:p>
    <w:p w14:paraId="5474F6AF" w14:textId="77777777" w:rsidR="00595A96" w:rsidRDefault="00595A96" w:rsidP="00595A96">
      <w:pPr>
        <w:pStyle w:val="ListParagraph"/>
        <w:numPr>
          <w:ilvl w:val="1"/>
          <w:numId w:val="3"/>
        </w:numPr>
      </w:pPr>
      <w:r>
        <w:t>Probability of each transition is a combination of presence (controlled by temperature [</w:t>
      </w:r>
      <w:proofErr w:type="spellStart"/>
      <w:r>
        <w:t>dTemp</w:t>
      </w:r>
      <w:proofErr w:type="spellEnd"/>
      <w:r>
        <w:t>]) and conducive environment (controlled by soil water [</w:t>
      </w:r>
      <w:proofErr w:type="spellStart"/>
      <w:r>
        <w:t>dWater</w:t>
      </w:r>
      <w:proofErr w:type="spellEnd"/>
      <w:r>
        <w:t>])</w:t>
      </w:r>
    </w:p>
    <w:p w14:paraId="26287D2E" w14:textId="77777777" w:rsidR="00FA16C8" w:rsidRDefault="00FA16C8" w:rsidP="00595A96">
      <w:pPr>
        <w:pStyle w:val="ListParagraph"/>
        <w:numPr>
          <w:ilvl w:val="1"/>
          <w:numId w:val="3"/>
        </w:numPr>
      </w:pPr>
      <w:r>
        <w:t>Presence:</w:t>
      </w:r>
    </w:p>
    <w:p w14:paraId="7A570CDF" w14:textId="77777777" w:rsidR="00DF27CD" w:rsidRDefault="00DF27CD" w:rsidP="00595A96">
      <w:pPr>
        <w:pStyle w:val="ListParagraph"/>
        <w:numPr>
          <w:ilvl w:val="2"/>
          <w:numId w:val="3"/>
        </w:numPr>
      </w:pPr>
      <w:proofErr w:type="spellStart"/>
      <w:r>
        <w:t>dTemp</w:t>
      </w:r>
      <w:proofErr w:type="spellEnd"/>
      <w:r>
        <w:t xml:space="preserve"> =  (</w:t>
      </w:r>
      <w:proofErr w:type="spellStart"/>
      <w:r>
        <w:t>AnnTmin</w:t>
      </w:r>
      <w:proofErr w:type="spellEnd"/>
      <w:r>
        <w:t xml:space="preserve"> - </w:t>
      </w:r>
      <w:proofErr w:type="spellStart"/>
      <w:r>
        <w:t>LethalTemp</w:t>
      </w:r>
      <w:proofErr w:type="spellEnd"/>
      <w:r>
        <w:t>) / ABS(</w:t>
      </w:r>
      <w:proofErr w:type="spellStart"/>
      <w:r>
        <w:t>LethalTemp</w:t>
      </w:r>
      <w:proofErr w:type="spellEnd"/>
      <w:r>
        <w:t>)</w:t>
      </w:r>
    </w:p>
    <w:p w14:paraId="7895CBEE" w14:textId="77777777" w:rsidR="00DF27CD" w:rsidRDefault="00DF27CD" w:rsidP="00DF27CD">
      <w:pPr>
        <w:pStyle w:val="ListParagraph"/>
        <w:numPr>
          <w:ilvl w:val="3"/>
          <w:numId w:val="3"/>
        </w:numPr>
      </w:pPr>
      <w:proofErr w:type="spellStart"/>
      <w:r>
        <w:t>AnnTmin</w:t>
      </w:r>
      <w:proofErr w:type="spellEnd"/>
      <w:r>
        <w:t xml:space="preserve"> is the average minimum monthly temperature across years in the timestep</w:t>
      </w:r>
    </w:p>
    <w:p w14:paraId="25BD72A8" w14:textId="77777777" w:rsidR="00F722A9" w:rsidRDefault="00F722A9" w:rsidP="00DF27CD">
      <w:pPr>
        <w:pStyle w:val="ListParagraph"/>
        <w:numPr>
          <w:ilvl w:val="3"/>
          <w:numId w:val="3"/>
        </w:numPr>
      </w:pPr>
      <w:r>
        <w:t xml:space="preserve">Constrain </w:t>
      </w:r>
      <w:proofErr w:type="spellStart"/>
      <w:r>
        <w:t>dTemp</w:t>
      </w:r>
      <w:proofErr w:type="spellEnd"/>
      <w:r>
        <w:t xml:space="preserve"> between 0 and 1</w:t>
      </w:r>
    </w:p>
    <w:p w14:paraId="6FE460FC" w14:textId="77777777" w:rsidR="00F722A9" w:rsidRDefault="00F722A9" w:rsidP="00F722A9">
      <w:pPr>
        <w:ind w:left="2160"/>
      </w:pPr>
      <w:r>
        <w:rPr>
          <w:noProof/>
        </w:rPr>
        <w:drawing>
          <wp:inline distT="0" distB="0" distL="0" distR="0" wp14:anchorId="7881E61A" wp14:editId="2A657B4B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769881A" w14:textId="77777777" w:rsidR="00DF27CD" w:rsidRDefault="00595A96" w:rsidP="00DF27CD">
      <w:pPr>
        <w:pStyle w:val="ListParagraph"/>
        <w:numPr>
          <w:ilvl w:val="2"/>
          <w:numId w:val="3"/>
        </w:numPr>
      </w:pPr>
      <w:r>
        <w:t xml:space="preserve">Presence is a binary 0 or 1 value, which is 1 if a uniform random number is greater than </w:t>
      </w:r>
      <w:proofErr w:type="spellStart"/>
      <w:r>
        <w:t>dTemp</w:t>
      </w:r>
      <w:proofErr w:type="spellEnd"/>
      <w:r>
        <w:t xml:space="preserve">, or 0 if &lt;= </w:t>
      </w:r>
      <w:proofErr w:type="spellStart"/>
      <w:r>
        <w:t>dTemp</w:t>
      </w:r>
      <w:proofErr w:type="spellEnd"/>
      <w:r>
        <w:t>.</w:t>
      </w:r>
    </w:p>
    <w:p w14:paraId="16971E4C" w14:textId="77777777" w:rsidR="00913E6B" w:rsidRDefault="00913E6B" w:rsidP="00DF27CD">
      <w:pPr>
        <w:pStyle w:val="ListParagraph"/>
        <w:numPr>
          <w:ilvl w:val="2"/>
          <w:numId w:val="3"/>
        </w:numPr>
      </w:pPr>
      <w:r>
        <w:t xml:space="preserve">If Presence == 0, </w:t>
      </w:r>
      <w:r w:rsidR="00F722A9">
        <w:t>site</w:t>
      </w:r>
      <w:r>
        <w:t xml:space="preserve"> transitions </w:t>
      </w:r>
      <w:r w:rsidR="0058674A">
        <w:t>to Susceptible (S)</w:t>
      </w:r>
      <w:r>
        <w:t xml:space="preserve"> </w:t>
      </w:r>
      <w:r w:rsidR="00F722A9">
        <w:t xml:space="preserve">regardless of current state </w:t>
      </w:r>
    </w:p>
    <w:p w14:paraId="3E71FCB6" w14:textId="77777777" w:rsidR="00913E6B" w:rsidRDefault="00913E6B" w:rsidP="00DF27CD">
      <w:pPr>
        <w:pStyle w:val="ListParagraph"/>
        <w:numPr>
          <w:ilvl w:val="2"/>
          <w:numId w:val="3"/>
        </w:numPr>
      </w:pPr>
      <w:r>
        <w:t>If Presence == 1, other transitions are possible based on Conducive Environment</w:t>
      </w:r>
    </w:p>
    <w:p w14:paraId="35F8A750" w14:textId="77777777" w:rsidR="00FA16C8" w:rsidRDefault="00FA16C8" w:rsidP="008C3269">
      <w:pPr>
        <w:pStyle w:val="ListParagraph"/>
        <w:numPr>
          <w:ilvl w:val="1"/>
          <w:numId w:val="3"/>
        </w:numPr>
      </w:pPr>
      <w:r>
        <w:t>Conducive environment:</w:t>
      </w:r>
    </w:p>
    <w:p w14:paraId="1F376FB2" w14:textId="77777777" w:rsidR="00F722A9" w:rsidRDefault="00DE6951" w:rsidP="00FA16C8">
      <w:pPr>
        <w:pStyle w:val="ListParagraph"/>
        <w:numPr>
          <w:ilvl w:val="2"/>
          <w:numId w:val="3"/>
        </w:numPr>
      </w:pPr>
      <w:r>
        <w:lastRenderedPageBreak/>
        <w:t>Each site has a probability of converting from its current state to another state, depending on how conducive the environment is.</w:t>
      </w:r>
      <w:r w:rsidR="0058674A">
        <w:t xml:space="preserve">  Conducive environment is a function of the wetness of soil and the presence of susceptible hosts.</w:t>
      </w:r>
      <w:r w:rsidR="00F722A9">
        <w:t xml:space="preserve"> </w:t>
      </w:r>
    </w:p>
    <w:p w14:paraId="2CC4CC04" w14:textId="77777777" w:rsidR="00DE6951" w:rsidRDefault="00DE6951" w:rsidP="00FA16C8">
      <w:pPr>
        <w:pStyle w:val="ListParagraph"/>
        <w:numPr>
          <w:ilvl w:val="2"/>
          <w:numId w:val="3"/>
        </w:numPr>
      </w:pPr>
      <w:r>
        <w:t>Site currently Susceptible (S) can transition to Infected (I) or Diseased (D)</w:t>
      </w:r>
    </w:p>
    <w:p w14:paraId="14D392D1" w14:textId="77777777" w:rsidR="008C3269" w:rsidRDefault="008C3269" w:rsidP="00DE6951">
      <w:pPr>
        <w:pStyle w:val="ListParagraph"/>
        <w:numPr>
          <w:ilvl w:val="3"/>
          <w:numId w:val="3"/>
        </w:numPr>
      </w:pPr>
      <w:r>
        <w:t>Probability of S converting to I</w:t>
      </w:r>
      <w:r w:rsidR="000E7DBC">
        <w:t xml:space="preserve"> </w:t>
      </w:r>
      <w:r w:rsidR="00DE6951">
        <w:t xml:space="preserve">[p(S:I)] </w:t>
      </w:r>
      <w:r w:rsidR="000E7DBC">
        <w:t>decreases</w:t>
      </w:r>
      <w:r w:rsidR="0058674A">
        <w:t xml:space="preserve"> linearly</w:t>
      </w:r>
      <w:r w:rsidR="000E7DBC">
        <w:t xml:space="preserve"> from 1 when saturated (</w:t>
      </w:r>
      <w:proofErr w:type="spellStart"/>
      <w:r w:rsidR="000E7DBC">
        <w:t>ph</w:t>
      </w:r>
      <w:proofErr w:type="spellEnd"/>
      <w:r w:rsidR="000E7DBC">
        <w:t xml:space="preserve"> = 0) to 0 at </w:t>
      </w:r>
      <w:proofErr w:type="spellStart"/>
      <w:r w:rsidR="000E7DBC">
        <w:t>phWet</w:t>
      </w:r>
      <w:proofErr w:type="spellEnd"/>
      <w:r>
        <w:t>:</w:t>
      </w:r>
    </w:p>
    <w:p w14:paraId="13B41BD8" w14:textId="77777777" w:rsidR="00E70CF9" w:rsidRDefault="00DE6951" w:rsidP="00DE6951">
      <w:pPr>
        <w:ind w:left="2340" w:firstLine="540"/>
      </w:pPr>
      <w:proofErr w:type="gramStart"/>
      <w:r>
        <w:t>p(</w:t>
      </w:r>
      <w:proofErr w:type="gramEnd"/>
      <w:r>
        <w:t xml:space="preserve">S:I) </w:t>
      </w:r>
      <w:r w:rsidR="00E70CF9" w:rsidRPr="00E70CF9">
        <w:t>=</w:t>
      </w:r>
      <w:r>
        <w:t xml:space="preserve"> </w:t>
      </w:r>
      <w:r w:rsidR="00E70CF9" w:rsidRPr="00E70CF9">
        <w:t>IF(</w:t>
      </w:r>
      <w:proofErr w:type="spellStart"/>
      <w:r w:rsidR="00E70CF9">
        <w:t>ph</w:t>
      </w:r>
      <w:proofErr w:type="spellEnd"/>
      <w:r w:rsidR="00884C7B">
        <w:t xml:space="preserve"> </w:t>
      </w:r>
      <w:r w:rsidR="00E70CF9">
        <w:t xml:space="preserve">&lt; </w:t>
      </w:r>
      <w:proofErr w:type="spellStart"/>
      <w:r w:rsidR="00E70CF9">
        <w:t>phWet</w:t>
      </w:r>
      <w:proofErr w:type="spellEnd"/>
      <w:r w:rsidR="00E70CF9">
        <w:t>,</w:t>
      </w:r>
      <w:r w:rsidR="00884C7B">
        <w:t xml:space="preserve"> </w:t>
      </w:r>
      <w:r w:rsidR="00E70CF9">
        <w:t>-1/</w:t>
      </w:r>
      <w:proofErr w:type="spellStart"/>
      <w:r w:rsidR="00E70CF9">
        <w:t>phWet</w:t>
      </w:r>
      <w:proofErr w:type="spellEnd"/>
      <w:r w:rsidR="00E70CF9" w:rsidRPr="00E70CF9">
        <w:t xml:space="preserve"> *</w:t>
      </w:r>
      <w:r w:rsidR="00884C7B">
        <w:t xml:space="preserve"> </w:t>
      </w:r>
      <w:proofErr w:type="spellStart"/>
      <w:r w:rsidR="00E70CF9">
        <w:t>ph</w:t>
      </w:r>
      <w:proofErr w:type="spellEnd"/>
      <w:r w:rsidR="00884C7B">
        <w:t xml:space="preserve"> </w:t>
      </w:r>
      <w:r w:rsidR="00E70CF9" w:rsidRPr="00E70CF9">
        <w:t>+</w:t>
      </w:r>
      <w:r w:rsidR="00884C7B">
        <w:t xml:space="preserve"> </w:t>
      </w:r>
      <w:r w:rsidR="00E70CF9" w:rsidRPr="00E70CF9">
        <w:t>1,</w:t>
      </w:r>
      <w:r w:rsidR="00884C7B">
        <w:t xml:space="preserve"> </w:t>
      </w:r>
      <w:r w:rsidR="00E70CF9" w:rsidRPr="00E70CF9">
        <w:t>0)</w:t>
      </w:r>
    </w:p>
    <w:p w14:paraId="7F9CDE9E" w14:textId="77777777" w:rsidR="00E70CF9" w:rsidRDefault="00E70CF9" w:rsidP="00894A79">
      <w:pPr>
        <w:ind w:left="1800"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37ABDD" wp14:editId="7CC8F8ED">
                <wp:simplePos x="0" y="0"/>
                <wp:positionH relativeFrom="column">
                  <wp:posOffset>1666875</wp:posOffset>
                </wp:positionH>
                <wp:positionV relativeFrom="paragraph">
                  <wp:posOffset>2397760</wp:posOffset>
                </wp:positionV>
                <wp:extent cx="923925" cy="2381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6BE12" w14:textId="77777777" w:rsidR="00E70CF9" w:rsidRDefault="00E70CF9">
                            <w:proofErr w:type="spellStart"/>
                            <w:proofErr w:type="gramStart"/>
                            <w:r>
                              <w:t>phWet</w:t>
                            </w:r>
                            <w:proofErr w:type="spellEnd"/>
                            <w:proofErr w:type="gramEnd"/>
                            <w:r>
                              <w:t xml:space="preserve"> =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7AB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1.25pt;margin-top:188.8pt;width:72.7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">
                <v:textbox>
                  <w:txbxContent>
                    <w:p w14:paraId="2AD6BE12" w14:textId="77777777" w:rsidR="00E70CF9" w:rsidRDefault="00E70CF9">
                      <w:proofErr w:type="spellStart"/>
                      <w:proofErr w:type="gramStart"/>
                      <w:r>
                        <w:t>phWet</w:t>
                      </w:r>
                      <w:proofErr w:type="spellEnd"/>
                      <w:proofErr w:type="gramEnd"/>
                      <w:r>
                        <w:t xml:space="preserve"> = 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028C6A" wp14:editId="0DD1A32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155998" w14:textId="77777777" w:rsidR="00FA16C8" w:rsidRDefault="00FA16C8" w:rsidP="00FA16C8">
      <w:pPr>
        <w:pStyle w:val="ListParagraph"/>
        <w:ind w:left="1440"/>
      </w:pPr>
    </w:p>
    <w:p w14:paraId="0E1B0259" w14:textId="77777777" w:rsidR="00DE6951" w:rsidRDefault="00DE6951" w:rsidP="00DE6951">
      <w:pPr>
        <w:pStyle w:val="ListParagraph"/>
        <w:numPr>
          <w:ilvl w:val="3"/>
          <w:numId w:val="3"/>
        </w:numPr>
      </w:pPr>
      <w:r>
        <w:t>Probability of S converting to D [p(S</w:t>
      </w:r>
      <w:proofErr w:type="gramStart"/>
      <w:r>
        <w:t>:D</w:t>
      </w:r>
      <w:proofErr w:type="gramEnd"/>
      <w:r>
        <w:t>)] is the product of the probabilities p(S:I) and p(I:D)</w:t>
      </w:r>
      <w:r w:rsidR="0058674A">
        <w:t>, i.e., it must make both transitions.</w:t>
      </w:r>
    </w:p>
    <w:p w14:paraId="3D35D9EA" w14:textId="77777777" w:rsidR="00DE6951" w:rsidRDefault="00DE6951" w:rsidP="00DE6951">
      <w:pPr>
        <w:pStyle w:val="ListParagraph"/>
        <w:numPr>
          <w:ilvl w:val="4"/>
          <w:numId w:val="3"/>
        </w:numPr>
      </w:pPr>
      <w:proofErr w:type="gramStart"/>
      <w:r>
        <w:t>p(</w:t>
      </w:r>
      <w:proofErr w:type="gramEnd"/>
      <w:r>
        <w:t>S:D) = p(S:I) * p(I:D)</w:t>
      </w:r>
    </w:p>
    <w:p w14:paraId="55F5A7B8" w14:textId="77777777" w:rsidR="00DE6951" w:rsidRDefault="00DE6951" w:rsidP="00FA16C8">
      <w:pPr>
        <w:pStyle w:val="ListParagraph"/>
        <w:numPr>
          <w:ilvl w:val="2"/>
          <w:numId w:val="3"/>
        </w:numPr>
      </w:pPr>
      <w:r>
        <w:t>Site currently Infected</w:t>
      </w:r>
      <w:r w:rsidR="00894A79">
        <w:t xml:space="preserve"> (I)</w:t>
      </w:r>
      <w:r>
        <w:t xml:space="preserve"> can transition to Diseased (D) or Susceptible (S)</w:t>
      </w:r>
    </w:p>
    <w:p w14:paraId="4C302325" w14:textId="77777777" w:rsidR="008C3269" w:rsidRDefault="008C3269" w:rsidP="00DE6951">
      <w:pPr>
        <w:pStyle w:val="ListParagraph"/>
        <w:numPr>
          <w:ilvl w:val="3"/>
          <w:numId w:val="3"/>
        </w:numPr>
      </w:pPr>
      <w:r>
        <w:t>Probability of I converting to D</w:t>
      </w:r>
      <w:r w:rsidR="00894A79">
        <w:t xml:space="preserve"> [</w:t>
      </w:r>
      <w:proofErr w:type="gramStart"/>
      <w:r w:rsidR="00894A79">
        <w:t>p(</w:t>
      </w:r>
      <w:proofErr w:type="gramEnd"/>
      <w:r w:rsidR="00894A79">
        <w:t>I:D)]</w:t>
      </w:r>
      <w:r w:rsidR="000E7DBC">
        <w:t xml:space="preserve"> is bimodal.  </w:t>
      </w:r>
      <w:r w:rsidR="00894A79">
        <w:t>Probability</w:t>
      </w:r>
      <w:r w:rsidR="000E7DBC">
        <w:t xml:space="preserve"> decrease</w:t>
      </w:r>
      <w:r w:rsidR="00894A79">
        <w:t>s</w:t>
      </w:r>
      <w:r w:rsidR="000E7DBC">
        <w:t xml:space="preserve"> from 1 when saturated (</w:t>
      </w:r>
      <w:proofErr w:type="spellStart"/>
      <w:r w:rsidR="000E7DBC">
        <w:t>ph</w:t>
      </w:r>
      <w:proofErr w:type="spellEnd"/>
      <w:r w:rsidR="000E7DBC">
        <w:t xml:space="preserve"> = 0) to 0 at </w:t>
      </w:r>
      <w:proofErr w:type="spellStart"/>
      <w:r w:rsidR="000E7DBC">
        <w:t>phWet</w:t>
      </w:r>
      <w:proofErr w:type="spellEnd"/>
      <w:r w:rsidR="000E7DBC">
        <w:t xml:space="preserve">.  Probability increases from 0 at </w:t>
      </w:r>
      <w:proofErr w:type="spellStart"/>
      <w:r w:rsidR="000E7DBC">
        <w:t>phDry</w:t>
      </w:r>
      <w:proofErr w:type="spellEnd"/>
      <w:r w:rsidR="000E7DBC">
        <w:t xml:space="preserve"> to 1 at </w:t>
      </w:r>
      <w:proofErr w:type="spellStart"/>
      <w:proofErr w:type="gramStart"/>
      <w:r w:rsidR="000E7DBC">
        <w:t>phMax</w:t>
      </w:r>
      <w:proofErr w:type="spellEnd"/>
      <w:r w:rsidR="000E7DBC">
        <w:t>.</w:t>
      </w:r>
      <w:r>
        <w:t>:</w:t>
      </w:r>
      <w:proofErr w:type="gramEnd"/>
    </w:p>
    <w:p w14:paraId="6DC13275" w14:textId="60E51C07" w:rsidR="00FA16C8" w:rsidRDefault="00DE6951" w:rsidP="00DE6951">
      <w:pPr>
        <w:ind w:left="3240" w:hanging="360"/>
      </w:pPr>
      <w:proofErr w:type="gramStart"/>
      <w:r>
        <w:t>p(</w:t>
      </w:r>
      <w:proofErr w:type="gramEnd"/>
      <w:r>
        <w:t xml:space="preserve">I:D) </w:t>
      </w:r>
      <w:r w:rsidR="00E70CF9">
        <w:t>=</w:t>
      </w:r>
      <w:r>
        <w:t xml:space="preserve"> </w:t>
      </w:r>
      <w:r w:rsidR="00E70CF9">
        <w:t>IF(</w:t>
      </w:r>
      <w:proofErr w:type="spellStart"/>
      <w:r w:rsidR="00E70CF9">
        <w:t>ph</w:t>
      </w:r>
      <w:proofErr w:type="spellEnd"/>
      <w:r w:rsidR="00E70CF9">
        <w:t xml:space="preserve"> &lt;</w:t>
      </w:r>
      <w:r w:rsidR="00E70CF9" w:rsidRPr="00E70CF9">
        <w:t xml:space="preserve"> </w:t>
      </w:r>
      <w:proofErr w:type="spellStart"/>
      <w:r w:rsidR="00E70CF9">
        <w:t>phWet</w:t>
      </w:r>
      <w:proofErr w:type="spellEnd"/>
      <w:r w:rsidR="00E70CF9">
        <w:t>,</w:t>
      </w:r>
      <w:r w:rsidR="00884C7B">
        <w:t xml:space="preserve"> </w:t>
      </w:r>
      <w:r w:rsidR="00071886">
        <w:t>(</w:t>
      </w:r>
      <w:proofErr w:type="spellStart"/>
      <w:r w:rsidR="00071886">
        <w:t>minProbID</w:t>
      </w:r>
      <w:proofErr w:type="spellEnd"/>
      <w:r w:rsidR="00071886">
        <w:t xml:space="preserve"> – </w:t>
      </w:r>
      <w:r w:rsidR="00E70CF9">
        <w:t>1</w:t>
      </w:r>
      <w:r w:rsidR="00071886">
        <w:t>)</w:t>
      </w:r>
      <w:r w:rsidR="00E70CF9">
        <w:t>/</w:t>
      </w:r>
      <w:proofErr w:type="spellStart"/>
      <w:r w:rsidR="00E70CF9">
        <w:t>phWet</w:t>
      </w:r>
      <w:proofErr w:type="spellEnd"/>
      <w:r w:rsidR="00E70CF9" w:rsidRPr="00E70CF9">
        <w:t xml:space="preserve"> * </w:t>
      </w:r>
      <w:proofErr w:type="spellStart"/>
      <w:r w:rsidR="00E70CF9">
        <w:t>ph</w:t>
      </w:r>
      <w:proofErr w:type="spellEnd"/>
      <w:r w:rsidR="00E70CF9" w:rsidRPr="00E70CF9">
        <w:t xml:space="preserve"> +</w:t>
      </w:r>
      <w:r w:rsidR="00884C7B">
        <w:t xml:space="preserve"> </w:t>
      </w:r>
      <w:r w:rsidR="00E70CF9" w:rsidRPr="00E70CF9">
        <w:t>1,</w:t>
      </w:r>
      <w:r w:rsidR="00884C7B">
        <w:t xml:space="preserve"> </w:t>
      </w:r>
      <w:r w:rsidR="00E70CF9" w:rsidRPr="00E70CF9">
        <w:t>IF(</w:t>
      </w:r>
      <w:proofErr w:type="spellStart"/>
      <w:r w:rsidR="00E70CF9">
        <w:t>ph</w:t>
      </w:r>
      <w:proofErr w:type="spellEnd"/>
      <w:r w:rsidR="00E70CF9" w:rsidRPr="00E70CF9">
        <w:t xml:space="preserve"> </w:t>
      </w:r>
      <w:r w:rsidR="00E70CF9">
        <w:t xml:space="preserve">&gt; </w:t>
      </w:r>
      <w:proofErr w:type="spellStart"/>
      <w:r w:rsidR="00E70CF9">
        <w:t>phDry</w:t>
      </w:r>
      <w:proofErr w:type="spellEnd"/>
      <w:r w:rsidR="00E70CF9" w:rsidRPr="00E70CF9">
        <w:t>,</w:t>
      </w:r>
      <w:r w:rsidR="00884C7B">
        <w:t xml:space="preserve"> </w:t>
      </w:r>
      <w:r w:rsidR="00E70CF9" w:rsidRPr="00E70CF9">
        <w:t>IF(</w:t>
      </w:r>
      <w:proofErr w:type="spellStart"/>
      <w:r w:rsidR="00E70CF9">
        <w:t>ph</w:t>
      </w:r>
      <w:proofErr w:type="spellEnd"/>
      <w:r w:rsidR="00E70CF9" w:rsidRPr="00E70CF9">
        <w:t xml:space="preserve"> </w:t>
      </w:r>
      <w:r w:rsidR="00E70CF9">
        <w:t xml:space="preserve">&gt; </w:t>
      </w:r>
      <w:proofErr w:type="spellStart"/>
      <w:r w:rsidR="00E70CF9">
        <w:t>phMax</w:t>
      </w:r>
      <w:proofErr w:type="spellEnd"/>
      <w:r w:rsidR="00E70CF9" w:rsidRPr="00E70CF9">
        <w:t>,</w:t>
      </w:r>
      <w:r w:rsidR="00884C7B">
        <w:t xml:space="preserve"> </w:t>
      </w:r>
      <w:r w:rsidR="00E70CF9" w:rsidRPr="00E70CF9">
        <w:t>1</w:t>
      </w:r>
      <w:r w:rsidR="00884C7B">
        <w:t xml:space="preserve">, m1 </w:t>
      </w:r>
      <w:r w:rsidR="00E70CF9" w:rsidRPr="00E70CF9">
        <w:t xml:space="preserve">* </w:t>
      </w:r>
      <w:proofErr w:type="spellStart"/>
      <w:r w:rsidR="00E70CF9">
        <w:t>ph</w:t>
      </w:r>
      <w:proofErr w:type="spellEnd"/>
      <w:r w:rsidR="00E70CF9" w:rsidRPr="00E70CF9">
        <w:t xml:space="preserve"> +</w:t>
      </w:r>
      <w:r w:rsidR="00884C7B">
        <w:t xml:space="preserve"> b1</w:t>
      </w:r>
      <w:r w:rsidR="00E70CF9" w:rsidRPr="00E70CF9">
        <w:t>),</w:t>
      </w:r>
      <w:proofErr w:type="spellStart"/>
      <w:r w:rsidR="00071886">
        <w:t>minProbID</w:t>
      </w:r>
      <w:proofErr w:type="spellEnd"/>
      <w:r w:rsidR="00E70CF9" w:rsidRPr="00E70CF9">
        <w:t>))</w:t>
      </w:r>
    </w:p>
    <w:p w14:paraId="27B9A18D" w14:textId="2DA7CAA6" w:rsidR="00E70CF9" w:rsidRDefault="00E70CF9" w:rsidP="00894A79">
      <w:pPr>
        <w:ind w:left="1980"/>
      </w:pPr>
      <w:r>
        <w:lastRenderedPageBreak/>
        <w:br/>
      </w:r>
      <w:r w:rsidR="00071886">
        <w:rPr>
          <w:noProof/>
        </w:rPr>
        <w:drawing>
          <wp:inline distT="0" distB="0" distL="0" distR="0" wp14:anchorId="191602BF" wp14:editId="0C54BDFE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775932" w14:textId="066C2100" w:rsidR="00884C7B" w:rsidRDefault="00884C7B" w:rsidP="00894A79">
      <w:pPr>
        <w:pStyle w:val="ListParagraph"/>
        <w:ind w:left="1800" w:firstLine="720"/>
      </w:pPr>
      <w:r>
        <w:t xml:space="preserve">m1 = </w:t>
      </w:r>
      <w:r w:rsidR="00071886">
        <w:t>(</w:t>
      </w:r>
      <w:r w:rsidRPr="00884C7B">
        <w:t>1</w:t>
      </w:r>
      <w:r w:rsidR="00071886">
        <w:t>-minProbID)</w:t>
      </w:r>
      <w:proofErr w:type="gramStart"/>
      <w:r w:rsidRPr="00884C7B">
        <w:t>/(</w:t>
      </w:r>
      <w:proofErr w:type="spellStart"/>
      <w:proofErr w:type="gramEnd"/>
      <w:r>
        <w:t>phMax</w:t>
      </w:r>
      <w:proofErr w:type="spellEnd"/>
      <w:r>
        <w:t xml:space="preserve"> </w:t>
      </w:r>
      <w:r w:rsidRPr="00884C7B">
        <w:t>-</w:t>
      </w:r>
      <w:r>
        <w:t xml:space="preserve"> </w:t>
      </w:r>
      <w:proofErr w:type="spellStart"/>
      <w:r>
        <w:t>phDry</w:t>
      </w:r>
      <w:proofErr w:type="spellEnd"/>
      <w:r w:rsidRPr="00884C7B">
        <w:t>)</w:t>
      </w:r>
      <w:r>
        <w:t xml:space="preserve">, b1 = </w:t>
      </w:r>
      <w:proofErr w:type="spellStart"/>
      <w:r w:rsidR="00071886">
        <w:t>minProbID</w:t>
      </w:r>
      <w:proofErr w:type="spellEnd"/>
      <w:r w:rsidR="00071886">
        <w:t xml:space="preserve"> – (</w:t>
      </w:r>
      <w:proofErr w:type="spellStart"/>
      <w:r>
        <w:t>phDry</w:t>
      </w:r>
      <w:proofErr w:type="spellEnd"/>
      <w:r>
        <w:t xml:space="preserve"> </w:t>
      </w:r>
      <w:r w:rsidRPr="00884C7B">
        <w:t>*</w:t>
      </w:r>
      <w:r>
        <w:t xml:space="preserve"> m1</w:t>
      </w:r>
      <w:r w:rsidR="00071886">
        <w:t>)</w:t>
      </w:r>
    </w:p>
    <w:p w14:paraId="58A584C4" w14:textId="77777777" w:rsidR="00FA16C8" w:rsidRDefault="00FA16C8" w:rsidP="00FA16C8">
      <w:pPr>
        <w:pStyle w:val="ListParagraph"/>
        <w:ind w:left="1440"/>
      </w:pPr>
    </w:p>
    <w:p w14:paraId="60E3367B" w14:textId="77777777" w:rsidR="00894A79" w:rsidRDefault="00894A79" w:rsidP="00894A79">
      <w:pPr>
        <w:pStyle w:val="ListParagraph"/>
        <w:numPr>
          <w:ilvl w:val="3"/>
          <w:numId w:val="3"/>
        </w:numPr>
      </w:pPr>
      <w:r>
        <w:t>Probability of I converting to S [</w:t>
      </w:r>
      <w:proofErr w:type="gramStart"/>
      <w:r>
        <w:t>p(</w:t>
      </w:r>
      <w:proofErr w:type="gramEnd"/>
      <w:r>
        <w:t>I:S)] is binary depending on the presence of the pathogen.</w:t>
      </w:r>
    </w:p>
    <w:p w14:paraId="07AE0060" w14:textId="77777777" w:rsidR="00894A79" w:rsidRDefault="00894A79" w:rsidP="00894A79">
      <w:pPr>
        <w:pStyle w:val="ListParagraph"/>
        <w:numPr>
          <w:ilvl w:val="4"/>
          <w:numId w:val="3"/>
        </w:numPr>
      </w:pPr>
      <w:r>
        <w:t>If Presence == 0, then p(I:S) = 1</w:t>
      </w:r>
    </w:p>
    <w:p w14:paraId="395127BC" w14:textId="77777777" w:rsidR="00894A79" w:rsidRDefault="00894A79" w:rsidP="00894A79">
      <w:pPr>
        <w:pStyle w:val="ListParagraph"/>
        <w:numPr>
          <w:ilvl w:val="4"/>
          <w:numId w:val="3"/>
        </w:numPr>
      </w:pPr>
      <w:r>
        <w:t>If Presence ==1, then p(I:S) = 0</w:t>
      </w:r>
    </w:p>
    <w:p w14:paraId="796E2E5C" w14:textId="77777777" w:rsidR="00894A79" w:rsidRDefault="00894A79" w:rsidP="00FA16C8">
      <w:pPr>
        <w:pStyle w:val="ListParagraph"/>
        <w:numPr>
          <w:ilvl w:val="2"/>
          <w:numId w:val="3"/>
        </w:numPr>
      </w:pPr>
      <w:r>
        <w:t>Site currently Diseased (D) can transition to Susceptible (S) or Infected (I)</w:t>
      </w:r>
    </w:p>
    <w:p w14:paraId="12F5822D" w14:textId="77777777" w:rsidR="00894A79" w:rsidRDefault="00894A79" w:rsidP="00894A79">
      <w:pPr>
        <w:pStyle w:val="ListParagraph"/>
        <w:numPr>
          <w:ilvl w:val="3"/>
          <w:numId w:val="3"/>
        </w:numPr>
      </w:pPr>
      <w:r>
        <w:t>Probability of D converting to S [</w:t>
      </w:r>
      <w:proofErr w:type="gramStart"/>
      <w:r>
        <w:t>p(</w:t>
      </w:r>
      <w:proofErr w:type="gramEnd"/>
      <w:r>
        <w:t>D:S)] is binary depending on the presence of the pathogen.</w:t>
      </w:r>
    </w:p>
    <w:p w14:paraId="6F8FAA79" w14:textId="77777777" w:rsidR="00894A79" w:rsidRDefault="00894A79" w:rsidP="00894A79">
      <w:pPr>
        <w:pStyle w:val="ListParagraph"/>
        <w:numPr>
          <w:ilvl w:val="4"/>
          <w:numId w:val="3"/>
        </w:numPr>
      </w:pPr>
      <w:r>
        <w:t>If Presence == 0, then p(D:S) = 1</w:t>
      </w:r>
    </w:p>
    <w:p w14:paraId="758BD1A6" w14:textId="77777777" w:rsidR="00894A79" w:rsidRDefault="00894A79" w:rsidP="00894A79">
      <w:pPr>
        <w:pStyle w:val="ListParagraph"/>
        <w:numPr>
          <w:ilvl w:val="4"/>
          <w:numId w:val="3"/>
        </w:numPr>
      </w:pPr>
      <w:r>
        <w:t>If Presence ==1, then p(D:S) = 0</w:t>
      </w:r>
    </w:p>
    <w:p w14:paraId="0FF6CA83" w14:textId="6DB525FE" w:rsidR="008C3269" w:rsidRDefault="00A64BAC" w:rsidP="00894A79">
      <w:pPr>
        <w:pStyle w:val="ListParagraph"/>
        <w:numPr>
          <w:ilvl w:val="3"/>
          <w:numId w:val="3"/>
        </w:numPr>
      </w:pPr>
      <w:r>
        <w:t>D converts to I if no cohorts present with susceptibility &gt; 0</w:t>
      </w:r>
      <w:r w:rsidR="00884C7B">
        <w:t xml:space="preserve">, or </w:t>
      </w:r>
      <w:commentRangeStart w:id="1"/>
      <w:r w:rsidR="00884C7B">
        <w:t>with probability</w:t>
      </w:r>
      <w:r w:rsidR="00595A96">
        <w:t xml:space="preserve"> </w:t>
      </w:r>
      <w:r w:rsidR="00036729">
        <w:t>[</w:t>
      </w:r>
      <w:proofErr w:type="gramStart"/>
      <w:r w:rsidR="00036729">
        <w:t>p(</w:t>
      </w:r>
      <w:proofErr w:type="gramEnd"/>
      <w:r w:rsidR="00036729">
        <w:t xml:space="preserve">D:I)] </w:t>
      </w:r>
      <w:r w:rsidR="00595A96">
        <w:t xml:space="preserve">when </w:t>
      </w:r>
      <w:proofErr w:type="spellStart"/>
      <w:r w:rsidR="00036729">
        <w:t>pressurehead</w:t>
      </w:r>
      <w:proofErr w:type="spellEnd"/>
      <w:r w:rsidR="00036729">
        <w:t xml:space="preserve"> is </w:t>
      </w:r>
      <w:r w:rsidR="00595A96">
        <w:t xml:space="preserve">between </w:t>
      </w:r>
      <w:proofErr w:type="spellStart"/>
      <w:r w:rsidR="00595A96">
        <w:t>phWet</w:t>
      </w:r>
      <w:proofErr w:type="spellEnd"/>
      <w:r w:rsidR="00595A96">
        <w:t xml:space="preserve"> and </w:t>
      </w:r>
      <w:proofErr w:type="spellStart"/>
      <w:r w:rsidR="00595A96">
        <w:t>phDry</w:t>
      </w:r>
      <w:proofErr w:type="spellEnd"/>
      <w:r w:rsidR="00595A96">
        <w:t xml:space="preserve">.  Maximum probability occurs at the midpoint between </w:t>
      </w:r>
      <w:proofErr w:type="spellStart"/>
      <w:r w:rsidR="00595A96">
        <w:t>phWet</w:t>
      </w:r>
      <w:proofErr w:type="spellEnd"/>
      <w:r w:rsidR="00595A96">
        <w:t xml:space="preserve"> and </w:t>
      </w:r>
      <w:proofErr w:type="spellStart"/>
      <w:r w:rsidR="00595A96">
        <w:t>phDry</w:t>
      </w:r>
      <w:proofErr w:type="spellEnd"/>
      <w:r w:rsidR="00884C7B">
        <w:t>:</w:t>
      </w:r>
      <w:commentRangeEnd w:id="1"/>
      <w:r w:rsidR="00F66468">
        <w:rPr>
          <w:rStyle w:val="CommentReference"/>
        </w:rPr>
        <w:commentReference w:id="1"/>
      </w:r>
    </w:p>
    <w:p w14:paraId="09C3CB26" w14:textId="77777777" w:rsidR="00894A79" w:rsidRDefault="00894A79" w:rsidP="00894A79">
      <w:pPr>
        <w:pStyle w:val="ListParagraph"/>
        <w:numPr>
          <w:ilvl w:val="4"/>
          <w:numId w:val="3"/>
        </w:numPr>
      </w:pPr>
      <w:r>
        <w:t>If all Susceptibility(i) == 0, then p(D:I)  = 1</w:t>
      </w:r>
    </w:p>
    <w:p w14:paraId="37553630" w14:textId="2C7B51FC" w:rsidR="00884C7B" w:rsidRDefault="00894A79" w:rsidP="00894A79">
      <w:pPr>
        <w:pStyle w:val="ListParagraph"/>
        <w:numPr>
          <w:ilvl w:val="4"/>
          <w:numId w:val="3"/>
        </w:numPr>
        <w:ind w:left="3420" w:hanging="180"/>
      </w:pPr>
      <w:r>
        <w:t xml:space="preserve">   Else, p(D:I) </w:t>
      </w:r>
      <w:r w:rsidR="00884C7B" w:rsidRPr="00884C7B">
        <w:t>=</w:t>
      </w:r>
      <w:r>
        <w:t xml:space="preserve"> </w:t>
      </w:r>
      <w:r w:rsidR="00FD6896">
        <w:t>MIN(</w:t>
      </w:r>
      <w:proofErr w:type="spellStart"/>
      <w:r w:rsidR="00FD6896">
        <w:t>maxProbDI,</w:t>
      </w:r>
      <w:r w:rsidR="00884C7B" w:rsidRPr="00884C7B">
        <w:t>IF</w:t>
      </w:r>
      <w:proofErr w:type="spellEnd"/>
      <w:r w:rsidR="00884C7B" w:rsidRPr="00884C7B">
        <w:t>(</w:t>
      </w:r>
      <w:proofErr w:type="spellStart"/>
      <w:r w:rsidR="000E7DBC">
        <w:t>ph</w:t>
      </w:r>
      <w:proofErr w:type="spellEnd"/>
      <w:r w:rsidR="000E7DBC">
        <w:t xml:space="preserve"> </w:t>
      </w:r>
      <w:r w:rsidR="00884C7B" w:rsidRPr="00884C7B">
        <w:t>&lt;</w:t>
      </w:r>
      <w:r w:rsidR="000E7DBC">
        <w:t xml:space="preserve"> </w:t>
      </w:r>
      <w:proofErr w:type="spellStart"/>
      <w:r w:rsidR="000E7DBC">
        <w:t>phWet</w:t>
      </w:r>
      <w:proofErr w:type="spellEnd"/>
      <w:r w:rsidR="00884C7B" w:rsidRPr="00884C7B">
        <w:t>,</w:t>
      </w:r>
      <w:r w:rsidR="000E7DBC">
        <w:t xml:space="preserve"> </w:t>
      </w:r>
      <w:r w:rsidR="00884C7B" w:rsidRPr="00884C7B">
        <w:t>0,</w:t>
      </w:r>
      <w:r w:rsidR="000E7DBC">
        <w:t xml:space="preserve"> </w:t>
      </w:r>
      <w:r w:rsidR="00884C7B" w:rsidRPr="00884C7B">
        <w:t>IF(</w:t>
      </w:r>
      <w:proofErr w:type="spellStart"/>
      <w:r w:rsidR="000E7DBC">
        <w:t>ph</w:t>
      </w:r>
      <w:proofErr w:type="spellEnd"/>
      <w:r w:rsidR="000E7DBC">
        <w:t xml:space="preserve"> </w:t>
      </w:r>
      <w:r w:rsidR="00884C7B" w:rsidRPr="00884C7B">
        <w:t>&gt;</w:t>
      </w:r>
      <w:r w:rsidR="000E7DBC">
        <w:t xml:space="preserve"> </w:t>
      </w:r>
      <w:proofErr w:type="spellStart"/>
      <w:r w:rsidR="000E7DBC">
        <w:t>phDry</w:t>
      </w:r>
      <w:proofErr w:type="spellEnd"/>
      <w:r w:rsidR="00884C7B" w:rsidRPr="00884C7B">
        <w:t>,</w:t>
      </w:r>
      <w:r w:rsidR="000E7DBC">
        <w:t xml:space="preserve"> </w:t>
      </w:r>
      <w:r w:rsidR="00884C7B" w:rsidRPr="00884C7B">
        <w:t>0,</w:t>
      </w:r>
      <w:r w:rsidR="000E7DBC">
        <w:t xml:space="preserve"> </w:t>
      </w:r>
      <w:r w:rsidR="00884C7B" w:rsidRPr="00884C7B">
        <w:t>IF(</w:t>
      </w:r>
      <w:proofErr w:type="spellStart"/>
      <w:r w:rsidR="000E7DBC">
        <w:t>ph</w:t>
      </w:r>
      <w:proofErr w:type="spellEnd"/>
      <w:r w:rsidR="000E7DBC">
        <w:t xml:space="preserve"> </w:t>
      </w:r>
      <w:r w:rsidR="00884C7B" w:rsidRPr="00884C7B">
        <w:t>&lt;=</w:t>
      </w:r>
      <w:r w:rsidR="000E7DBC">
        <w:t xml:space="preserve"> (</w:t>
      </w:r>
      <w:proofErr w:type="spellStart"/>
      <w:r w:rsidR="000E7DBC">
        <w:t>phDry</w:t>
      </w:r>
      <w:proofErr w:type="spellEnd"/>
      <w:r w:rsidR="000E7DBC">
        <w:t xml:space="preserve"> – </w:t>
      </w:r>
      <w:proofErr w:type="spellStart"/>
      <w:r w:rsidR="000E7DBC">
        <w:t>phWet</w:t>
      </w:r>
      <w:proofErr w:type="spellEnd"/>
      <w:r w:rsidR="000E7DBC">
        <w:t>)/2</w:t>
      </w:r>
      <w:r w:rsidR="00884C7B" w:rsidRPr="00884C7B">
        <w:t>,</w:t>
      </w:r>
      <w:r w:rsidR="000E7DBC">
        <w:t xml:space="preserve"> m2 </w:t>
      </w:r>
      <w:r w:rsidR="00884C7B" w:rsidRPr="00884C7B">
        <w:t>*</w:t>
      </w:r>
      <w:r w:rsidR="000E7DBC">
        <w:t xml:space="preserve"> </w:t>
      </w:r>
      <w:proofErr w:type="spellStart"/>
      <w:r w:rsidR="000E7DBC">
        <w:t>ph</w:t>
      </w:r>
      <w:proofErr w:type="spellEnd"/>
      <w:r w:rsidR="000E7DBC">
        <w:t xml:space="preserve"> </w:t>
      </w:r>
      <w:r w:rsidR="00884C7B" w:rsidRPr="00884C7B">
        <w:t>+</w:t>
      </w:r>
      <w:r w:rsidR="000E7DBC">
        <w:t xml:space="preserve"> b2</w:t>
      </w:r>
      <w:r w:rsidR="00884C7B" w:rsidRPr="00884C7B">
        <w:t>,</w:t>
      </w:r>
      <w:r w:rsidR="000E7DBC">
        <w:t xml:space="preserve"> m3 </w:t>
      </w:r>
      <w:r w:rsidR="00884C7B" w:rsidRPr="00884C7B">
        <w:t>*</w:t>
      </w:r>
      <w:r w:rsidR="000E7DBC">
        <w:t xml:space="preserve"> </w:t>
      </w:r>
      <w:proofErr w:type="spellStart"/>
      <w:r w:rsidR="000E7DBC">
        <w:t>ph</w:t>
      </w:r>
      <w:proofErr w:type="spellEnd"/>
      <w:r w:rsidR="000E7DBC">
        <w:t xml:space="preserve"> </w:t>
      </w:r>
      <w:r w:rsidR="00884C7B" w:rsidRPr="00884C7B">
        <w:t>+</w:t>
      </w:r>
      <w:r w:rsidR="000E7DBC">
        <w:t xml:space="preserve"> b3</w:t>
      </w:r>
      <w:r w:rsidR="00884C7B" w:rsidRPr="00884C7B">
        <w:t>)))</w:t>
      </w:r>
      <w:r w:rsidR="00FD6896">
        <w:t>)</w:t>
      </w:r>
      <w:r>
        <w:br/>
      </w:r>
    </w:p>
    <w:p w14:paraId="5B0CB0EB" w14:textId="720707AB" w:rsidR="000E7DBC" w:rsidRDefault="00FD6896" w:rsidP="00894A79">
      <w:pPr>
        <w:pStyle w:val="ListParagraph"/>
        <w:ind w:left="1440" w:firstLine="720"/>
      </w:pPr>
      <w:r>
        <w:rPr>
          <w:noProof/>
        </w:rPr>
        <w:lastRenderedPageBreak/>
        <w:drawing>
          <wp:inline distT="0" distB="0" distL="0" distR="0" wp14:anchorId="5C61DB99" wp14:editId="12BE2449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0EC0D47" w14:textId="77777777" w:rsidR="00913E6B" w:rsidRDefault="000E7DBC" w:rsidP="00790A62">
      <w:pPr>
        <w:pStyle w:val="ListParagraph"/>
        <w:ind w:left="2880"/>
      </w:pPr>
      <w:r>
        <w:t xml:space="preserve">m2 = </w:t>
      </w:r>
      <w:r w:rsidRPr="00884C7B">
        <w:t>1</w:t>
      </w:r>
      <w:proofErr w:type="gramStart"/>
      <w:r w:rsidRPr="00884C7B">
        <w:t>/(</w:t>
      </w:r>
      <w:proofErr w:type="gramEnd"/>
      <w:r>
        <w:t>(</w:t>
      </w:r>
      <w:proofErr w:type="spellStart"/>
      <w:r>
        <w:t>phDry</w:t>
      </w:r>
      <w:proofErr w:type="spellEnd"/>
      <w:r>
        <w:t xml:space="preserve"> – </w:t>
      </w:r>
      <w:proofErr w:type="spellStart"/>
      <w:r>
        <w:t>phWet</w:t>
      </w:r>
      <w:proofErr w:type="spellEnd"/>
      <w:r>
        <w:t xml:space="preserve">)/2 </w:t>
      </w:r>
      <w:r w:rsidRPr="00884C7B">
        <w:t>-</w:t>
      </w:r>
      <w:r>
        <w:t xml:space="preserve"> </w:t>
      </w:r>
      <w:proofErr w:type="spellStart"/>
      <w:r>
        <w:t>phWet</w:t>
      </w:r>
      <w:proofErr w:type="spellEnd"/>
      <w:r w:rsidRPr="00884C7B">
        <w:t>)</w:t>
      </w:r>
      <w:r>
        <w:t xml:space="preserve">, b2 = </w:t>
      </w:r>
      <w:r w:rsidRPr="00884C7B">
        <w:t>-1*</w:t>
      </w:r>
      <w:proofErr w:type="spellStart"/>
      <w:r>
        <w:t>phWet</w:t>
      </w:r>
      <w:proofErr w:type="spellEnd"/>
      <w:r>
        <w:t xml:space="preserve"> </w:t>
      </w:r>
      <w:r w:rsidRPr="00884C7B">
        <w:t>*</w:t>
      </w:r>
      <w:r>
        <w:t xml:space="preserve"> m2; </w:t>
      </w:r>
      <w:r>
        <w:br/>
        <w:t xml:space="preserve">m3 = </w:t>
      </w:r>
      <w:r w:rsidRPr="00884C7B">
        <w:t>1/(</w:t>
      </w:r>
      <w:r>
        <w:t>(</w:t>
      </w:r>
      <w:proofErr w:type="spellStart"/>
      <w:r>
        <w:t>phDry</w:t>
      </w:r>
      <w:proofErr w:type="spellEnd"/>
      <w:r>
        <w:t xml:space="preserve"> – </w:t>
      </w:r>
      <w:proofErr w:type="spellStart"/>
      <w:r>
        <w:t>phWet</w:t>
      </w:r>
      <w:proofErr w:type="spellEnd"/>
      <w:r>
        <w:t xml:space="preserve">)/2 </w:t>
      </w:r>
      <w:r w:rsidRPr="00884C7B">
        <w:t>-</w:t>
      </w:r>
      <w:r>
        <w:t xml:space="preserve"> </w:t>
      </w:r>
      <w:proofErr w:type="spellStart"/>
      <w:r>
        <w:t>phDry</w:t>
      </w:r>
      <w:proofErr w:type="spellEnd"/>
      <w:r w:rsidRPr="00884C7B">
        <w:t>)</w:t>
      </w:r>
      <w:r>
        <w:t xml:space="preserve">, b2 = </w:t>
      </w:r>
      <w:r w:rsidRPr="00884C7B">
        <w:t>-1*</w:t>
      </w:r>
      <w:proofErr w:type="spellStart"/>
      <w:r>
        <w:t>phDry</w:t>
      </w:r>
      <w:proofErr w:type="spellEnd"/>
      <w:r>
        <w:t xml:space="preserve"> </w:t>
      </w:r>
      <w:r w:rsidRPr="00884C7B">
        <w:t>*</w:t>
      </w:r>
      <w:r>
        <w:t xml:space="preserve"> m3</w:t>
      </w:r>
      <w:r w:rsidR="00595A96">
        <w:br/>
      </w:r>
    </w:p>
    <w:p w14:paraId="4AC61178" w14:textId="77777777" w:rsidR="008C3269" w:rsidRDefault="00790A62" w:rsidP="00595A96">
      <w:pPr>
        <w:pStyle w:val="ListParagraph"/>
        <w:numPr>
          <w:ilvl w:val="0"/>
          <w:numId w:val="3"/>
        </w:numPr>
      </w:pPr>
      <w:r>
        <w:t>After updating site status, f</w:t>
      </w:r>
      <w:r w:rsidR="00595A96">
        <w:t>or any site with status of Diseased (D)</w:t>
      </w:r>
      <w:r w:rsidR="00FA16C8">
        <w:t>, calculate damage</w:t>
      </w:r>
      <w:r w:rsidR="00595A96">
        <w:t>:</w:t>
      </w:r>
    </w:p>
    <w:p w14:paraId="2B98F6AC" w14:textId="77777777" w:rsidR="00595A96" w:rsidRDefault="00FA16C8" w:rsidP="00595A96">
      <w:pPr>
        <w:pStyle w:val="ListParagraph"/>
        <w:numPr>
          <w:ilvl w:val="1"/>
          <w:numId w:val="3"/>
        </w:numPr>
      </w:pPr>
      <w:r>
        <w:t>For each cohort on the site</w:t>
      </w:r>
      <w:r w:rsidR="00790A62">
        <w:t>, damage is determined by the susceptibility of the species</w:t>
      </w:r>
      <w:r>
        <w:t>:</w:t>
      </w:r>
    </w:p>
    <w:p w14:paraId="263BE24D" w14:textId="77777777" w:rsidR="00FA16C8" w:rsidRDefault="00FA16C8" w:rsidP="00FA16C8">
      <w:pPr>
        <w:pStyle w:val="ListParagraph"/>
        <w:numPr>
          <w:ilvl w:val="2"/>
          <w:numId w:val="3"/>
        </w:numPr>
      </w:pPr>
      <w:r>
        <w:t>Damage = Susceptibility(i)</w:t>
      </w:r>
    </w:p>
    <w:p w14:paraId="62657831" w14:textId="77777777" w:rsidR="00913E6B" w:rsidRDefault="00F66468" w:rsidP="00FA16C8">
      <w:pPr>
        <w:pStyle w:val="ListParagraph"/>
        <w:numPr>
          <w:ilvl w:val="2"/>
          <w:numId w:val="3"/>
        </w:numPr>
      </w:pPr>
      <w:r>
        <w:t>Damage is a proportional removal of cohort biomass representing the death of that proportion of individual trees.</w:t>
      </w:r>
    </w:p>
    <w:p w14:paraId="69C0CFEE" w14:textId="65810E60" w:rsidR="00F66468" w:rsidRDefault="00036729" w:rsidP="00F66468">
      <w:r>
        <w:br/>
      </w:r>
    </w:p>
    <w:p w14:paraId="24F5DF63" w14:textId="77777777" w:rsidR="00F66468" w:rsidRDefault="00F66468" w:rsidP="00F66468">
      <w:pPr>
        <w:rPr>
          <w:u w:val="single"/>
        </w:rPr>
      </w:pPr>
      <w:r w:rsidRPr="00F66468">
        <w:rPr>
          <w:u w:val="single"/>
        </w:rPr>
        <w:t>Notes:</w:t>
      </w:r>
    </w:p>
    <w:p w14:paraId="0787B175" w14:textId="77777777" w:rsidR="00F66468" w:rsidRDefault="00F66468" w:rsidP="00F66468">
      <w:pPr>
        <w:pStyle w:val="ListParagraph"/>
        <w:numPr>
          <w:ilvl w:val="0"/>
          <w:numId w:val="6"/>
        </w:numPr>
      </w:pPr>
      <w:r>
        <w:t>Relative abundance or host biomass do not contribute to the calculations.</w:t>
      </w:r>
    </w:p>
    <w:p w14:paraId="7BAF9CD5" w14:textId="77777777" w:rsidR="00F66468" w:rsidRDefault="00F66468" w:rsidP="00F66468">
      <w:pPr>
        <w:pStyle w:val="ListParagraph"/>
        <w:numPr>
          <w:ilvl w:val="0"/>
          <w:numId w:val="6"/>
        </w:numPr>
      </w:pPr>
      <w:r>
        <w:t>All sites with a Diseased (D) status will experience the same impact per species, but the status of D is probabilistic.</w:t>
      </w:r>
    </w:p>
    <w:p w14:paraId="1B209496" w14:textId="77777777" w:rsidR="00F66468" w:rsidRDefault="00F66468" w:rsidP="00F66468">
      <w:pPr>
        <w:pStyle w:val="ListParagraph"/>
        <w:numPr>
          <w:ilvl w:val="0"/>
          <w:numId w:val="6"/>
        </w:numPr>
      </w:pPr>
      <w:r>
        <w:t>All cohorts of a species are impacted equally (no modification based on age or biomass).</w:t>
      </w:r>
    </w:p>
    <w:p w14:paraId="4BF1060C" w14:textId="77777777" w:rsidR="00F66468" w:rsidRPr="00F66468" w:rsidRDefault="00F66468" w:rsidP="00F66468"/>
    <w:sectPr w:rsidR="00F66468" w:rsidRPr="00F6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randa, Brian R -FS" w:date="2019-03-19T15:29:00Z" w:initials="MBR-">
    <w:p w14:paraId="533E8EEE" w14:textId="77777777" w:rsidR="00F66468" w:rsidRDefault="00F66468">
      <w:pPr>
        <w:pStyle w:val="CommentText"/>
      </w:pPr>
      <w:r>
        <w:rPr>
          <w:rStyle w:val="CommentReference"/>
        </w:rPr>
        <w:annotationRef/>
      </w:r>
      <w:r>
        <w:t>This was extrapolated from earlier comments, not sure if I captured this correctly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3E8E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B6FB2"/>
    <w:multiLevelType w:val="hybridMultilevel"/>
    <w:tmpl w:val="AD700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D21DAA"/>
    <w:multiLevelType w:val="hybridMultilevel"/>
    <w:tmpl w:val="CFFEF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B7AAF"/>
    <w:multiLevelType w:val="hybridMultilevel"/>
    <w:tmpl w:val="8BE42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63778"/>
    <w:multiLevelType w:val="hybridMultilevel"/>
    <w:tmpl w:val="6582C4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8C66850"/>
    <w:multiLevelType w:val="hybridMultilevel"/>
    <w:tmpl w:val="31A88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55B9C"/>
    <w:multiLevelType w:val="hybridMultilevel"/>
    <w:tmpl w:val="8F84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randa, Brian R -FS">
    <w15:presenceInfo w15:providerId="AD" w15:userId="S-1-5-21-2443529608-3098792306-3041422421-2684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69"/>
    <w:rsid w:val="00036729"/>
    <w:rsid w:val="00071886"/>
    <w:rsid w:val="00090C78"/>
    <w:rsid w:val="000A4C16"/>
    <w:rsid w:val="000E7DBC"/>
    <w:rsid w:val="002F2D36"/>
    <w:rsid w:val="00402DAD"/>
    <w:rsid w:val="00467E12"/>
    <w:rsid w:val="00501874"/>
    <w:rsid w:val="00576554"/>
    <w:rsid w:val="0058674A"/>
    <w:rsid w:val="00595A96"/>
    <w:rsid w:val="00790A62"/>
    <w:rsid w:val="007C1B1E"/>
    <w:rsid w:val="00884C7B"/>
    <w:rsid w:val="00894A79"/>
    <w:rsid w:val="008C3269"/>
    <w:rsid w:val="00913E6B"/>
    <w:rsid w:val="00923880"/>
    <w:rsid w:val="00A64BAC"/>
    <w:rsid w:val="00B8407E"/>
    <w:rsid w:val="00C277B1"/>
    <w:rsid w:val="00DA5060"/>
    <w:rsid w:val="00DD5507"/>
    <w:rsid w:val="00DE6951"/>
    <w:rsid w:val="00DF27CD"/>
    <w:rsid w:val="00E70CF9"/>
    <w:rsid w:val="00F66468"/>
    <w:rsid w:val="00F722A9"/>
    <w:rsid w:val="00FA16C8"/>
    <w:rsid w:val="00FD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BB06"/>
  <w15:chartTrackingRefBased/>
  <w15:docId w15:val="{8690E528-33A2-41E8-AB69-62F10CF9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2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64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4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4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4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4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4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BRM\LANDIS_II\GitCode\brmiranda\Extension-Root-Rot\Docs\Root%20Rot%20equation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BRM\LANDIS_II\GitCode\brmiranda\Extension-Root-Rot\Docs\Root%20Rot%20equations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BRM\LANDIS_II\GitCode\brmiranda\Extension-Root-Rot\Docs\Root%20Rot%20equations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Presence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dTemp!$A$3:$A$33</c:f>
              <c:numCache>
                <c:formatCode>General</c:formatCode>
                <c:ptCount val="31"/>
                <c:pt idx="0">
                  <c:v>5</c:v>
                </c:pt>
                <c:pt idx="1">
                  <c:v>5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  <c:pt idx="6">
                  <c:v>-1</c:v>
                </c:pt>
                <c:pt idx="7">
                  <c:v>-2</c:v>
                </c:pt>
                <c:pt idx="8">
                  <c:v>-3</c:v>
                </c:pt>
                <c:pt idx="9">
                  <c:v>-4</c:v>
                </c:pt>
                <c:pt idx="10">
                  <c:v>-5</c:v>
                </c:pt>
                <c:pt idx="11">
                  <c:v>-6</c:v>
                </c:pt>
                <c:pt idx="12">
                  <c:v>-7</c:v>
                </c:pt>
                <c:pt idx="13">
                  <c:v>-8</c:v>
                </c:pt>
                <c:pt idx="14">
                  <c:v>-9</c:v>
                </c:pt>
                <c:pt idx="15">
                  <c:v>-10</c:v>
                </c:pt>
                <c:pt idx="16">
                  <c:v>-11</c:v>
                </c:pt>
                <c:pt idx="17">
                  <c:v>-12</c:v>
                </c:pt>
                <c:pt idx="18">
                  <c:v>-13</c:v>
                </c:pt>
                <c:pt idx="19">
                  <c:v>-14</c:v>
                </c:pt>
                <c:pt idx="20">
                  <c:v>-15</c:v>
                </c:pt>
                <c:pt idx="21">
                  <c:v>-16</c:v>
                </c:pt>
                <c:pt idx="22">
                  <c:v>-17</c:v>
                </c:pt>
                <c:pt idx="23">
                  <c:v>-18</c:v>
                </c:pt>
                <c:pt idx="24">
                  <c:v>-19</c:v>
                </c:pt>
                <c:pt idx="25">
                  <c:v>-20</c:v>
                </c:pt>
                <c:pt idx="26">
                  <c:v>-21</c:v>
                </c:pt>
                <c:pt idx="27">
                  <c:v>-22</c:v>
                </c:pt>
                <c:pt idx="28">
                  <c:v>-23</c:v>
                </c:pt>
                <c:pt idx="29">
                  <c:v>-24</c:v>
                </c:pt>
                <c:pt idx="30">
                  <c:v>-25</c:v>
                </c:pt>
              </c:numCache>
            </c:numRef>
          </c:xVal>
          <c:yVal>
            <c:numRef>
              <c:f>dTemp!$B$3:$B$33</c:f>
              <c:numCache>
                <c:formatCode>General</c:formatCode>
                <c:ptCount val="3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0.95833333333333337</c:v>
                </c:pt>
                <c:pt idx="7">
                  <c:v>0.91666666666666663</c:v>
                </c:pt>
                <c:pt idx="8">
                  <c:v>0.875</c:v>
                </c:pt>
                <c:pt idx="9">
                  <c:v>0.83333333333333337</c:v>
                </c:pt>
                <c:pt idx="10">
                  <c:v>0.79166666666666663</c:v>
                </c:pt>
                <c:pt idx="11">
                  <c:v>0.75</c:v>
                </c:pt>
                <c:pt idx="12">
                  <c:v>0.70833333333333337</c:v>
                </c:pt>
                <c:pt idx="13">
                  <c:v>0.66666666666666663</c:v>
                </c:pt>
                <c:pt idx="14">
                  <c:v>0.625</c:v>
                </c:pt>
                <c:pt idx="15">
                  <c:v>0.58333333333333337</c:v>
                </c:pt>
                <c:pt idx="16">
                  <c:v>0.54166666666666663</c:v>
                </c:pt>
                <c:pt idx="17">
                  <c:v>0.5</c:v>
                </c:pt>
                <c:pt idx="18">
                  <c:v>0.45833333333333331</c:v>
                </c:pt>
                <c:pt idx="19">
                  <c:v>0.41666666666666669</c:v>
                </c:pt>
                <c:pt idx="20">
                  <c:v>0.375</c:v>
                </c:pt>
                <c:pt idx="21">
                  <c:v>0.33333333333333331</c:v>
                </c:pt>
                <c:pt idx="22">
                  <c:v>0.29166666666666669</c:v>
                </c:pt>
                <c:pt idx="23">
                  <c:v>0.25</c:v>
                </c:pt>
                <c:pt idx="24">
                  <c:v>0.20833333333333334</c:v>
                </c:pt>
                <c:pt idx="25">
                  <c:v>0.16666666666666666</c:v>
                </c:pt>
                <c:pt idx="26">
                  <c:v>0.125</c:v>
                </c:pt>
                <c:pt idx="27">
                  <c:v>8.3333333333333329E-2</c:v>
                </c:pt>
                <c:pt idx="28">
                  <c:v>4.1666666666666664E-2</c:v>
                </c:pt>
                <c:pt idx="29">
                  <c:v>0</c:v>
                </c:pt>
                <c:pt idx="3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971584"/>
        <c:axId val="531973152"/>
      </c:scatterChart>
      <c:valAx>
        <c:axId val="531971584"/>
        <c:scaling>
          <c:orientation val="minMax"/>
          <c:max val="5"/>
          <c:min val="-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AnnTmin (C)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973152"/>
        <c:crosses val="autoZero"/>
        <c:crossBetween val="midCat"/>
      </c:valAx>
      <c:valAx>
        <c:axId val="5319731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dTemp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971584"/>
        <c:crossesAt val="-25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p(S:I)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Sheet1!$A$3:$A$43</c:f>
              <c:numCache>
                <c:formatCode>General</c:formatCode>
                <c:ptCount val="4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</c:numCache>
            </c:numRef>
          </c:xVal>
          <c:yVal>
            <c:numRef>
              <c:f>Sheet1!$B$3:$B$43</c:f>
              <c:numCache>
                <c:formatCode>General</c:formatCode>
                <c:ptCount val="41"/>
                <c:pt idx="0">
                  <c:v>1</c:v>
                </c:pt>
                <c:pt idx="1">
                  <c:v>0.83333333333333337</c:v>
                </c:pt>
                <c:pt idx="2">
                  <c:v>0.66666666666666674</c:v>
                </c:pt>
                <c:pt idx="3">
                  <c:v>0.5</c:v>
                </c:pt>
                <c:pt idx="4">
                  <c:v>0.33333333333333337</c:v>
                </c:pt>
                <c:pt idx="5">
                  <c:v>0.16666666666666663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974720"/>
        <c:axId val="531972368"/>
      </c:scatterChart>
      <c:valAx>
        <c:axId val="531974720"/>
        <c:scaling>
          <c:orientation val="minMax"/>
          <c:max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pressure head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972368"/>
        <c:crosses val="autoZero"/>
        <c:crossBetween val="midCat"/>
      </c:valAx>
      <c:valAx>
        <c:axId val="53197236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dWater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974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dWater!$C$2</c:f>
              <c:strCache>
                <c:ptCount val="1"/>
                <c:pt idx="0">
                  <c:v>p(I:D)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dWater!$A$3:$A$53</c:f>
              <c:numCache>
                <c:formatCode>General</c:formatCode>
                <c:ptCount val="5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</c:numCache>
            </c:numRef>
          </c:xVal>
          <c:yVal>
            <c:numRef>
              <c:f>dWater!$C$3:$C$53</c:f>
              <c:numCache>
                <c:formatCode>General</c:formatCode>
                <c:ptCount val="51"/>
                <c:pt idx="0">
                  <c:v>1</c:v>
                </c:pt>
                <c:pt idx="1">
                  <c:v>0.85</c:v>
                </c:pt>
                <c:pt idx="2">
                  <c:v>0.7</c:v>
                </c:pt>
                <c:pt idx="3">
                  <c:v>0.55000000000000004</c:v>
                </c:pt>
                <c:pt idx="4">
                  <c:v>0.39999999999999991</c:v>
                </c:pt>
                <c:pt idx="5">
                  <c:v>0.24999999999999989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  <c:pt idx="9">
                  <c:v>0.1</c:v>
                </c:pt>
                <c:pt idx="10">
                  <c:v>0.1</c:v>
                </c:pt>
                <c:pt idx="11">
                  <c:v>0.1</c:v>
                </c:pt>
                <c:pt idx="12">
                  <c:v>0.1</c:v>
                </c:pt>
                <c:pt idx="13">
                  <c:v>0.1</c:v>
                </c:pt>
                <c:pt idx="14">
                  <c:v>0.1</c:v>
                </c:pt>
                <c:pt idx="15">
                  <c:v>0.1</c:v>
                </c:pt>
                <c:pt idx="16">
                  <c:v>0.1</c:v>
                </c:pt>
                <c:pt idx="17">
                  <c:v>0.1</c:v>
                </c:pt>
                <c:pt idx="18">
                  <c:v>0.1</c:v>
                </c:pt>
                <c:pt idx="19">
                  <c:v>0.1</c:v>
                </c:pt>
                <c:pt idx="20">
                  <c:v>0.1</c:v>
                </c:pt>
                <c:pt idx="21">
                  <c:v>0.1</c:v>
                </c:pt>
                <c:pt idx="22">
                  <c:v>0.1</c:v>
                </c:pt>
                <c:pt idx="23">
                  <c:v>0.1</c:v>
                </c:pt>
                <c:pt idx="24">
                  <c:v>0.1</c:v>
                </c:pt>
                <c:pt idx="25">
                  <c:v>0.1</c:v>
                </c:pt>
                <c:pt idx="26">
                  <c:v>0.1</c:v>
                </c:pt>
                <c:pt idx="27">
                  <c:v>0.1</c:v>
                </c:pt>
                <c:pt idx="28">
                  <c:v>0.1</c:v>
                </c:pt>
                <c:pt idx="29">
                  <c:v>0.1</c:v>
                </c:pt>
                <c:pt idx="30">
                  <c:v>0.1</c:v>
                </c:pt>
                <c:pt idx="31">
                  <c:v>0.14500000000000024</c:v>
                </c:pt>
                <c:pt idx="32">
                  <c:v>0.19000000000000017</c:v>
                </c:pt>
                <c:pt idx="33">
                  <c:v>0.2350000000000001</c:v>
                </c:pt>
                <c:pt idx="34">
                  <c:v>0.28000000000000025</c:v>
                </c:pt>
                <c:pt idx="35">
                  <c:v>0.32500000000000018</c:v>
                </c:pt>
                <c:pt idx="36">
                  <c:v>0.37000000000000011</c:v>
                </c:pt>
                <c:pt idx="37">
                  <c:v>0.41500000000000026</c:v>
                </c:pt>
                <c:pt idx="38">
                  <c:v>0.46000000000000019</c:v>
                </c:pt>
                <c:pt idx="39">
                  <c:v>0.50500000000000012</c:v>
                </c:pt>
                <c:pt idx="40">
                  <c:v>0.55000000000000027</c:v>
                </c:pt>
                <c:pt idx="41">
                  <c:v>0.5950000000000002</c:v>
                </c:pt>
                <c:pt idx="42">
                  <c:v>0.64000000000000012</c:v>
                </c:pt>
                <c:pt idx="43">
                  <c:v>0.68500000000000028</c:v>
                </c:pt>
                <c:pt idx="44">
                  <c:v>0.7300000000000002</c:v>
                </c:pt>
                <c:pt idx="45">
                  <c:v>0.77500000000000036</c:v>
                </c:pt>
                <c:pt idx="46">
                  <c:v>0.82000000000000028</c:v>
                </c:pt>
                <c:pt idx="47">
                  <c:v>0.86500000000000021</c:v>
                </c:pt>
                <c:pt idx="48">
                  <c:v>0.91000000000000014</c:v>
                </c:pt>
                <c:pt idx="49">
                  <c:v>0.95500000000000007</c:v>
                </c:pt>
                <c:pt idx="50">
                  <c:v>1.0000000000000004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974328"/>
        <c:axId val="531973544"/>
      </c:scatterChart>
      <c:valAx>
        <c:axId val="531974328"/>
        <c:scaling>
          <c:orientation val="minMax"/>
          <c:max val="2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pressure head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973544"/>
        <c:crosses val="autoZero"/>
        <c:crossBetween val="midCat"/>
      </c:valAx>
      <c:valAx>
        <c:axId val="53197354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dWater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974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dWater!$D$2</c:f>
              <c:strCache>
                <c:ptCount val="1"/>
                <c:pt idx="0">
                  <c:v>p(D:I)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dWater!$A$3:$A$43</c:f>
              <c:numCache>
                <c:formatCode>General</c:formatCode>
                <c:ptCount val="4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</c:numCache>
            </c:numRef>
          </c:xVal>
          <c:yVal>
            <c:numRef>
              <c:f>dWater!$D$3:$D$43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8.333333333333337E-2</c:v>
                </c:pt>
                <c:pt idx="8">
                  <c:v>0.16666666666666663</c:v>
                </c:pt>
                <c:pt idx="9">
                  <c:v>0.25</c:v>
                </c:pt>
                <c:pt idx="10">
                  <c:v>0.33333333333333337</c:v>
                </c:pt>
                <c:pt idx="11">
                  <c:v>0.41666666666666663</c:v>
                </c:pt>
                <c:pt idx="12">
                  <c:v>0.5</c:v>
                </c:pt>
                <c:pt idx="13">
                  <c:v>0.58333333333333326</c:v>
                </c:pt>
                <c:pt idx="14">
                  <c:v>0.66666666666666674</c:v>
                </c:pt>
                <c:pt idx="15">
                  <c:v>0.75</c:v>
                </c:pt>
                <c:pt idx="16">
                  <c:v>0.83333333333333326</c:v>
                </c:pt>
                <c:pt idx="17">
                  <c:v>0.85</c:v>
                </c:pt>
                <c:pt idx="18">
                  <c:v>0.85</c:v>
                </c:pt>
                <c:pt idx="19">
                  <c:v>0.85</c:v>
                </c:pt>
                <c:pt idx="20">
                  <c:v>0.83333333333333326</c:v>
                </c:pt>
                <c:pt idx="21">
                  <c:v>0.75</c:v>
                </c:pt>
                <c:pt idx="22">
                  <c:v>0.66666666666666674</c:v>
                </c:pt>
                <c:pt idx="23">
                  <c:v>0.58333333333333326</c:v>
                </c:pt>
                <c:pt idx="24">
                  <c:v>0.5</c:v>
                </c:pt>
                <c:pt idx="25">
                  <c:v>0.41666666666666652</c:v>
                </c:pt>
                <c:pt idx="26">
                  <c:v>0.33333333333333348</c:v>
                </c:pt>
                <c:pt idx="27">
                  <c:v>0.25</c:v>
                </c:pt>
                <c:pt idx="28">
                  <c:v>0.16666666666666652</c:v>
                </c:pt>
                <c:pt idx="29">
                  <c:v>8.3333333333333481E-2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5005144"/>
        <c:axId val="275003968"/>
      </c:scatterChart>
      <c:valAx>
        <c:axId val="275005144"/>
        <c:scaling>
          <c:orientation val="minMax"/>
          <c:max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pressure head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5003968"/>
        <c:crosses val="autoZero"/>
        <c:crossBetween val="midCat"/>
      </c:valAx>
      <c:valAx>
        <c:axId val="27500396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dWater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5005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0.06146</cdr:x>
      <cdr:y>0.87326</cdr:y>
    </cdr:from>
    <cdr:to>
      <cdr:x>0.30937</cdr:x>
      <cdr:y>0.9566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80987" y="2395537"/>
          <a:ext cx="1133475" cy="228601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accent1"/>
          </a:solidFill>
        </a:ln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LethalTemp = -24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0.14375</cdr:x>
      <cdr:y>0.85069</cdr:y>
    </cdr:from>
    <cdr:to>
      <cdr:x>0.34375</cdr:x>
      <cdr:y>0.94097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57225" y="2333625"/>
          <a:ext cx="914400" cy="247650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accent1"/>
          </a:solidFill>
        </a:ln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phWet = 30</a:t>
          </a:r>
        </a:p>
      </cdr:txBody>
    </cdr:sp>
  </cdr:relSizeAnchor>
  <cdr:relSizeAnchor xmlns:cdr="http://schemas.openxmlformats.org/drawingml/2006/chartDrawing">
    <cdr:from>
      <cdr:x>0.52986</cdr:x>
      <cdr:y>0.82639</cdr:y>
    </cdr:from>
    <cdr:to>
      <cdr:x>0.72986</cdr:x>
      <cdr:y>0.91667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2422525" y="2266950"/>
          <a:ext cx="914400" cy="247650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accent1"/>
          </a:solidFill>
        </a:ln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phDry = 150</a:t>
          </a:r>
        </a:p>
      </cdr:txBody>
    </cdr:sp>
  </cdr:relSizeAnchor>
  <cdr:relSizeAnchor xmlns:cdr="http://schemas.openxmlformats.org/drawingml/2006/chartDrawing">
    <cdr:from>
      <cdr:x>0.79653</cdr:x>
      <cdr:y>0.86574</cdr:y>
    </cdr:from>
    <cdr:to>
      <cdr:x>0.99653</cdr:x>
      <cdr:y>0.95602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3641725" y="2374900"/>
          <a:ext cx="914400" cy="247650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accent1"/>
          </a:solidFill>
        </a:ln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phMax = 250</a:t>
          </a:r>
        </a:p>
      </cdr:txBody>
    </cdr:sp>
  </cdr:relSizeAnchor>
  <cdr:relSizeAnchor xmlns:cdr="http://schemas.openxmlformats.org/drawingml/2006/chartDrawing">
    <cdr:from>
      <cdr:x>0.65278</cdr:x>
      <cdr:y>0.66435</cdr:y>
    </cdr:from>
    <cdr:to>
      <cdr:x>0.85278</cdr:x>
      <cdr:y>0.75463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2984500" y="1822450"/>
          <a:ext cx="914400" cy="247656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accent1"/>
          </a:solidFill>
        </a:ln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minProbID = 0.1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0.56111</cdr:x>
      <cdr:y>0.20602</cdr:y>
    </cdr:from>
    <cdr:to>
      <cdr:x>0.79792</cdr:x>
      <cdr:y>0.2963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565400" y="565150"/>
          <a:ext cx="1082675" cy="247656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accent1"/>
          </a:solidFill>
        </a:ln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maxProbDI = 0.85</a:t>
          </a:r>
        </a:p>
      </cdr:txBody>
    </cdr:sp>
  </cdr:relSizeAnchor>
  <cdr:relSizeAnchor xmlns:cdr="http://schemas.openxmlformats.org/drawingml/2006/chartDrawing">
    <cdr:from>
      <cdr:x>0.14653</cdr:x>
      <cdr:y>0.86227</cdr:y>
    </cdr:from>
    <cdr:to>
      <cdr:x>0.34653</cdr:x>
      <cdr:y>0.95255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669925" y="2365375"/>
          <a:ext cx="914400" cy="247656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accent1"/>
          </a:solidFill>
        </a:ln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phWet = 30</a:t>
          </a:r>
        </a:p>
      </cdr:txBody>
    </cdr:sp>
  </cdr:relSizeAnchor>
  <cdr:relSizeAnchor xmlns:cdr="http://schemas.openxmlformats.org/drawingml/2006/chartDrawing">
    <cdr:from>
      <cdr:x>0.65694</cdr:x>
      <cdr:y>0.86227</cdr:y>
    </cdr:from>
    <cdr:to>
      <cdr:x>0.85694</cdr:x>
      <cdr:y>0.95255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3003550" y="2365375"/>
          <a:ext cx="914400" cy="247656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accent1"/>
          </a:solidFill>
        </a:ln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phDry = 150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S. Forest Service</Company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Miranda, Brian R -FS</dc:creator>
  <cp:keywords/>
  <dc:description/>
  <cp:lastModifiedBy>Miranda, Brian R -FS</cp:lastModifiedBy>
  <cp:revision>6</cp:revision>
  <dcterms:created xsi:type="dcterms:W3CDTF">2019-03-20T13:20:00Z</dcterms:created>
  <dcterms:modified xsi:type="dcterms:W3CDTF">2019-04-09T21:27:00Z</dcterms:modified>
</cp:coreProperties>
</file>