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p-scnyj_fwjyzgf9p4cad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e Dependency Review barram o PR se houver segredo ou dependência vulnerável nova.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Semgrep / SCA / Trivy publicam achados; o revisor tria (corrige agora / cria issue / risco aceito).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cinco jobs verdes; print da aba Security → Code scanning; print do resumo do Dependency Review no PR; screenshot dos artifacts (gitleaks-report, semgrep-report, sca-reports, trivy-reports) e de um relatorio Trivy (*.txt).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(Dependency-Check + Trivy)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a anexar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dashboard Grafana com dados (gerar carga: rodar a app no profile obs, fazer logins válidos e uma rajada de logins inválidos para acender o painel de brute force).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Trecho do logs/riva-backend.json mostrando um evento ERROR “Possível brute force detectado” com trace_id / client_ip (e confirmando ausência de senha/token).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Prometheus → Alerts com uma regra em PENDING / FIRING durante o teste.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Print do docker compose ps do stack de observabilidade.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-scnyj_fwjyzgf9p4cad" Type="http://schemas.openxmlformats.org/officeDocument/2006/relationships/hyperlink" Target="https://github.com/FORD-FIAP/rivaIA-backen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2026-09-10T23:41:47.900Z</dcterms:created>
  <dcterms:modified xsi:type="dcterms:W3CDTF">2026-09-10T23:41:47.902Z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