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Pilar da entrega</w:t>
            </w:r>
          </w:p>
        </w:tc>
        <w:tc>
          <w:tcPr>
            <w:tcW w:type="dxa" w:w="63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Destaque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scan, SAST, SCA, IaC/Container scan e Dependency Review no CI/CD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Docker endurecida (não-root) e Actuator isolado em produção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STRIDE revisado + OWASP ASVS / API Top 10 / Mobile Top 10 + LGPD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Prometheus + Grafana + Loki, 10 alertas e runbook de resposta a incidentes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bookmarkStart w:name="bm_identificacao" w:id="10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  <w:bookmarkEnd w:id="100"/>
    </w:p>
    <w:p>
      <w:pPr>
        <w:pStyle w:val="Heading2"/>
        <w:spacing w:after="120" w:before="240"/>
      </w:pPr>
      <w:bookmarkStart w:name="bm_integrantes_do_grupo" w:id="101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Integrantes do grupo</w:t>
      </w:r>
      <w:bookmarkEnd w:id="10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tblHeader/>
        </w:trPr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bookmarkStart w:name="bm_repositorio" w:id="102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Repositório</w:t>
      </w:r>
      <w:bookmarkEnd w:id="10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z7_izkdvwogjy92ogwoj3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Pull Request desta entrega (pipeline + evidências): </w:t>
      </w:r>
      <w:hyperlink w:history="1" r:id="rIdxgu7lsqxsemwy37sindxe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github.com/FORD-FIAP/rivaIA-backend/pull/24</w:t>
        </w:r>
      </w:hyperlink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bookmarkStart w:name="bm_sumario" w:id="103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Sumário</w:t>
      </w:r>
      <w:bookmarkEnd w:id="103"/>
    </w:p>
    <w:p>
      <w:pPr>
        <w:spacing w:after="80"/>
        <w:ind w:left="0"/>
      </w:pPr>
      <w:hyperlink w:history="1" w:anchor="bm_identificacao">
        <w:r>
          <w:rPr>
            <w:rStyle w:val="Hyperlink"/>
            <w:rFonts w:ascii="Calibri" w:cs="Calibri" w:eastAsia="Calibri" w:hAnsi="Calibri"/>
            <w:b/>
            <w:bCs/>
            <w:sz w:val="22"/>
            <w:szCs w:val="22"/>
          </w:rPr>
          <w:t xml:space="preserve">Identificação</w:t>
        </w:r>
      </w:hyperlink>
    </w:p>
    <w:p>
      <w:pPr>
        <w:spacing w:after="40"/>
        <w:ind w:left="360"/>
      </w:pPr>
      <w:hyperlink w:history="1" w:anchor="bm_integrantes_do_grupo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Integrantes do grupo</w:t>
        </w:r>
      </w:hyperlink>
    </w:p>
    <w:p>
      <w:pPr>
        <w:spacing w:after="40"/>
        <w:ind w:left="360"/>
      </w:pPr>
      <w:hyperlink w:history="1" w:anchor="bm_repositorio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Repositório</w:t>
        </w:r>
      </w:hyperlink>
    </w:p>
    <w:p>
      <w:pPr>
        <w:spacing w:after="80"/>
        <w:ind w:left="0"/>
      </w:pPr>
      <w:hyperlink w:history="1" w:anchor="bm_contexto_evolucao_das_sprints_anteri">
        <w:r>
          <w:rPr>
            <w:rStyle w:val="Hyperlink"/>
            <w:rFonts w:ascii="Calibri" w:cs="Calibri" w:eastAsia="Calibri" w:hAnsi="Calibri"/>
            <w:b/>
            <w:bCs/>
            <w:sz w:val="22"/>
            <w:szCs w:val="22"/>
          </w:rPr>
          <w:t xml:space="preserve">Contexto — evolução das sprints anteriores</w:t>
        </w:r>
      </w:hyperlink>
    </w:p>
    <w:p>
      <w:pPr>
        <w:spacing w:after="80"/>
        <w:ind w:left="0"/>
      </w:pPr>
      <w:hyperlink w:history="1" w:anchor="bm_atividade_1_pipeline_devsecops_integ">
        <w:r>
          <w:rPr>
            <w:rStyle w:val="Hyperlink"/>
            <w:rFonts w:ascii="Calibri" w:cs="Calibri" w:eastAsia="Calibri" w:hAnsi="Calibri"/>
            <w:b/>
            <w:bCs/>
            <w:sz w:val="22"/>
            <w:szCs w:val="22"/>
          </w:rPr>
          <w:t xml:space="preserve">Atividade 1 — Pipeline DevSecOps Integrado (Peso 3,0)</w:t>
        </w:r>
      </w:hyperlink>
    </w:p>
    <w:p>
      <w:pPr>
        <w:spacing w:after="40"/>
        <w:ind w:left="360"/>
      </w:pPr>
      <w:hyperlink w:history="1" w:anchor="bm_1_1_desenho_do_pipeline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1.1 Desenho do pipeline</w:t>
        </w:r>
      </w:hyperlink>
    </w:p>
    <w:p>
      <w:pPr>
        <w:spacing w:after="40"/>
        <w:ind w:left="360"/>
      </w:pPr>
      <w:hyperlink w:history="1" w:anchor="bm_1_2_etapas_e_o_risco_que_cada_uma_re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1.2 Etapas e o risco que cada uma reduz</w:t>
        </w:r>
      </w:hyperlink>
    </w:p>
    <w:p>
      <w:pPr>
        <w:spacing w:after="40"/>
        <w:ind w:left="360"/>
      </w:pPr>
      <w:hyperlink w:history="1" w:anchor="bm_1_3_gatilhos_saidas_e_integracao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1.3 Gatilhos, saídas e integração</w:t>
        </w:r>
      </w:hyperlink>
    </w:p>
    <w:p>
      <w:pPr>
        <w:spacing w:after="40"/>
        <w:ind w:left="360"/>
      </w:pPr>
      <w:hyperlink w:history="1" w:anchor="bm_1_4_como_seria_executado_no_projeto_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1.4 Como seria executado no projeto Ford</w:t>
        </w:r>
      </w:hyperlink>
    </w:p>
    <w:p>
      <w:pPr>
        <w:spacing w:after="80"/>
        <w:ind w:left="0"/>
      </w:pPr>
      <w:hyperlink w:history="1" w:anchor="bm_atividade_2_seguranca_em_codigo_e_in">
        <w:r>
          <w:rPr>
            <w:rStyle w:val="Hyperlink"/>
            <w:rFonts w:ascii="Calibri" w:cs="Calibri" w:eastAsia="Calibri" w:hAnsi="Calibri"/>
            <w:b/>
            <w:bCs/>
            <w:sz w:val="22"/>
            <w:szCs w:val="22"/>
          </w:rPr>
          <w:t xml:space="preserve">Atividade 2 — Segurança em Código e Infraestrutura (Peso 2,5)</w:t>
        </w:r>
      </w:hyperlink>
    </w:p>
    <w:p>
      <w:pPr>
        <w:spacing w:after="40"/>
        <w:ind w:left="360"/>
      </w:pPr>
      <w:hyperlink w:history="1" w:anchor="bm_2_1_seguranca_no_codigo_o_que_ja_exi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2.1 Segurança no código — o que já existe e o que foi reforçado nesta sprint</w:t>
        </w:r>
      </w:hyperlink>
    </w:p>
    <w:p>
      <w:pPr>
        <w:spacing w:after="40"/>
        <w:ind w:left="360"/>
      </w:pPr>
      <w:hyperlink w:history="1" w:anchor="bm_2_2_seguranca_mqtt_tls_para_iot_desi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2.2 Segurança MQTT/TLS para IoT — design de referência</w:t>
        </w:r>
      </w:hyperlink>
    </w:p>
    <w:p>
      <w:pPr>
        <w:spacing w:after="40"/>
        <w:ind w:left="360"/>
      </w:pPr>
      <w:hyperlink w:history="1" w:anchor="bm_2_3_iac_security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2.3 IaC Security</w:t>
        </w:r>
      </w:hyperlink>
    </w:p>
    <w:p>
      <w:pPr>
        <w:spacing w:after="80"/>
        <w:ind w:left="0"/>
      </w:pPr>
      <w:hyperlink w:history="1" w:anchor="bm_atividade_3_compliance_riscos_e_segu">
        <w:r>
          <w:rPr>
            <w:rStyle w:val="Hyperlink"/>
            <w:rFonts w:ascii="Calibri" w:cs="Calibri" w:eastAsia="Calibri" w:hAnsi="Calibri"/>
            <w:b/>
            <w:bCs/>
            <w:sz w:val="22"/>
            <w:szCs w:val="22"/>
          </w:rPr>
          <w:t xml:space="preserve">Atividade 3 — Compliance, Riscos e Segurança Contínua (Peso 2,5)</w:t>
        </w:r>
      </w:hyperlink>
    </w:p>
    <w:p>
      <w:pPr>
        <w:spacing w:after="40"/>
        <w:ind w:left="360"/>
      </w:pPr>
      <w:hyperlink w:history="1" w:anchor="bm_3_1_revisao_final_de_riscos_stride_d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3.1 Revisão final de riscos — STRIDE + DevSecOps</w:t>
        </w:r>
      </w:hyperlink>
    </w:p>
    <w:p>
      <w:pPr>
        <w:spacing w:after="40"/>
        <w:ind w:left="360"/>
      </w:pPr>
      <w:hyperlink w:history="1" w:anchor="bm_3_2_mapeamento_com_normas_e_boas_pra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3.2 Mapeamento com normas e boas práticas</w:t>
        </w:r>
      </w:hyperlink>
    </w:p>
    <w:p>
      <w:pPr>
        <w:spacing w:after="40"/>
        <w:ind w:left="360"/>
      </w:pPr>
      <w:hyperlink w:history="1" w:anchor="bm_3_3_plano_de_seguranca_continua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3.3 Plano de segurança contínua</w:t>
        </w:r>
      </w:hyperlink>
    </w:p>
    <w:p>
      <w:pPr>
        <w:spacing w:after="40"/>
        <w:ind w:left="360"/>
      </w:pPr>
      <w:hyperlink w:history="1" w:anchor="bm_3_4_checklist_de_conformidade_consol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3.4 Checklist de conformidade consolidado</w:t>
        </w:r>
      </w:hyperlink>
    </w:p>
    <w:p>
      <w:pPr>
        <w:spacing w:after="80"/>
        <w:ind w:left="0"/>
      </w:pPr>
      <w:hyperlink w:history="1" w:anchor="bm_atividade_4_observabilidade_monitora">
        <w:r>
          <w:rPr>
            <w:rStyle w:val="Hyperlink"/>
            <w:rFonts w:ascii="Calibri" w:cs="Calibri" w:eastAsia="Calibri" w:hAnsi="Calibri"/>
            <w:b/>
            <w:bCs/>
            <w:sz w:val="22"/>
            <w:szCs w:val="22"/>
          </w:rPr>
          <w:t xml:space="preserve">Atividade 4 — Observabilidade, Monitoramento e Resposta (Peso 2,0)</w:t>
        </w:r>
      </w:hyperlink>
    </w:p>
    <w:p>
      <w:pPr>
        <w:spacing w:after="40"/>
        <w:ind w:left="360"/>
      </w:pPr>
      <w:hyperlink w:history="1" w:anchor="bm_4_1_plano_de_monitoramento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4.1 Plano de monitoramento</w:t>
        </w:r>
      </w:hyperlink>
    </w:p>
    <w:p>
      <w:pPr>
        <w:spacing w:after="40"/>
        <w:ind w:left="360"/>
      </w:pPr>
      <w:hyperlink w:history="1" w:anchor="bm_4_2_plano_de_resposta_a_incidentes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4.2 Plano de resposta a incidentes</w:t>
        </w:r>
      </w:hyperlink>
    </w:p>
    <w:p>
      <w:pPr>
        <w:spacing w:after="40"/>
        <w:ind w:left="360"/>
      </w:pPr>
      <w:hyperlink w:history="1" w:anchor="bm_4_3_evidencias_coletadas">
        <w:r>
          <w:rPr>
            <w:rStyle w:val="Hyperlink"/>
            <w:rFonts w:ascii="Calibri" w:cs="Calibri" w:eastAsia="Calibri" w:hAnsi="Calibri"/>
            <w:b w:val="false"/>
            <w:bCs w:val="false"/>
            <w:sz w:val="20"/>
            <w:szCs w:val="20"/>
          </w:rPr>
          <w:t xml:space="preserve">4.3 Evidências coletadas</w:t>
        </w:r>
      </w:hyperlink>
    </w:p>
    <w:p>
      <w:pPr>
        <w:spacing w:after="80"/>
        <w:ind w:left="0"/>
      </w:pPr>
      <w:hyperlink w:history="1" w:anchor="bm_apendice_a_indice_de_evidencias_por_">
        <w:r>
          <w:rPr>
            <w:rStyle w:val="Hyperlink"/>
            <w:rFonts w:ascii="Calibri" w:cs="Calibri" w:eastAsia="Calibri" w:hAnsi="Calibri"/>
            <w:b/>
            <w:bCs/>
            <w:sz w:val="22"/>
            <w:szCs w:val="22"/>
          </w:rPr>
          <w:t xml:space="preserve">Apêndice A — Índice de evidências por atividade</w:t>
        </w:r>
      </w:hyperlink>
    </w:p>
    <w:p>
      <w:pPr>
        <w:spacing w:after="80"/>
        <w:ind w:left="0"/>
      </w:pPr>
      <w:hyperlink w:history="1" w:anchor="bm_apendice_b_rodar_tudo_localmente">
        <w:r>
          <w:rPr>
            <w:rStyle w:val="Hyperlink"/>
            <w:rFonts w:ascii="Calibri" w:cs="Calibri" w:eastAsia="Calibri" w:hAnsi="Calibri"/>
            <w:b/>
            <w:bCs/>
            <w:sz w:val="22"/>
            <w:szCs w:val="22"/>
          </w:rPr>
          <w:t xml:space="preserve">Apêndice B — Rodar tudo localmente</w:t>
        </w:r>
      </w:hyperlink>
    </w:p>
    <w:p>
      <w:pPr>
        <w:spacing w:after="80"/>
        <w:ind w:left="0"/>
      </w:pPr>
      <w:hyperlink w:history="1" w:anchor="bm_apendice_c_glossario">
        <w:r>
          <w:rPr>
            <w:rStyle w:val="Hyperlink"/>
            <w:rFonts w:ascii="Calibri" w:cs="Calibri" w:eastAsia="Calibri" w:hAnsi="Calibri"/>
            <w:b/>
            <w:bCs/>
            <w:sz w:val="22"/>
            <w:szCs w:val="22"/>
          </w:rPr>
          <w:t xml:space="preserve">Apêndice C — Glossário</w:t>
        </w:r>
      </w:hyperlink>
    </w:p>
    <w:p>
      <w:r>
        <w:br w:type="page"/>
      </w:r>
    </w:p>
    <w:p>
      <w:pPr>
        <w:pStyle w:val="Heading1"/>
        <w:spacing w:after="120" w:before="360"/>
      </w:pPr>
      <w:bookmarkStart w:name="bm_contexto_evolucao_das_sprints_anteri" w:id="104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  <w:bookmarkEnd w:id="10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tblHeader/>
        </w:trPr>
        <w:tc>
          <w:tcPr>
            <w:tcW w:type="dxa" w:w="4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.github/workflows/security.yml, .github/dependabot.yml, .gitleaks.toml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.dockerignore, src/main/java/**,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Seção 3 deste documento +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pPr>
        <w:pStyle w:val="Heading1"/>
        <w:spacing w:after="120" w:before="360"/>
      </w:pPr>
      <w:bookmarkStart w:name="bm_atividade_1_pipeline_devsecops_integ" w:id="105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1 — Pipeline DevSecOps Integrado (Peso 3,0)</w:t>
      </w:r>
      <w:bookmarkEnd w:id="105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spacing w:after="120" w:before="240"/>
      </w:pPr>
      <w:bookmarkStart w:name="bm_1_1_desenho_do_pipeline" w:id="106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Desenho do pipeline</w:t>
      </w:r>
      <w:bookmarkEnd w:id="106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Desenvolvedor  ──(git push / pull request)──▶  GitHub Actions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├─ CI - Build &amp; Test (develop.yml / production.yml)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    mvnw test + package  ·  145 testes</w:t>
      </w:r>
      <w:r>
        <w:rPr>
          <w:rFonts w:ascii="Consolas" w:cs="Consolas" w:eastAsia="Consolas" w:hAnsi="Consolas"/>
          <w:sz w:val="18"/>
          <w:szCs w:val="18"/>
        </w:rPr>
        <w:br/>
        <w:t xml:space="preserve">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 DevSecOps - Security Pipeline (security.yml)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1. Secret Scanning ....... Gitleaks (histórico completo)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2. SAST ................... Semgrep (p/java, security-audit, secrets, owasp-top-ten)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3. SCA ................... OWASP Dependency-Check + Trivy fs (CVE em dependências)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4. IaC &amp; Container Scan .. Trivy config (Dockerfile/compose/CI) + Trivy image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5. Dependency Review ..... bloqueia PR com dependência vulnerável nova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Saídas: SARIF ▶ aba Security  +  relatórios (artifacts)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GitHub Actions  ──(merge aprovado)──▶  Deploy via SSH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develop     ▶ homologação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production  ▶ produção   ──▶  Runtime + Observabilidade (Atividade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Gatilhos extra: Dependabot (semanal) abre PRs · cron semanal reexecuta a varredura</w:t>
      </w:r>
    </w:p>
    <w:p>
      <w:pPr>
        <w:pStyle w:val="Heading2"/>
        <w:spacing w:after="120" w:before="240"/>
      </w:pPr>
      <w:bookmarkStart w:name="bm_1_2_etapas_e_o_risco_que_cada_uma_re" w:id="107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Etapas e o risco que cada uma reduz</w:t>
      </w:r>
      <w:bookmarkEnd w:id="10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tblHeader/>
        </w:trPr>
        <w:tc>
          <w:tcPr>
            <w:tcW w:type="dxa" w:w="111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spacing w:after="120" w:before="240"/>
      </w:pPr>
      <w:bookmarkStart w:name="bm_1_3_gatilhos_saidas_e_integracao" w:id="10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Gatilhos, saídas e integração</w:t>
      </w:r>
      <w:bookmarkEnd w:id="108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spacing w:after="120" w:before="240"/>
      </w:pPr>
      <w:bookmarkStart w:name="bm_1_4_como_seria_executado_no_projeto_" w:id="109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1.4 Como seria executado no projeto Ford</w:t>
      </w:r>
      <w:bookmarkEnd w:id="109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4572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pPr>
        <w:pStyle w:val="Heading1"/>
        <w:spacing w:after="120" w:before="360"/>
      </w:pPr>
      <w:bookmarkStart w:name="bm_atividade_2_seguranca_em_codigo_e_in" w:id="11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2 — Segurança em Código e Infraestrutura (Peso 2,5)</w:t>
      </w:r>
      <w:bookmarkEnd w:id="110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spacing w:after="120" w:before="240"/>
      </w:pPr>
      <w:bookmarkStart w:name="bm_2_1_seguranca_no_codigo_o_que_ja_exi" w:id="111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Segurança no código — o que já existe e o que foi reforçado nesta sprint</w:t>
      </w:r>
      <w:bookmarkEnd w:id="11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tblHeader/>
        </w:trPr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security/filter/RateLimitFilter.java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exception/GlobalExceptionHandler.java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pom.xml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spacing w:after="120" w:before="240"/>
      </w:pPr>
      <w:bookmarkStart w:name="bm_2_4_correcao_guiada_pelo_sca_atualiz" w:id="11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2.4 Correção guiada pelo SCA — atualização de dependências</w:t>
      </w:r>
      <w:bookmarkEnd w:id="11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tblHeader/>
        </w:trPr>
        <w:tc>
          <w:tcPr>
            <w:tcW w:type="dxa" w:w="25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spacing w:after="120" w:before="240"/>
      </w:pPr>
      <w:bookmarkStart w:name="bm_controle_de_acesso_por_perfil" w:id="113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Controle de acesso por perfil</w:t>
      </w:r>
      <w:bookmarkEnd w:id="11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spacing w:after="120" w:before="240"/>
      </w:pPr>
      <w:bookmarkStart w:name="bm_2_2_seguranca_mqtt_tls_para_iot_desi" w:id="114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Segurança MQTT/TLS para IoT — design de referência</w:t>
      </w:r>
      <w:bookmarkEnd w:id="114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tblHeader/>
        </w:trPr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spacing w:after="120" w:before="240"/>
      </w:pPr>
      <w:bookmarkStart w:name="bm_2_3_iac_security" w:id="115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IaC Security</w:t>
      </w:r>
      <w:bookmarkEnd w:id="11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.dockerignore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pPr>
        <w:pStyle w:val="Heading1"/>
        <w:spacing w:after="120" w:before="360"/>
      </w:pPr>
      <w:bookmarkStart w:name="bm_atividade_3_compliance_riscos_e_segu" w:id="11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3 — Compliance, Riscos e Segurança Contínua (Peso 2,5)</w:t>
      </w:r>
      <w:bookmarkEnd w:id="116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spacing w:after="120" w:before="240"/>
      </w:pPr>
      <w:bookmarkStart w:name="bm_3_1_revisao_final_de_riscos_stride_d" w:id="117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Revisão final de riscos — STRIDE + DevSecOps</w:t>
      </w:r>
      <w:bookmarkEnd w:id="11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tblHeader/>
        </w:trPr>
        <w:tc>
          <w:tcPr>
            <w:tcW w:type="dxa" w:w="12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1º ciclo aplicado; 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spacing w:after="120" w:before="240"/>
      </w:pPr>
      <w:bookmarkStart w:name="bm_3_2_mapeamento_com_normas_e_boas_pra" w:id="11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Mapeamento com normas e boas práticas</w:t>
      </w:r>
      <w:bookmarkEnd w:id="118"/>
    </w:p>
    <w:p>
      <w:pPr>
        <w:pStyle w:val="Heading3"/>
        <w:spacing w:after="120" w:before="240"/>
      </w:pPr>
      <w:bookmarkStart w:name="bm_owasp_asvs_4_0_nivel_2_controles_cha" w:id="119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ASVS 4.0 — nível 2 (controles-chave)</w:t>
      </w:r>
      <w:bookmarkEnd w:id="119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tblHeader/>
        </w:trPr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spacing w:after="120" w:before="240"/>
      </w:pPr>
      <w:bookmarkStart w:name="bm_owasp_api_security_top_10_2023" w:id="120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API Security Top 10 (2023)</w:t>
      </w:r>
      <w:bookmarkEnd w:id="120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tblHeader/>
        </w:trPr>
        <w:tc>
          <w:tcPr>
            <w:tcW w:type="dxa" w:w="8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spacing w:after="120" w:before="240"/>
      </w:pPr>
      <w:bookmarkStart w:name="bm_owasp_mobile_top_10_2024_app_react_n" w:id="121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Mobile Top 10 (2024) — app React Native / Expo</w:t>
      </w:r>
      <w:bookmarkEnd w:id="121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tblHeader/>
        </w:trPr>
        <w:tc>
          <w:tcPr>
            <w:tcW w:type="dxa" w:w="7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spacing w:after="120" w:before="240"/>
      </w:pPr>
      <w:bookmarkStart w:name="bm_lgpd_lei_13_709_2018" w:id="12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LGPD (Lei 13.709/2018)</w:t>
      </w:r>
      <w:bookmarkEnd w:id="12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spacing w:after="120" w:before="240"/>
      </w:pPr>
      <w:bookmarkStart w:name="bm_3_3_plano_de_seguranca_continua" w:id="123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Plano de segurança contínua</w:t>
      </w:r>
      <w:bookmarkEnd w:id="123"/>
    </w:p>
    <w:p>
      <w:pPr>
        <w:pStyle w:val="Heading3"/>
        <w:spacing w:after="120" w:before="240"/>
      </w:pPr>
      <w:bookmarkStart w:name="bm_rotina_de_revisao_de_dependencias" w:id="124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revisão de dependências</w:t>
      </w:r>
      <w:bookmarkEnd w:id="124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tblHeader/>
        </w:trPr>
        <w:tc>
          <w:tcPr>
            <w:tcW w:type="dxa" w:w="186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spacing w:after="120" w:before="240"/>
      </w:pPr>
      <w:bookmarkStart w:name="bm_rotina_de_testes_de_seguranca" w:id="125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testes de segurança</w:t>
      </w:r>
      <w:bookmarkEnd w:id="12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spacing w:after="120" w:before="240"/>
      </w:pPr>
      <w:bookmarkStart w:name="bm_rotina_de_auditoria_de_permissoes" w:id="126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auditoria de permissões</w:t>
      </w:r>
      <w:bookmarkEnd w:id="12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spacing w:after="120" w:before="240"/>
      </w:pPr>
      <w:bookmarkStart w:name="bm_rotina_de_backup_e_recuperacao_inici" w:id="127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backup e recuperação (iniciada na Fase 3)</w:t>
      </w:r>
      <w:bookmarkEnd w:id="12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spacing w:after="120" w:before="240"/>
      </w:pPr>
      <w:bookmarkStart w:name="bm_3_4_checklist_de_conformidade_consol" w:id="12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Checklist de conformidade consolidado</w:t>
      </w:r>
      <w:bookmarkEnd w:id="128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tblHeader/>
        </w:trPr>
        <w:tc>
          <w:tcPr>
            <w:tcW w:type="dxa" w:w="125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pPr>
        <w:pStyle w:val="Heading1"/>
        <w:spacing w:after="120" w:before="360"/>
      </w:pPr>
      <w:bookmarkStart w:name="bm_atividade_4_observabilidade_monitora" w:id="129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4 — Observabilidade, Monitoramento e Resposta (Peso 2,0)</w:t>
      </w:r>
      <w:bookmarkEnd w:id="129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spacing w:after="120" w:before="240"/>
      </w:pPr>
      <w:bookmarkStart w:name="bm_4_1_plano_de_monitoramento" w:id="130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Plano de monitoramento</w:t>
      </w:r>
      <w:bookmarkEnd w:id="130"/>
    </w:p>
    <w:p>
      <w:pPr>
        <w:pStyle w:val="Heading3"/>
        <w:spacing w:after="120" w:before="240"/>
      </w:pPr>
      <w:bookmarkStart w:name="bm_logs_estruturados" w:id="131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Logs estruturados</w:t>
      </w:r>
      <w:bookmarkEnd w:id="13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tblHeader/>
        </w:trPr>
        <w:tc>
          <w:tcPr>
            <w:tcW w:type="dxa" w:w="433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spacing w:after="120" w:before="240"/>
      </w:pPr>
      <w:bookmarkStart w:name="bm_metricas_e_alertas" w:id="13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Métricas e alertas</w:t>
      </w:r>
      <w:bookmarkEnd w:id="132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tblHeader/>
        </w:trPr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spacing w:after="120" w:before="240"/>
      </w:pPr>
      <w:bookmarkStart w:name="bm_dashboards" w:id="133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Dashboards</w:t>
      </w:r>
      <w:bookmarkEnd w:id="13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spacing w:after="120" w:before="240"/>
      </w:pPr>
      <w:bookmarkStart w:name="bm_4_2_plano_de_resposta_a_incidentes" w:id="134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Plano de resposta a incidentes</w:t>
      </w:r>
      <w:bookmarkEnd w:id="13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spacing w:after="120" w:before="240"/>
      </w:pPr>
      <w:bookmarkStart w:name="bm_4_3_evidencias_coletadas" w:id="135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Evidências coletadas</w:t>
      </w:r>
      <w:bookmarkEnd w:id="135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de observabilidade executado localmente (Postgres + Prometheus + Alertmanager + Loki + Promtail + Grafana), com carga de teste gerada manualmente (logins inválidos e rajada de requisições) para validar a coleta de métricas e as regras de alerta ponta a ponta.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Infraestrutura no ar: </w:t>
      </w:r>
      <w:r>
        <w:rPr>
          <w:rFonts w:ascii="Calibri" w:cs="Calibri" w:eastAsia="Calibri" w:hAnsi="Calibri"/>
          <w:sz w:val="22"/>
          <w:szCs w:val="22"/>
        </w:rPr>
        <w:t xml:space="preserve">docker compose up — todos os containers do stack (Prometheus, Grafana, Loki, Promtail, Alertmanager) e o Postgres de desenvolvimento saudáveis.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containers do stack de observabilidade no ar (docker compose ps).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Scrape do Actuator funcionando: </w:t>
      </w:r>
      <w:r>
        <w:rPr>
          <w:rFonts w:ascii="Calibri" w:cs="Calibri" w:eastAsia="Calibri" w:hAnsi="Calibri"/>
          <w:sz w:val="22"/>
          <w:szCs w:val="22"/>
        </w:rPr>
        <w:t xml:space="preserve">o alvo riva-backend passou de DOWN (porta 9090, incorreta em ambiente local) para UP na porta 8080, correção aplicada durante a validação.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Prometheus coletando métricas reais do riva-backend (/actuator/prometheus).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Grafana com dados reais: </w:t>
      </w:r>
      <w:r>
        <w:rPr>
          <w:rFonts w:ascii="Calibri" w:cs="Calibri" w:eastAsia="Calibri" w:hAnsi="Calibri"/>
          <w:sz w:val="22"/>
          <w:szCs w:val="22"/>
        </w:rPr>
        <w:t xml:space="preserve">requisições/s, latência p99, uso de recursos (heap, CPU, threads) refletindo o tráfego gerado nos testes.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“Visão geral” do dashboard RIVA - Segurança &amp; Observabilidade, com métricas reais coletadas.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Painel de segurança: </w:t>
      </w:r>
      <w:r>
        <w:rPr>
          <w:rFonts w:ascii="Calibri" w:cs="Calibri" w:eastAsia="Calibri" w:hAnsi="Calibri"/>
          <w:sz w:val="22"/>
          <w:szCs w:val="22"/>
        </w:rPr>
        <w:t xml:space="preserve">pico real registrado no gráfico “Rate limit 429/min” após a rajada de requisições de teste, confirmando que o RateLimitFilter e a métrica correspondente estão instrumentados corretamente.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“Segurança”: pico de respostas 429 (rate limit) capturado durante o teste de carga.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Regras de alerta carregadas: </w:t>
      </w:r>
      <w:r>
        <w:rPr>
          <w:rFonts w:ascii="Calibri" w:cs="Calibri" w:eastAsia="Calibri" w:hAnsi="Calibri"/>
          <w:sz w:val="22"/>
          <w:szCs w:val="22"/>
        </w:rPr>
        <w:t xml:space="preserve">as 11 regras definidas em alert.rules.yml (disponibilidade, erros, performance e segurança) ativas e sendo avaliadas continuamente pelo Prometheus. Nenhuma em Firing no momento do print — a carga de teste (rajada de segundos) não sustentou a janela mínima ("for") exigida por essas regras, o que é o comportamento esperado e correto de um alerta bem calibrado contra ruído.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as 11 regras de alerta carregadas no Prometheus (Alerts), todas avaliadas e Inactive no momento do teste.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de log estruturado (JSON): </w:t>
      </w:r>
      <w:r>
        <w:rPr>
          <w:rFonts w:ascii="Calibri" w:cs="Calibri" w:eastAsia="Calibri" w:hAnsi="Calibri"/>
          <w:sz w:val="22"/>
          <w:szCs w:val="22"/>
        </w:rPr>
        <w:t xml:space="preserve">saída real da aplicação durante o teste de rate limit, evidenciando o formato JSON, o trace_id de correlação e a ausência de dados sensíveis (senha/token) no log.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log JSON estruturado do RateLimitFilter (nível WARN) durante a rajada de teste.</w:t>
      </w:r>
    </w:p>
    <w:p>
      <w:pPr>
        <w:pStyle w:val="Heading1"/>
        <w:spacing w:after="120" w:before="360"/>
      </w:pPr>
      <w:bookmarkStart w:name="bm_apendice_a_indice_de_evidencias_por_" w:id="13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  <w:bookmarkEnd w:id="13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20" w:before="360"/>
      </w:pPr>
      <w:bookmarkStart w:name="bm_apendice_b_rodar_tudo_localmente" w:id="137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  <w:bookmarkEnd w:id="137"/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spacing w:after="120" w:before="360"/>
      </w:pPr>
      <w:bookmarkStart w:name="bm_apendice_c_glossario" w:id="138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  <w:bookmarkEnd w:id="138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RIVA · Sprint 3 — DevSecOps ·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7_izkdvwogjy92ogwoj3" Type="http://schemas.openxmlformats.org/officeDocument/2006/relationships/hyperlink" Target="https://github.com/FORD-FIAP/rivaIA-backend" TargetMode="External"/><Relationship Id="rIdxgu7lsqxsemwy37sindxe" Type="http://schemas.openxmlformats.org/officeDocument/2006/relationships/hyperlink" Target="https://github.com/FORD-FIAP/rivaIA-backend/pull/24" TargetMode="External"/><Relationship Id="rId8" Type="http://schemas.openxmlformats.org/officeDocument/2006/relationships/image" Target="media/83f43129a4b82530e832550b4e3bc9183ab0ece9.png"/><Relationship Id="rId9" Type="http://schemas.openxmlformats.org/officeDocument/2006/relationships/image" Target="media/b7d606a0d72779cdcc56b754695fd75e5f94a036.png"/><Relationship Id="rId10" Type="http://schemas.openxmlformats.org/officeDocument/2006/relationships/image" Target="media/36894acde60f476a9560e862dab4b6ed2a878455.png"/><Relationship Id="rId11" Type="http://schemas.openxmlformats.org/officeDocument/2006/relationships/image" Target="media/1ec0b27b9102d3dd839de1078e20be8421fa5195.jpg"/><Relationship Id="rId12" Type="http://schemas.openxmlformats.org/officeDocument/2006/relationships/image" Target="media/72267eed79dc0dd395652048e082ee21d2d5913d.jpg"/><Relationship Id="rId13" Type="http://schemas.openxmlformats.org/officeDocument/2006/relationships/image" Target="media/9ade0c9559b07791f4c8818ce7f270e100719a33.jpg"/><Relationship Id="rId14" Type="http://schemas.openxmlformats.org/officeDocument/2006/relationships/image" Target="media/8ba223beac55c4167ee0de278615a1bb31b1d99f.jpg"/><Relationship Id="rId15" Type="http://schemas.openxmlformats.org/officeDocument/2006/relationships/image" Target="media/cb2442659c52a3184eedd7042b681147041b1bd3.jpg"/><Relationship Id="rId16" Type="http://schemas.openxmlformats.org/officeDocument/2006/relationships/image" Target="media/c7c35e64197de546a57c56c08d0dd51b67df439a.jp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2026-09-13T05:49:57.757Z</dcterms:created>
  <dcterms:modified xsi:type="dcterms:W3CDTF">2026-09-13T05:49:57.759Z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