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20" w:hRule="exact"/>
        </w:trPr>
        <w:tc>
          <w:tcPr>
            <w:tcW w:type="dxa" w:w="9026"/>
            <w:shd w:fill="1F3864" w:val="clear"/>
          </w:tcPr>
          <w:p>
            <w:pPr>
              <w:spacing w:after="0"/>
            </w:pPr>
          </w:p>
        </w:tc>
      </w:tr>
    </w:tbl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shd w:fill="D9E2F3" w:val="clear"/>
          </w:tcPr>
          <w:p>
            <w:pPr>
              <w:spacing w:after="0"/>
            </w:pP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7"/>
        <w:gridCol w:w="6679"/>
      </w:tblGrid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Pipeline DevSecOps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Secret scan, SAST, SCA, IaC/Container scan e Dependency Review no CI/CD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Infraestrutura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Imagem Docker endurecida (não-root) e Actuator isolado em produção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Compliance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STRIDE revisado + OWASP ASVS / API Top 10 / Mobile Top 10 + LGPD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Observabilidade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Prometheus + Grafana + Loki, 11 alertas e runbook de resposta a incidentes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none" w:color="FFFFFF" w:sz="0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Qualidade</w:t>
            </w:r>
          </w:p>
        </w:tc>
        <w:tc>
          <w:tcPr>
            <w:tcW w:type="dxa" w:w="6679"/>
            <w:tcBorders>
              <w:left w:val="single" w:color="D9E2F3" w:sz="8"/>
              <w:bottom w:val="none" w:color="FFFFFF" w:sz="0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156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identificacao" w:id="10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  <w:bookmarkEnd w:id="100"/>
    </w:p>
    <w:p>
      <w:pPr>
        <w:pStyle w:val="Heading2"/>
        <w:keepNext/>
        <w:spacing w:after="120" w:before="280"/>
      </w:pPr>
      <w:bookmarkStart w:name="bm_integrantes_do_grupo" w:id="10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Integrantes do grupo</w:t>
      </w:r>
      <w:bookmarkEnd w:id="10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cantSplit/>
          <w:tblHeader/>
        </w:trPr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80"/>
      </w:pPr>
      <w:bookmarkStart w:name="bm_repositorio" w:id="102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Repositório</w:t>
      </w:r>
      <w:bookmarkEnd w:id="10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pc_qbubloqn7zuw1y_rj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xxpkulhjizrelahldv9p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sumario" w:id="103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Sumário</w:t>
      </w:r>
      <w:bookmarkEnd w:id="103"/>
    </w:p>
    <w:p>
      <w:pPr>
        <w:spacing w:after="120"/>
        <w:ind w:left="0"/>
      </w:pPr>
      <w:hyperlink w:history="1" w:anchor="bm_identificaca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Identificação</w:t>
        </w:r>
      </w:hyperlink>
    </w:p>
    <w:p>
      <w:pPr>
        <w:spacing w:after="60"/>
        <w:ind w:left="320"/>
      </w:pPr>
      <w:hyperlink w:history="1" w:anchor="bm_integrantes_do_grup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Integrantes do grupo</w:t>
        </w:r>
      </w:hyperlink>
    </w:p>
    <w:p>
      <w:pPr>
        <w:spacing w:after="60"/>
        <w:ind w:left="320"/>
      </w:pPr>
      <w:hyperlink w:history="1" w:anchor="bm_repositori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Repositório</w:t>
        </w:r>
      </w:hyperlink>
    </w:p>
    <w:p>
      <w:pPr>
        <w:spacing w:after="120"/>
        <w:ind w:left="0"/>
      </w:pPr>
      <w:hyperlink w:history="1" w:anchor="bm_contexto_evolucao_das_sprints_anteri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Contexto — evolução das sprints anteriores</w:t>
        </w:r>
      </w:hyperlink>
    </w:p>
    <w:p>
      <w:pPr>
        <w:spacing w:after="120"/>
        <w:ind w:left="0"/>
      </w:pPr>
      <w:hyperlink w:history="1" w:anchor="bm_atividade_1_pipeline_devsecops_integ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1 — Pipeline DevSecOps Integrado</w:t>
        </w:r>
      </w:hyperlink>
    </w:p>
    <w:p>
      <w:pPr>
        <w:spacing w:after="60"/>
        <w:ind w:left="320"/>
      </w:pPr>
      <w:hyperlink w:history="1" w:anchor="bm_1_1_desenho_do_pipelin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1.1 Desenho do pipeline</w:t>
        </w:r>
      </w:hyperlink>
    </w:p>
    <w:p>
      <w:pPr>
        <w:spacing w:after="60"/>
        <w:ind w:left="320"/>
      </w:pPr>
      <w:hyperlink w:history="1" w:anchor="bm_1_2_etapas_e_o_risco_que_cada_uma_r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1.2 Etapas e o risco de cada uma</w:t>
        </w:r>
      </w:hyperlink>
    </w:p>
    <w:p>
      <w:pPr>
        <w:spacing w:after="60"/>
        <w:ind w:left="320"/>
      </w:pPr>
      <w:hyperlink w:history="1" w:anchor="bm_1_3_gatilhos_saidas_e_integraca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1.3 Gatilhos, saídas e integração</w:t>
        </w:r>
      </w:hyperlink>
    </w:p>
    <w:p>
      <w:pPr>
        <w:spacing w:after="60"/>
        <w:ind w:left="320"/>
      </w:pPr>
      <w:hyperlink w:history="1" w:anchor="bm_1_4_como_seria_executado_no_projeto_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1.4 Execução no projeto Ford</w:t>
        </w:r>
      </w:hyperlink>
    </w:p>
    <w:p>
      <w:pPr>
        <w:spacing w:after="120"/>
        <w:ind w:left="0"/>
      </w:pPr>
      <w:hyperlink w:history="1" w:anchor="bm_atividade_2_seguranca_em_codigo_e_in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2 — Segurança em Código e Infraestrutura</w:t>
        </w:r>
      </w:hyperlink>
    </w:p>
    <w:p>
      <w:pPr>
        <w:spacing w:after="60"/>
        <w:ind w:left="320"/>
      </w:pPr>
      <w:hyperlink w:history="1" w:anchor="bm_2_1_seguranca_no_codigo_o_que_ja_ex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2.1 Segurança no código</w:t>
        </w:r>
      </w:hyperlink>
    </w:p>
    <w:p>
      <w:pPr>
        <w:spacing w:after="60"/>
        <w:ind w:left="320"/>
      </w:pPr>
      <w:hyperlink w:history="1" w:anchor="bm_2_2_seguranca_mqtt_tls_para_iot_des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2.2 MQTT/TLS para IoT</w:t>
        </w:r>
      </w:hyperlink>
    </w:p>
    <w:p>
      <w:pPr>
        <w:spacing w:after="60"/>
        <w:ind w:left="320"/>
      </w:pPr>
      <w:hyperlink w:history="1" w:anchor="bm_2_3_iac_security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2.3 IaC Security</w:t>
        </w:r>
      </w:hyperlink>
    </w:p>
    <w:p>
      <w:pPr>
        <w:spacing w:after="60"/>
        <w:ind w:left="320"/>
      </w:pPr>
      <w:hyperlink w:history="1" w:anchor="bm_2_5_auditoria_interna_do_codig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2.5 Auditoria interna e correções</w:t>
        </w:r>
      </w:hyperlink>
    </w:p>
    <w:p>
      <w:pPr>
        <w:spacing w:after="120"/>
        <w:ind w:left="0"/>
      </w:pPr>
      <w:hyperlink w:history="1" w:anchor="bm_atividade_3_compliance_riscos_e_segu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3 — Compliance, Riscos e Segurança Contínua</w:t>
        </w:r>
      </w:hyperlink>
    </w:p>
    <w:p>
      <w:pPr>
        <w:spacing w:after="60"/>
        <w:ind w:left="320"/>
      </w:pPr>
      <w:hyperlink w:history="1" w:anchor="bm_3_1_revisao_final_de_riscos_stride_d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3.1 Riscos — STRIDE + DevSecOps</w:t>
        </w:r>
      </w:hyperlink>
    </w:p>
    <w:p>
      <w:pPr>
        <w:spacing w:after="60"/>
        <w:ind w:left="320"/>
      </w:pPr>
      <w:hyperlink w:history="1" w:anchor="bm_3_2_mapeamento_com_normas_e_boas_pr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3.2 Mapeamento com normas e boas práticas</w:t>
        </w:r>
      </w:hyperlink>
    </w:p>
    <w:p>
      <w:pPr>
        <w:spacing w:after="60"/>
        <w:ind w:left="320"/>
      </w:pPr>
      <w:hyperlink w:history="1" w:anchor="bm_3_3_plano_de_seguranca_continu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3.3 Plano de segurança contínua</w:t>
        </w:r>
      </w:hyperlink>
    </w:p>
    <w:p>
      <w:pPr>
        <w:spacing w:after="60"/>
        <w:ind w:left="320"/>
      </w:pPr>
      <w:hyperlink w:history="1" w:anchor="bm_3_4_checklist_de_conformidade_consol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3.4 Checklist de conformidade consolidado</w:t>
        </w:r>
      </w:hyperlink>
    </w:p>
    <w:p>
      <w:pPr>
        <w:spacing w:after="120"/>
        <w:ind w:left="0"/>
      </w:pPr>
      <w:hyperlink w:history="1" w:anchor="bm_atividade_4_observabilidade_monitora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4 — Observabilidade, Monitoramento e Resposta</w:t>
        </w:r>
      </w:hyperlink>
    </w:p>
    <w:p>
      <w:pPr>
        <w:spacing w:after="60"/>
        <w:ind w:left="320"/>
      </w:pPr>
      <w:hyperlink w:history="1" w:anchor="bm_4_1_plano_de_monitorament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4.1 Plano de monitoramento</w:t>
        </w:r>
      </w:hyperlink>
    </w:p>
    <w:p>
      <w:pPr>
        <w:spacing w:after="60"/>
        <w:ind w:left="320"/>
      </w:pPr>
      <w:hyperlink w:history="1" w:anchor="bm_4_2_plano_de_resposta_a_incidente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4.2 Plano de resposta a incidentes</w:t>
        </w:r>
      </w:hyperlink>
    </w:p>
    <w:p>
      <w:pPr>
        <w:spacing w:after="60"/>
        <w:ind w:left="320"/>
      </w:pPr>
      <w:hyperlink w:history="1" w:anchor="bm_4_3_evidencias_coletada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4.3 Evidências coletadas</w:t>
        </w:r>
      </w:hyperlink>
    </w:p>
    <w:p>
      <w:pPr>
        <w:spacing w:after="120"/>
        <w:ind w:left="0"/>
      </w:pPr>
      <w:hyperlink w:history="1" w:anchor="bm_apendice_a_indice_de_evidencias_por_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A — Evidências por atividade</w:t>
        </w:r>
      </w:hyperlink>
    </w:p>
    <w:p>
      <w:pPr>
        <w:spacing w:after="120"/>
        <w:ind w:left="0"/>
      </w:pPr>
      <w:hyperlink w:history="1" w:anchor="bm_apendice_b_rodar_tudo_localmente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B — Rodar tudo localmente</w:t>
        </w:r>
      </w:hyperlink>
    </w:p>
    <w:p>
      <w:pPr>
        <w:spacing w:after="120"/>
        <w:ind w:left="0"/>
      </w:pPr>
      <w:hyperlink w:history="1" w:anchor="bm_apendice_c_glossari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C — Glossário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contexto_evolucao_das_sprints_anteri" w:id="104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  <w:bookmarkEnd w:id="10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156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cantSplit/>
          <w:tblHeader/>
        </w:trPr>
        <w:tc>
          <w:tcPr>
            <w:tcW w:type="dxa" w:w="4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.github/workflows/security.yml, .github/dependabot.yml, .gitleaks.toml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.dockerignore, src/main/java/**, SECURITY.md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Seção 3 deste documento + SECURITY.md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1_pipeline_devsecops_integ" w:id="105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1</w:t>
            </w:r>
            <w:bookmarkEnd w:id="105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Pipeline DevSecOps Integrado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3,0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keepNext/>
        <w:spacing w:after="120" w:before="280"/>
      </w:pPr>
      <w:bookmarkStart w:name="bm_1_1_desenho_do_pipeline" w:id="106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1.1 Desenho do pipeline</w:t>
      </w:r>
      <w:bookmarkEnd w:id="106"/>
    </w:p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Desenvolvedor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git push / pull request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CI - Build &amp; Test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develop.yml / production.yml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mvnw test + package · 156 testes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2E4E6E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E4E6E"/>
                <w:sz w:val="20"/>
                <w:szCs w:val="20"/>
              </w:rPr>
              <w:t xml:space="preserve">DevSecOps - Security Pipeline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 Secret Scanning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Gitleaks (histórico completo)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 SAST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Semgrep (p/java, security-audit, secrets, owasp-top-ten)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 SCA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OWASP Dependency-Check + Trivy fs (CVE em dependências)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 IaC &amp; Container Scan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Trivy config (Dockerfile/compose/CI) + Trivy image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 Dependency Review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alerta (warn-only) sobre dependência vulnerável nova no PR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Saídas: SARIF → aba Security + relatórios (artifacts)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merge aprovado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Deploy via SSH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develop → homologação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production → produção → Runtime + Observabilidade (Atividade 4)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Gatilhos extra: Dependabot (semanal) abre PRs · cron semanal reexecuta a varredura</w:t>
      </w:r>
    </w:p>
    <w:p>
      <w:pPr>
        <w:pStyle w:val="Heading2"/>
        <w:keepNext/>
        <w:spacing w:after="120" w:before="280"/>
      </w:pPr>
      <w:bookmarkStart w:name="bm_1_2_etapas_e_o_risco_que_cada_uma_re" w:id="10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1.2 Etapas e o risco que cada uma reduz</w:t>
      </w:r>
      <w:bookmarkEnd w:id="10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cantSplit/>
          <w:tblHeader/>
        </w:trPr>
        <w:tc>
          <w:tcPr>
            <w:tcW w:type="dxa" w:w="111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keepNext/>
        <w:spacing w:after="120" w:before="280"/>
      </w:pPr>
      <w:bookmarkStart w:name="bm_1_3_gatilhos_saidas_e_integracao" w:id="10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1.3 Gatilhos, saídas e integração</w:t>
      </w:r>
      <w:bookmarkEnd w:id="108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keepNext/>
        <w:spacing w:after="120" w:before="280"/>
      </w:pPr>
      <w:bookmarkStart w:name="bm_1_4_como_seria_executado_no_projeto_" w:id="109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1.4 Como seria executado no projeto Ford</w:t>
      </w:r>
      <w:bookmarkEnd w:id="109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e print do Code scanning (abaixo); os relatórios de cada job (gitleaks-report, semgrep-report, sca-reports, trivy-reports) ficam como artifacts da execução do workflow.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4572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2_seguranca_em_codigo_e_in" w:id="110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2</w:t>
            </w:r>
            <w:bookmarkEnd w:id="110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Segurança em Código e Infraestrutura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keepNext/>
        <w:spacing w:after="120" w:before="280"/>
      </w:pPr>
      <w:bookmarkStart w:name="bm_2_1_seguranca_no_codigo_o_que_ja_exi" w:id="11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2.1 Segurança no código — o que já existe e o que foi reforçado nesta sprint</w:t>
      </w:r>
      <w:bookmarkEnd w:id="11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cantSplit/>
          <w:tblHeader/>
        </w:trPr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security/filter/RateLimitFilter.java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exception/GlobalExceptionHandler.java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pom.xml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real do cliente (anti-spoofing)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X-Forwarded-For só é confiado quando a conexão direta vem de rede interna/confiável (loopback, RFC1918); um cliente externo não consegue burlar o rate limit nem forjar o IP na trilha de auditoria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security/ClientIpResolver.java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 (auditoria)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Fail-fast de segredos em produção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aplicação não sobe com profile prod se JWT_SECRET, AES_ENCRYPTION_KEY, EMAIL_HASH_SECRET, ADMIN_DEFAULT_PASSWORD (ou HMAC_SECRET, se habilitado) estiverem no valor de fallback de desenvolvimento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config/SecurityStartupValidator.java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 (auditoria)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(LGPD) acessível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DELETE /api/v1/users/{id} (somente ADMIN) aciona a anonimização irreversível do usuário; antes o serviço existia sem nenhum endpoint que o chamasse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controller/UserController.java, service/AnonymizationService.java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 (auditoria)</w:t>
            </w:r>
          </w:p>
        </w:tc>
      </w:tr>
    </w:tbl>
    <w:p>
      <w:pPr>
        <w:pStyle w:val="Heading3"/>
        <w:keepNext/>
        <w:spacing w:after="120" w:before="200"/>
      </w:pPr>
      <w:bookmarkStart w:name="bm_2_4_correcao_guiada_pelo_sca_atualiz" w:id="11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2.4 Correção guiada pelo SCA — atualização de dependências</w:t>
      </w:r>
      <w:bookmarkEnd w:id="11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cantSplit/>
          <w:tblHeader/>
        </w:trPr>
        <w:tc>
          <w:tcPr>
            <w:tcW w:type="dxa" w:w="25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keepNext/>
        <w:spacing w:after="120" w:before="200"/>
      </w:pPr>
      <w:bookmarkStart w:name="bm_controle_de_acesso_por_perfil" w:id="11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Controle de acesso por perfil</w:t>
      </w:r>
      <w:bookmarkEnd w:id="11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keepNext/>
        <w:spacing w:after="120" w:before="280"/>
      </w:pPr>
      <w:bookmarkStart w:name="bm_2_2_seguranca_mqtt_tls_para_iot_desi" w:id="11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2.2 Segurança MQTT/TLS para IoT — design de referência</w:t>
      </w:r>
      <w:bookmarkEnd w:id="114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cantSplit/>
          <w:tblHeader/>
        </w:trPr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keepNext/>
        <w:spacing w:after="120" w:before="280"/>
      </w:pPr>
      <w:bookmarkStart w:name="bm_2_3_iac_security" w:id="11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2.3 IaC Security</w:t>
      </w:r>
      <w:bookmarkEnd w:id="11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.dockerignore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Verificação: </w:t>
      </w:r>
      <w:r>
        <w:rPr>
          <w:rFonts w:ascii="Calibri" w:cs="Calibri" w:eastAsia="Calibri" w:hAnsi="Calibri"/>
          <w:sz w:val="22"/>
          <w:szCs w:val="22"/>
        </w:rPr>
        <w:t xml:space="preserve">o Dockerfile é analisado pelo Trivy config e a imagem pelo Trivy image no job iac-container-scan (relatórios no artifact trivy-reports); o comando docker run --rm riva-backend:local id confirma o processo como usuário riva (Apêndice B).</w:t>
      </w:r>
    </w:p>
    <w:p>
      <w:pPr>
        <w:pStyle w:val="Heading2"/>
        <w:keepNext/>
        <w:spacing w:after="120" w:before="280"/>
      </w:pPr>
      <w:bookmarkStart w:name="bm_2_5_auditoria_interna_do_codigo" w:id="139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2.5 Auditoria interna do código e correções adicionais</w:t>
      </w:r>
      <w:bookmarkEnd w:id="139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Antes da entrega, todo o código de segurança passou por uma auditoria interna completa (autenticação, RBAC e filtros; proteção de dados e LGPD; logging, CI e observabilidade). Os achados acionáveis foram corrigidos no commit f9d6d7d (PR #42, já incorporado à branch main); o que não foi corrigido está registrado como limitação conhecida no SECURITY.md §14.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cantSplit/>
          <w:tblHeader/>
        </w:trPr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Achado (severidade)</w:t>
            </w:r>
          </w:p>
        </w:tc>
        <w:tc>
          <w:tcPr>
            <w:tcW w:type="dxa" w:w="401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Correção aplicada</w:t>
            </w:r>
          </w:p>
        </w:tc>
        <w:tc>
          <w:tcPr>
            <w:tcW w:type="dxa" w:w="25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X-Forwarded-For confiado sem validação (crítico): permitia burlar o rate limit do login e forjar o IP na auditoria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 header só é honrado quando a conexão direta vem de rede interna/confiável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security/ClientIpResolver.java, MdcFilter, RateLimitFilter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RateLimitIntegrationTest, MdcFilterTest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 de desenvolvimento aceitos em produção (crítico)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Startup falha em profile prod se algum segredo estiver no valor de fallback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config/SecurityStartupValidator.java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SecurityStartupValidatorTest (8 testes)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Exclusão LGPD inalcançável, sem endpoint (crítico / compliance)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DELETE /api/v1/users/{id} (ADMIN); usuário inexistente devolve 404 padronizado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controller/UserController.java, service/AnonymizationService.java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UserControllerIntegrationTest (3 testes)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Logs duplicados quando os profiles dev e obs estavam ativos juntos (médio)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Condições de springProfile mutuamente exclusivas: dev/test, dev/test + obs e prod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logback-spring.xml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da suíte: uma linha por evento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 válido de usuário removido resultava em 500 não tratado (médio)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UsernameNotFoundException tratada: segue sem autenticar e a cadeia responde 401 padronizado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security/jwt/JwtAuthenticationFilter.java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SecurityFilterChainIntegrationTest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Mapas por IP sem limpeza: crescimento indefinido de memória (médio)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Limpeza agendada dos buckets e do histórico de falhas de login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RateLimitFilter, LoginAttemptService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LoginAttemptServiceTest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Workflows de CI sem permissions explícitas (baixo)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permissions: contents: read (privilégio mínimo)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.github/workflows/develop.yml, production.yml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verde na PR #42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156/156 testes passando (145 anteriores + 8 de SecurityStartupValidatorTest + 3 de UserControllerIntegrationTest); pipeline de segurança (Gitleaks, Semgrep, Trivy, Dependency-Check) verde no commit da main.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Limitações conhecidas (documentadas, não corrigidas): </w:t>
      </w:r>
      <w:r>
        <w:rPr>
          <w:rFonts w:ascii="Calibri" w:cs="Calibri" w:eastAsia="Calibri" w:hAnsi="Calibri"/>
          <w:sz w:val="22"/>
          <w:szCs w:val="22"/>
        </w:rPr>
        <w:t xml:space="preserve">HMAC de payload sem proteção a replay; InputSanitizer.sanitize() não plugado globalmente (a rejeição via @SafeText + @Pattern está ativa); gate de CI parcial (apenas o Secret Scanning bloqueia o merge); revogação de access token não é imediata (máx. 30 min).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3_compliance_riscos_e_segu" w:id="116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3</w:t>
            </w:r>
            <w:bookmarkEnd w:id="116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Compliance, Riscos e Segurança Contínua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keepNext/>
        <w:spacing w:after="120" w:before="280"/>
      </w:pPr>
      <w:bookmarkStart w:name="bm_3_1_revisao_final_de_riscos_stride_d" w:id="11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3.1 Revisão final de riscos — STRIDE + DevSecOps</w:t>
      </w:r>
      <w:bookmarkEnd w:id="11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cantSplit/>
          <w:tblHeader/>
        </w:trPr>
        <w:tc>
          <w:tcPr>
            <w:tcW w:type="dxa" w:w="12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1º ciclo aplicado; contínuo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keepNext/>
        <w:spacing w:after="120" w:before="280"/>
      </w:pPr>
      <w:bookmarkStart w:name="bm_3_2_mapeamento_com_normas_e_boas_pra" w:id="11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3.2 Mapeamento com normas e boas práticas</w:t>
      </w:r>
      <w:bookmarkEnd w:id="118"/>
    </w:p>
    <w:p>
      <w:pPr>
        <w:pStyle w:val="Heading3"/>
        <w:keepNext/>
        <w:spacing w:after="120" w:before="200"/>
      </w:pPr>
      <w:bookmarkStart w:name="bm_owasp_asvs_4_0_nivel_2_controles_cha" w:id="119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ASVS 4.0 — nível 2 (controles-chave)</w:t>
      </w:r>
      <w:bookmarkEnd w:id="119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cantSplit/>
          <w:tblHeader/>
        </w:trPr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keepNext/>
        <w:spacing w:after="120" w:before="200"/>
      </w:pPr>
      <w:bookmarkStart w:name="bm_owasp_api_security_top_10_2023" w:id="120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API Security Top 10 (2023)</w:t>
      </w:r>
      <w:bookmarkEnd w:id="120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cantSplit/>
          <w:tblHeader/>
        </w:trPr>
        <w:tc>
          <w:tcPr>
            <w:tcW w:type="dxa" w:w="8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keepNext/>
        <w:spacing w:after="120" w:before="200"/>
      </w:pPr>
      <w:bookmarkStart w:name="bm_owasp_mobile_top_10_2024_app_react_n" w:id="12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Mobile Top 10 (2024) — app React Native / Expo</w:t>
      </w:r>
      <w:bookmarkEnd w:id="121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cantSplit/>
          <w:tblHeader/>
        </w:trPr>
        <w:tc>
          <w:tcPr>
            <w:tcW w:type="dxa" w:w="7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keepNext/>
        <w:spacing w:after="120" w:before="200"/>
      </w:pPr>
      <w:bookmarkStart w:name="bm_lgpd_lei_13_709_2018" w:id="12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LGPD (Lei 13.709/2018)</w:t>
      </w:r>
      <w:bookmarkEnd w:id="122"/>
    </w:p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DELETE /api/v1/users/{id} (ADMIN) → AnonymizationService.anonymizeUser(id) — substituição irreversível, preserva integridade referencial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Telemetria e localização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 backend RIVA não coleta localização nem telemetria de dispositivos. Se o app mobile ou um componente IoT passarem a enviá-las: minimização e finalidade declarada, consentimento explícito e revogável, precisão reduzida (arredondamento/geohash) quando possível, cifragem em trânsito e em repouso, retenção curta e pseudonimização (mesma política do AuditLog)</w:t>
            </w:r>
          </w:p>
        </w:tc>
      </w:tr>
    </w:tbl>
    <w:p>
      <w:pPr>
        <w:pStyle w:val="Heading2"/>
        <w:keepNext/>
        <w:spacing w:after="120" w:before="280"/>
      </w:pPr>
      <w:bookmarkStart w:name="bm_3_3_plano_de_seguranca_continua" w:id="123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3.3 Plano de segurança contínua</w:t>
      </w:r>
      <w:bookmarkEnd w:id="123"/>
    </w:p>
    <w:p>
      <w:pPr>
        <w:pStyle w:val="Heading3"/>
        <w:keepNext/>
        <w:spacing w:after="120" w:before="200"/>
      </w:pPr>
      <w:bookmarkStart w:name="bm_rotina_de_revisao_de_dependencias" w:id="124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revisão de dependências</w:t>
      </w:r>
      <w:bookmarkEnd w:id="124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cantSplit/>
          <w:tblHeader/>
        </w:trPr>
        <w:tc>
          <w:tcPr>
            <w:tcW w:type="dxa" w:w="186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keepNext/>
        <w:spacing w:after="120" w:before="200"/>
      </w:pPr>
      <w:bookmarkStart w:name="bm_rotina_de_testes_de_seguranca" w:id="125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testes de segurança</w:t>
      </w:r>
      <w:bookmarkEnd w:id="12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156 testes automatizados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keepNext/>
        <w:spacing w:after="120" w:before="200"/>
      </w:pPr>
      <w:bookmarkStart w:name="bm_rotina_de_auditoria_de_permissoes" w:id="126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auditoria de permissões</w:t>
      </w:r>
      <w:bookmarkEnd w:id="12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keepNext/>
        <w:spacing w:after="120" w:before="200"/>
      </w:pPr>
      <w:bookmarkStart w:name="bm_rotina_de_backup_e_recuperacao_inici" w:id="127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backup e recuperação (iniciada na Fase 3)</w:t>
      </w:r>
      <w:bookmarkEnd w:id="12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keepNext/>
        <w:pageBreakBefore/>
        <w:spacing w:after="120" w:before="280"/>
      </w:pPr>
      <w:bookmarkStart w:name="bm_3_4_checklist_de_conformidade_consol" w:id="12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3.4 Checklist de conformidade consolidado</w:t>
      </w:r>
      <w:bookmarkEnd w:id="128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cantSplit/>
          <w:tblHeader/>
        </w:trPr>
        <w:tc>
          <w:tcPr>
            <w:tcW w:type="dxa" w:w="125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156 testes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23B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4_observabilidade_monitora" w:id="129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4</w:t>
            </w:r>
            <w:bookmarkEnd w:id="129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Observabilidade, Monitoramento e Resposta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keepNext/>
        <w:spacing w:after="120" w:before="280"/>
      </w:pPr>
      <w:bookmarkStart w:name="bm_4_1_plano_de_monitoramento" w:id="130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4.1 Plano de monitoramento</w:t>
      </w:r>
      <w:bookmarkEnd w:id="130"/>
    </w:p>
    <w:p>
      <w:pPr>
        <w:pStyle w:val="Heading3"/>
        <w:keepNext/>
        <w:spacing w:after="120" w:before="200"/>
      </w:pPr>
      <w:bookmarkStart w:name="bm_logs_estruturados" w:id="13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Logs estruturados</w:t>
      </w:r>
      <w:bookmarkEnd w:id="13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alterações críticas de conta (registro e anonimização de usuário — LGPD), brute force detectado, rate limit, HMAC inválido, 404 de scan, acesso negado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cantSplit/>
          <w:tblHeader/>
        </w:trPr>
        <w:tc>
          <w:tcPr>
            <w:tcW w:type="dxa" w:w="433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keepNext/>
        <w:spacing w:after="120" w:before="200"/>
      </w:pPr>
      <w:bookmarkStart w:name="bm_metricas_e_alertas" w:id="13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Métricas e alertas</w:t>
      </w:r>
      <w:bookmarkEnd w:id="132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cantSplit/>
          <w:tblHeader/>
        </w:trPr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RivaHealthDegraded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 no ar (up) sem sinalizar readiness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readiness (banco / dependências)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keepNext/>
        <w:spacing w:after="120" w:before="200"/>
      </w:pPr>
      <w:bookmarkStart w:name="bm_cobertura_por_componente" w:id="140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Cobertura por componente (API, mobile, IoT e ML)</w:t>
      </w:r>
      <w:bookmarkEnd w:id="140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Escopo do edital: métricas e alertas para API, mobile, IoT e ML. A API está implementada e evidenciada; os demais componentes têm o plano de monitoramento definido como referência, para quando forem integrados.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67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Métricas e alertas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(implementado)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+ Micrometer: taxa, status e latência p50/p95/p99, JVM, CPU, pool de conexões; logs JSON com trace_id/user_id/client_ip; 11 regras de alerta (tabela acima) no Prometheus/Alertmanager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Mobile (referência — time mobile)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Crash rate e ANR (ex.: Firebase Crashlytics ou Sentry); picos de 401/403 por versão do app e taxa de refresh de token, visíveis nas métricas da API; alerta se crash-free sessions &lt; 99%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IoT (referência — sem camada IoT no escopo)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do broker MQTT: clientes conectados, mensagens/s, falhas de handshake TLS/mTLS e de ACL; alertas para queda de dispositivos, pico de falhas de autenticação e dispositivo silencioso além do limite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ML (referência — serviço de IA)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Latência e taxa de erro da inferência, proporção de respostas “Não disponível”, drift da distribuição das entradas; alertas para erro &gt; 5%, p95 acima do limite e queda abrupta de qualidade</w:t>
            </w:r>
          </w:p>
        </w:tc>
      </w:tr>
    </w:tbl>
    <w:p>
      <w:pPr>
        <w:pStyle w:val="Heading3"/>
        <w:keepNext/>
        <w:spacing w:after="120" w:before="200"/>
      </w:pPr>
      <w:bookmarkStart w:name="bm_dashboards" w:id="13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Dashboards</w:t>
      </w:r>
      <w:bookmarkEnd w:id="13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keepLines/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keepNext/>
        <w:spacing w:after="120" w:before="280"/>
      </w:pPr>
      <w:bookmarkStart w:name="bm_4_2_plano_de_resposta_a_incidentes" w:id="13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4.2 Plano de resposta a incidentes</w:t>
      </w:r>
      <w:bookmarkEnd w:id="13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keepNext/>
        <w:spacing w:after="120" w:before="280"/>
      </w:pPr>
      <w:bookmarkStart w:name="bm_4_3_evidencias_coletadas" w:id="13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4.3 Evidências coletadas</w:t>
      </w:r>
      <w:bookmarkEnd w:id="135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a_indice_de_evidencias_por_" w:id="13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  <w:bookmarkEnd w:id="13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cantSplit/>
          <w:tblHeader/>
        </w:trPr>
        <w:tc>
          <w:tcPr>
            <w:tcW w:type="dxa" w:w="702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.github/dependabot.yml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SECURITY.md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src/main/java/com/ford/riva/security/ClientIpResolver.java, config/SecurityStartupValidator.java, controller/UserController.java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SECURITY.md §14 (limitações conhecidas)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</w:tbl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b_rodar_tudo_localmente" w:id="137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  <w:bookmarkEnd w:id="137"/>
    </w:p>
    <w:p>
      <w:pPr>
        <w:keepLines/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logs/riva-backend.json; Actuator na 8080 local, 9090 só em prod)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SPRING_PROFILES_ACTIVE=dev,obs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c_glossario" w:id="138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  <w:bookmarkEnd w:id="138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Sprint 3 — DevSecOps · Cybersecurity · Ford + FIAP 2026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de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0"/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RIVA — Inteligência Competitiva Automotiva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c_qbubloqn7zuw1y_rjc" Type="http://schemas.openxmlformats.org/officeDocument/2006/relationships/hyperlink" Target="https://github.com/FORD-FIAP/rivaIA-backend" TargetMode="External"/><Relationship Id="rIdxxpkulhjizrelahldv9pc" Type="http://schemas.openxmlformats.org/officeDocument/2006/relationships/hyperlink" Target="https://github.com/FORD-FIAP/rivaIA-backend/pull/24" TargetMode="External"/><Relationship Id="rId9" Type="http://schemas.openxmlformats.org/officeDocument/2006/relationships/image" Target="media/83f43129a4b82530e832550b4e3bc9183ab0ece9.png"/><Relationship Id="rId10" Type="http://schemas.openxmlformats.org/officeDocument/2006/relationships/image" Target="media/b7d606a0d72779cdcc56b754695fd75e5f94a036.png"/><Relationship Id="rId11" Type="http://schemas.openxmlformats.org/officeDocument/2006/relationships/image" Target="media/36894acde60f476a9560e862dab4b6ed2a878455.png"/><Relationship Id="rId12" Type="http://schemas.openxmlformats.org/officeDocument/2006/relationships/image" Target="media/1ec0b27b9102d3dd839de1078e20be8421fa5195.jpg"/><Relationship Id="rId13" Type="http://schemas.openxmlformats.org/officeDocument/2006/relationships/image" Target="media/72267eed79dc0dd395652048e082ee21d2d5913d.jpg"/><Relationship Id="rId14" Type="http://schemas.openxmlformats.org/officeDocument/2006/relationships/image" Target="media/9ade0c9559b07791f4c8818ce7f270e100719a33.jpg"/><Relationship Id="rId15" Type="http://schemas.openxmlformats.org/officeDocument/2006/relationships/image" Target="media/8ba223beac55c4167ee0de278615a1bb31b1d99f.jpg"/><Relationship Id="rId16" Type="http://schemas.openxmlformats.org/officeDocument/2006/relationships/image" Target="media/cb2442659c52a3184eedd7042b681147041b1bd3.jpg"/><Relationship Id="rId17" Type="http://schemas.openxmlformats.org/officeDocument/2006/relationships/image" Target="media/c7c35e64197de546a57c56c08d0dd51b67df439a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2026-09-13T06:46:32.672Z</dcterms:created>
  <dcterms:modified xsi:type="dcterms:W3CDTF">2026-09-13T06:46:32.674Z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