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ta3uzayd61o-wva9zinaa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e Dependency Review barram o PR se houver segredo ou dependência vulnerável nova.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Semgrep / SCA / Trivy publicam achados; o revisor tria (corrige agora / cria issue / risco aceito).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(Dependency-Check + Trivy)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a anexar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dashboard Grafana com dados (gerar carga: rodar a app no profile obs, fazer logins válidos e uma rajada de logins inválidos para acender o painel de brute force).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Trecho do logs/riva-backend.json mostrando um evento ERROR “Possível brute force detectado” com trace_id / client_ip (e confirmando ausência de senha/token).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Prometheus → Alerts com uma regra em PENDING / FIRING durante o teste.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Print do docker compose ps do stack de observabilidade.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a3uzayd61o-wva9zinaa" Type="http://schemas.openxmlformats.org/officeDocument/2006/relationships/hyperlink" Target="https://github.com/FORD-FIAP/rivaIA-backen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2026-09-10T23:44:18.776Z</dcterms:created>
  <dcterms:modified xsi:type="dcterms:W3CDTF">2026-09-10T23:44:18.777Z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