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SmartVPN Windows 与 Android 开发文档</w:t>
      </w:r>
    </w:p>
    <w:p>
      <w:r>
        <w:t>版本 1.0　｜　2026 年 9 月 24 日　｜　目标：独立客户端，Mihomo 内核</w:t>
      </w:r>
    </w:p>
    <w:p>
      <w:r>
        <w:t>本文将双平台需求转化为模块边界、实现顺序和可验证的交付标准。先交付 Windows 系统代理版，再完成严格地区保护所需的 TUN 路径，最后移植 Android。具体版本和接口以实施时锁定的依赖版本为准。</w:t>
      </w:r>
    </w:p>
    <w:p>
      <w:pPr>
        <w:pStyle w:val="Heading1"/>
      </w:pPr>
      <w:r>
        <w:t>1 项目范围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896"/>
          </w:tcPr>
          <w:p>
            <w:r>
              <w:rPr>
                <w:b/>
              </w:rPr>
              <w:t>要求</w:t>
            </w:r>
          </w:p>
        </w:tc>
      </w:tr>
      <w:tr>
        <w:tc>
          <w:tcPr>
            <w:tcW w:type="dxa" w:w="4896"/>
          </w:tcPr>
          <w:p>
            <w:r>
              <w:t>平台</w:t>
            </w:r>
          </w:p>
        </w:tc>
        <w:tc>
          <w:tcPr>
            <w:tcW w:type="dxa" w:w="4896"/>
          </w:tcPr>
          <w:p>
            <w:r>
              <w:t>Windows 10/11；Android。无需 iOS 代码与构建流程。</w:t>
            </w:r>
          </w:p>
        </w:tc>
      </w:tr>
      <w:tr>
        <w:tc>
          <w:tcPr>
            <w:tcW w:type="dxa" w:w="4896"/>
          </w:tcPr>
          <w:p>
            <w:r>
              <w:t>核心功能</w:t>
            </w:r>
          </w:p>
        </w:tc>
        <w:tc>
          <w:tcPr>
            <w:tcW w:type="dxa" w:w="4896"/>
          </w:tcPr>
          <w:p>
            <w:r>
              <w:t>订阅导入与更新、出口地区识别、同地区故障切换、测速、网站分流、应用分流、流量和连接监控。</w:t>
            </w:r>
          </w:p>
        </w:tc>
      </w:tr>
      <w:tr>
        <w:tc>
          <w:tcPr>
            <w:tcW w:type="dxa" w:w="4896"/>
          </w:tcPr>
          <w:p>
            <w:r>
              <w:t>保护规则</w:t>
            </w:r>
          </w:p>
        </w:tc>
        <w:tc>
          <w:tcPr>
            <w:tcW w:type="dxa" w:w="4896"/>
          </w:tcPr>
          <w:p>
            <w:r>
              <w:t>地区锁定以实测出口地区为准。未验证或冲突节点不进入严格锁定候选池；同地区耗尽时阻断受保护流量并显示告警。</w:t>
            </w:r>
          </w:p>
        </w:tc>
      </w:tr>
      <w:tr>
        <w:tc>
          <w:tcPr>
            <w:tcW w:type="dxa" w:w="4896"/>
          </w:tcPr>
          <w:p>
            <w:r>
              <w:t>交付范围</w:t>
            </w:r>
          </w:p>
        </w:tc>
        <w:tc>
          <w:tcPr>
            <w:tcW w:type="dxa" w:w="4896"/>
          </w:tcPr>
          <w:p>
            <w:r>
              <w:t>Windows 系统代理 MVP → Windows TUN 与严格保护 → Android VpnService。</w:t>
            </w:r>
          </w:p>
        </w:tc>
      </w:tr>
    </w:tbl>
    <w:p/>
    <w:p>
      <w:pPr>
        <w:pStyle w:val="Heading1"/>
      </w:pPr>
      <w:r>
        <w:t>2 架构与职责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</w:rPr>
              <w:t>层</w:t>
            </w:r>
          </w:p>
        </w:tc>
        <w:tc>
          <w:tcPr>
            <w:tcW w:type="dxa" w:w="3264"/>
          </w:tcPr>
          <w:p>
            <w:r>
              <w:rPr>
                <w:b/>
              </w:rPr>
              <w:t>Windows</w:t>
            </w:r>
          </w:p>
        </w:tc>
        <w:tc>
          <w:tcPr>
            <w:tcW w:type="dxa" w:w="3264"/>
          </w:tcPr>
          <w:p>
            <w:r>
              <w:rPr>
                <w:b/>
              </w:rPr>
              <w:t>Android</w:t>
            </w:r>
          </w:p>
        </w:tc>
      </w:tr>
      <w:tr>
        <w:tc>
          <w:tcPr>
            <w:tcW w:type="dxa" w:w="3264"/>
          </w:tcPr>
          <w:p>
            <w:r>
              <w:t>界面</w:t>
            </w:r>
          </w:p>
        </w:tc>
        <w:tc>
          <w:tcPr>
            <w:tcW w:type="dxa" w:w="3264"/>
          </w:tcPr>
          <w:p>
            <w:r>
              <w:t>Flutter 桌面 UI</w:t>
            </w:r>
          </w:p>
        </w:tc>
        <w:tc>
          <w:tcPr>
            <w:tcW w:type="dxa" w:w="3264"/>
          </w:tcPr>
          <w:p>
            <w:r>
              <w:t>Flutter 移动 UI</w:t>
            </w:r>
          </w:p>
        </w:tc>
      </w:tr>
      <w:tr>
        <w:tc>
          <w:tcPr>
            <w:tcW w:type="dxa" w:w="3264"/>
          </w:tcPr>
          <w:p>
            <w:r>
              <w:t>平台适配</w:t>
            </w:r>
          </w:p>
        </w:tc>
        <w:tc>
          <w:tcPr>
            <w:tcW w:type="dxa" w:w="3264"/>
          </w:tcPr>
          <w:p>
            <w:r>
              <w:t>Go 服务启动独立 Mihomo、配置系统代理及后续 TUN</w:t>
            </w:r>
          </w:p>
        </w:tc>
        <w:tc>
          <w:tcPr>
            <w:tcW w:type="dxa" w:w="3264"/>
          </w:tcPr>
          <w:p>
            <w:r>
              <w:t>Kotlin VpnService 建立 TUN；经适配层承载 Mihomo 与调度逻辑</w:t>
            </w:r>
          </w:p>
        </w:tc>
      </w:tr>
      <w:tr>
        <w:tc>
          <w:tcPr>
            <w:tcW w:type="dxa" w:w="3264"/>
          </w:tcPr>
          <w:p>
            <w:r>
              <w:t>共享服务</w:t>
            </w:r>
          </w:p>
        </w:tc>
        <w:tc>
          <w:tcPr>
            <w:tcW w:type="dxa" w:w="3264"/>
          </w:tcPr>
          <w:p>
            <w:r>
              <w:t>Go：订阅规范化、地区验证、健康状态机、选择策略、事件记录</w:t>
            </w:r>
          </w:p>
        </w:tc>
        <w:tc>
          <w:tcPr>
            <w:tcW w:type="dxa" w:w="3264"/>
          </w:tcPr>
          <w:p>
            <w:r>
              <w:t>共享同一 Go 逻辑，使用 Android 可调用封装</w:t>
            </w:r>
          </w:p>
        </w:tc>
      </w:tr>
      <w:tr>
        <w:tc>
          <w:tcPr>
            <w:tcW w:type="dxa" w:w="3264"/>
          </w:tcPr>
          <w:p>
            <w:r>
              <w:t>本地数据</w:t>
            </w:r>
          </w:p>
        </w:tc>
        <w:tc>
          <w:tcPr>
            <w:tcW w:type="dxa" w:w="3264"/>
          </w:tcPr>
          <w:p>
            <w:r>
              <w:t>SQLite 或等价持久层；凭据使用系统安全存储</w:t>
            </w:r>
          </w:p>
        </w:tc>
        <w:tc>
          <w:tcPr>
            <w:tcW w:type="dxa" w:w="3264"/>
          </w:tcPr>
          <w:p>
            <w:r>
              <w:t>SQLite 或等价持久层；凭据使用 Android Keystore</w:t>
            </w:r>
          </w:p>
        </w:tc>
      </w:tr>
    </w:tbl>
    <w:p/>
    <w:p>
      <w:r>
        <w:t>Flutter 只负责呈现状态与发起命令。代理核心和调度应在 UI 退出后持续运行。Mihomo 控制接口仅绑定本机或受保护的本地通道，并设置随机密钥。</w:t>
      </w:r>
    </w:p>
    <w:p>
      <w:pPr>
        <w:pStyle w:val="Heading1"/>
      </w:pPr>
      <w:r>
        <w:t>3 核心数据模型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</w:rPr>
              <w:t>实体</w:t>
            </w:r>
          </w:p>
        </w:tc>
        <w:tc>
          <w:tcPr>
            <w:tcW w:type="dxa" w:w="4896"/>
          </w:tcPr>
          <w:p>
            <w:r>
              <w:rPr>
                <w:b/>
              </w:rPr>
              <w:t>关键字段</w:t>
            </w:r>
          </w:p>
        </w:tc>
      </w:tr>
      <w:tr>
        <w:tc>
          <w:tcPr>
            <w:tcW w:type="dxa" w:w="4896"/>
          </w:tcPr>
          <w:p>
            <w:r>
              <w:t>Subscription</w:t>
            </w:r>
          </w:p>
        </w:tc>
        <w:tc>
          <w:tcPr>
            <w:tcW w:type="dxa" w:w="4896"/>
          </w:tcPr>
          <w:p>
            <w:r>
              <w:t>id、URL、更新时间、刷新间隔、配置摘要、错误状态</w:t>
            </w:r>
          </w:p>
        </w:tc>
      </w:tr>
      <w:tr>
        <w:tc>
          <w:tcPr>
            <w:tcW w:type="dxa" w:w="4896"/>
          </w:tcPr>
          <w:p>
            <w:r>
              <w:t>Node</w:t>
            </w:r>
          </w:p>
        </w:tc>
        <w:tc>
          <w:tcPr>
            <w:tcW w:type="dxa" w:w="4896"/>
          </w:tcPr>
          <w:p>
            <w:r>
              <w:t>稳定 id、名称、协议、入口地址、出口 IP、出口国家、验证时间、可信状态</w:t>
            </w:r>
          </w:p>
        </w:tc>
      </w:tr>
      <w:tr>
        <w:tc>
          <w:tcPr>
            <w:tcW w:type="dxa" w:w="4896"/>
          </w:tcPr>
          <w:p>
            <w:r>
              <w:t>PolicyGroup</w:t>
            </w:r>
          </w:p>
        </w:tc>
        <w:tc>
          <w:tcPr>
            <w:tcW w:type="dxa" w:w="4896"/>
          </w:tcPr>
          <w:p>
            <w:r>
              <w:t>规则 id、匹配域名或应用、锁定国家、候选节点、当前节点、失败策略</w:t>
            </w:r>
          </w:p>
        </w:tc>
      </w:tr>
      <w:tr>
        <w:tc>
          <w:tcPr>
            <w:tcW w:type="dxa" w:w="4896"/>
          </w:tcPr>
          <w:p>
            <w:r>
              <w:t>Health</w:t>
            </w:r>
          </w:p>
        </w:tc>
        <w:tc>
          <w:tcPr>
            <w:tcW w:type="dxa" w:w="4896"/>
          </w:tcPr>
          <w:p>
            <w:r>
              <w:t>节点 id、连续失败、延迟、状态、冷却截止、最后成功时间</w:t>
            </w:r>
          </w:p>
        </w:tc>
      </w:tr>
      <w:tr>
        <w:tc>
          <w:tcPr>
            <w:tcW w:type="dxa" w:w="4896"/>
          </w:tcPr>
          <w:p>
            <w:r>
              <w:t>SwitchEvent</w:t>
            </w:r>
          </w:p>
        </w:tc>
        <w:tc>
          <w:tcPr>
            <w:tcW w:type="dxa" w:w="4896"/>
          </w:tcPr>
          <w:p>
            <w:r>
              <w:t>时间、策略组、旧节点、新节点、触发来源、检测证据</w:t>
            </w:r>
          </w:p>
        </w:tc>
      </w:tr>
    </w:tbl>
    <w:p/>
    <w:p>
      <w:r>
        <w:t>订阅原文和凭据不得出现在普通日志。节点稳定 id 可由订阅来源和非敏感节点标识生成；订阅刷新时保留用户规则，重建候选池并重新验证出口地区。</w:t>
      </w:r>
    </w:p>
    <w:p>
      <w:pPr>
        <w:pStyle w:val="Heading1"/>
      </w:pPr>
      <w:r>
        <w:t>4 节点发现与地区锁定</w:t>
      </w:r>
    </w:p>
    <w:p>
      <w:r>
        <w:t>导入 Mihomo YAML 或 HTTP(S) 订阅后先解析与校验，再映射到内部节点。名称中的国家标记仅作候选提示。通过该节点访问可信出口查询服务，记录实际出口 IP 与地区；可用第二数据源交叉核验。入口服务器的地区不能替代出口地区。</w:t>
      </w:r>
    </w:p>
    <w:p>
      <w:r>
        <w:t>严格锁定采用 fail closed：仅 verified 且出口地区等于锁定地区的节点可被自动或手动选入。未知、过期或冲突状态节点须重新验证。当前组没有可用节点时，规则明确指向 REJECT，防止落到 DIRECT、其他地区组或订阅提供的默认兜底。系统代理版仅保护使用系统代理的应用，不能称为全设备断网保护。</w:t>
      </w:r>
    </w:p>
    <w:p>
      <w:pPr>
        <w:pStyle w:val="Heading1"/>
      </w:pPr>
      <w:r>
        <w:t>5 健康检测与故障切换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3264"/>
          </w:tcPr>
          <w:p>
            <w:r>
              <w:rPr>
                <w:b/>
              </w:rPr>
              <w:t>进入条件</w:t>
            </w:r>
          </w:p>
        </w:tc>
        <w:tc>
          <w:tcPr>
            <w:tcW w:type="dxa" w:w="3264"/>
          </w:tcPr>
          <w:p>
            <w:r>
              <w:rPr>
                <w:b/>
              </w:rPr>
              <w:t>动作</w:t>
            </w:r>
          </w:p>
        </w:tc>
      </w:tr>
      <w:tr>
        <w:tc>
          <w:tcPr>
            <w:tcW w:type="dxa" w:w="3264"/>
          </w:tcPr>
          <w:p>
            <w:r>
              <w:t>HEALTHY</w:t>
            </w:r>
          </w:p>
        </w:tc>
        <w:tc>
          <w:tcPr>
            <w:tcW w:type="dxa" w:w="3264"/>
          </w:tcPr>
          <w:p>
            <w:r>
              <w:t>探测成功、连接正常</w:t>
            </w:r>
          </w:p>
        </w:tc>
        <w:tc>
          <w:tcPr>
            <w:tcW w:type="dxa" w:w="3264"/>
          </w:tcPr>
          <w:p>
            <w:r>
              <w:t>保持节点；周期检测</w:t>
            </w:r>
          </w:p>
        </w:tc>
      </w:tr>
      <w:tr>
        <w:tc>
          <w:tcPr>
            <w:tcW w:type="dxa" w:w="3264"/>
          </w:tcPr>
          <w:p>
            <w:r>
              <w:t>SUSPECT</w:t>
            </w:r>
          </w:p>
        </w:tc>
        <w:tc>
          <w:tcPr>
            <w:tcW w:type="dxa" w:w="3264"/>
          </w:tcPr>
          <w:p>
            <w:r>
              <w:t>一次失败或疑似超时</w:t>
            </w:r>
          </w:p>
        </w:tc>
        <w:tc>
          <w:tcPr>
            <w:tcW w:type="dxa" w:w="3264"/>
          </w:tcPr>
          <w:p>
            <w:r>
              <w:t>立即检测当前节点及同地区备用节点</w:t>
            </w:r>
          </w:p>
        </w:tc>
      </w:tr>
      <w:tr>
        <w:tc>
          <w:tcPr>
            <w:tcW w:type="dxa" w:w="3264"/>
          </w:tcPr>
          <w:p>
            <w:r>
              <w:t>UNHEALTHY</w:t>
            </w:r>
          </w:p>
        </w:tc>
        <w:tc>
          <w:tcPr>
            <w:tcW w:type="dxa" w:w="3264"/>
          </w:tcPr>
          <w:p>
            <w:r>
              <w:t>连续失败达阈值并由独立探测确认</w:t>
            </w:r>
          </w:p>
        </w:tc>
        <w:tc>
          <w:tcPr>
            <w:tcW w:type="dxa" w:w="3264"/>
          </w:tcPr>
          <w:p>
            <w:r>
              <w:t>切换至验证过的同地区候选节点</w:t>
            </w:r>
          </w:p>
        </w:tc>
      </w:tr>
      <w:tr>
        <w:tc>
          <w:tcPr>
            <w:tcW w:type="dxa" w:w="3264"/>
          </w:tcPr>
          <w:p>
            <w:r>
              <w:t>COOLDOWN</w:t>
            </w:r>
          </w:p>
        </w:tc>
        <w:tc>
          <w:tcPr>
            <w:tcW w:type="dxa" w:w="3264"/>
          </w:tcPr>
          <w:p>
            <w:r>
              <w:t>切换后的故障节点</w:t>
            </w:r>
          </w:p>
        </w:tc>
        <w:tc>
          <w:tcPr>
            <w:tcW w:type="dxa" w:w="3264"/>
          </w:tcPr>
          <w:p>
            <w:r>
              <w:t>暂停候选资格，记录冷却截止时间</w:t>
            </w:r>
          </w:p>
        </w:tc>
      </w:tr>
      <w:tr>
        <w:tc>
          <w:tcPr>
            <w:tcW w:type="dxa" w:w="3264"/>
          </w:tcPr>
          <w:p>
            <w:r>
              <w:t>RECOVERY</w:t>
            </w:r>
          </w:p>
        </w:tc>
        <w:tc>
          <w:tcPr>
            <w:tcW w:type="dxa" w:w="3264"/>
          </w:tcPr>
          <w:p>
            <w:r>
              <w:t>冷却结束且后台连续成功</w:t>
            </w:r>
          </w:p>
        </w:tc>
        <w:tc>
          <w:tcPr>
            <w:tcW w:type="dxa" w:w="3264"/>
          </w:tcPr>
          <w:p>
            <w:r>
              <w:t>恢复候选资格，不立即抢回当前连接</w:t>
            </w:r>
          </w:p>
        </w:tc>
      </w:tr>
    </w:tbl>
    <w:p/>
    <w:p>
      <w:r>
        <w:t>初始建议：连接检测 3 秒、巡检 30 秒、2 次失败确认、60 秒冷却、30 秒最短驻留、3 次成功恢复。这是可配置参数，必须在真实网络中校准。切换通常只影响新连接；现有 TCP 会话可能断开，不能自动重放有副作用的请求。</w:t>
      </w:r>
    </w:p>
    <w:p>
      <w:r>
        <w:t>Mihomo 延迟接口可以检测节点可用性，连接与流量接口可以辅助监控，但不等于所有真实连接超时事件。首版以主动探测、内核可得连接状态及网络变化事件触发；精确的每连接失败通知若控制 API 不足，需要评估内核扩展。</w:t>
      </w:r>
    </w:p>
    <w:p>
      <w:pPr>
        <w:pStyle w:val="Heading1"/>
      </w:pPr>
      <w:r>
        <w:t>6 分流与订阅</w:t>
      </w:r>
    </w:p>
    <w:p>
      <w:r>
        <w:t>网站规则按域名优先、IP 规则补充，匹配到独立 PolicyGroup。Windows 的应用规则在 TUN 阶段通过可验证的进程识别能力实现。Android 的 VpnService 允许按包名决定哪些应用进入 VPN；若要让不同应用在隧道内使用不同节点，仍需可靠的每条流量归属机制，必须单独验证，不可将允许名单当作完整的应用级路由。</w:t>
      </w:r>
    </w:p>
    <w:p>
      <w:r>
        <w:t>订阅定时刷新必须限制响应大小和超时、验证配置结构、隔离用户私密 URL、避免远程配置覆盖本机控制接口、DIRECT 禁令与地区策略。解析失败保留上一份可用配置并提示错误。</w:t>
      </w:r>
    </w:p>
    <w:p>
      <w:pPr>
        <w:pStyle w:val="Heading1"/>
      </w:pPr>
      <w:r>
        <w:t>7 平台实施</w:t>
      </w:r>
    </w:p>
    <w:p>
      <w:pPr>
        <w:pStyle w:val="Heading2"/>
      </w:pPr>
      <w:r>
        <w:t>7.1 Windows</w:t>
      </w:r>
    </w:p>
    <w:p>
      <w:r>
        <w:t>第一阶段以独立 Mihomo 进程和系统代理工作。启动前检查配置；崩溃后检测进程与代理设置；退出时仅恢复由本客户端修改的设置。后续增加 TUN、DNS 与 IPv4/IPv6 路径检查，验证无绕过。严格全设备保护必须在 TUN 与系统路由或防火墙保护通过后才能在 UI 中声明。</w:t>
      </w:r>
    </w:p>
    <w:p>
      <w:pPr>
        <w:pStyle w:val="Heading2"/>
      </w:pPr>
      <w:r>
        <w:t>7.2 Android</w:t>
      </w:r>
    </w:p>
    <w:p>
      <w:r>
        <w:t>Kotlin 负责 VpnService 授权、TUN 创建与前台服务生命周期；代理出站套接字需避免再次进入 VPN 造成回环。验证断网、切换 Wi-Fi 与移动网络、后台恢复、省电限制、IPv6 与 DNS。Go/Mihomo 以可调用库形式适配，接口设计预留配置、TUN fd、网络变化、状态事件和安全关闭。</w:t>
      </w:r>
    </w:p>
    <w:p>
      <w:pPr>
        <w:pStyle w:val="Heading1"/>
      </w:pPr>
      <w:r>
        <w:t>8 开发里程碑与验收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3264"/>
          </w:tcPr>
          <w:p>
            <w:r>
              <w:rPr>
                <w:b/>
              </w:rPr>
              <w:t>主要交付</w:t>
            </w:r>
          </w:p>
        </w:tc>
        <w:tc>
          <w:tcPr>
            <w:tcW w:type="dxa" w:w="3264"/>
          </w:tcPr>
          <w:p>
            <w:r>
              <w:rPr>
                <w:b/>
              </w:rPr>
              <w:t>验收</w:t>
            </w:r>
          </w:p>
        </w:tc>
      </w:tr>
      <w:tr>
        <w:tc>
          <w:tcPr>
            <w:tcW w:type="dxa" w:w="3264"/>
          </w:tcPr>
          <w:p>
            <w:r>
              <w:t>M1 Windows MVP</w:t>
            </w:r>
          </w:p>
        </w:tc>
        <w:tc>
          <w:tcPr>
            <w:tcW w:type="dxa" w:w="3264"/>
          </w:tcPr>
          <w:p>
            <w:r>
              <w:t>界面、订阅、内核启停、系统代理、测速、状态监控</w:t>
            </w:r>
          </w:p>
        </w:tc>
        <w:tc>
          <w:tcPr>
            <w:tcW w:type="dxa" w:w="3264"/>
          </w:tcPr>
          <w:p>
            <w:r>
              <w:t>通过测试订阅访问网络；断开后恢复原代理设置</w:t>
            </w:r>
          </w:p>
        </w:tc>
      </w:tr>
      <w:tr>
        <w:tc>
          <w:tcPr>
            <w:tcW w:type="dxa" w:w="3264"/>
          </w:tcPr>
          <w:p>
            <w:r>
              <w:t>M2 调度</w:t>
            </w:r>
          </w:p>
        </w:tc>
        <w:tc>
          <w:tcPr>
            <w:tcW w:type="dxa" w:w="3264"/>
          </w:tcPr>
          <w:p>
            <w:r>
              <w:t>地区实测、健康状态机、日志、同地区切换</w:t>
            </w:r>
          </w:p>
        </w:tc>
        <w:tc>
          <w:tcPr>
            <w:tcW w:type="dxa" w:w="3264"/>
          </w:tcPr>
          <w:p>
            <w:r>
              <w:t>故障切到同地区；全部失败时不跨地区，代理请求失败关闭</w:t>
            </w:r>
          </w:p>
        </w:tc>
      </w:tr>
      <w:tr>
        <w:tc>
          <w:tcPr>
            <w:tcW w:type="dxa" w:w="3264"/>
          </w:tcPr>
          <w:p>
            <w:r>
              <w:t>M3 Windows TUN</w:t>
            </w:r>
          </w:p>
        </w:tc>
        <w:tc>
          <w:tcPr>
            <w:tcW w:type="dxa" w:w="3264"/>
          </w:tcPr>
          <w:p>
            <w:r>
              <w:t>DNS、IPv4/IPv6、进程与域名策略、异常恢复</w:t>
            </w:r>
          </w:p>
        </w:tc>
        <w:tc>
          <w:tcPr>
            <w:tcW w:type="dxa" w:w="3264"/>
          </w:tcPr>
          <w:p>
            <w:r>
              <w:t>测试应用分流；内核故障、重启及 DNS 情况不泄漏受保护流量</w:t>
            </w:r>
          </w:p>
        </w:tc>
      </w:tr>
      <w:tr>
        <w:tc>
          <w:tcPr>
            <w:tcW w:type="dxa" w:w="3264"/>
          </w:tcPr>
          <w:p>
            <w:r>
              <w:t>M4 Android</w:t>
            </w:r>
          </w:p>
        </w:tc>
        <w:tc>
          <w:tcPr>
            <w:tcW w:type="dxa" w:w="3264"/>
          </w:tcPr>
          <w:p>
            <w:r>
              <w:t>VpnService、内核封装、后台与网络切换</w:t>
            </w:r>
          </w:p>
        </w:tc>
        <w:tc>
          <w:tcPr>
            <w:tcW w:type="dxa" w:w="3264"/>
          </w:tcPr>
          <w:p>
            <w:r>
              <w:t>真机建立 VPN；锁定生效；后台和网络切换后可恢复</w:t>
            </w:r>
          </w:p>
        </w:tc>
      </w:tr>
      <w:tr>
        <w:tc>
          <w:tcPr>
            <w:tcW w:type="dxa" w:w="3264"/>
          </w:tcPr>
          <w:p>
            <w:r>
              <w:t>M5 发布候选</w:t>
            </w:r>
          </w:p>
        </w:tc>
        <w:tc>
          <w:tcPr>
            <w:tcW w:type="dxa" w:w="3264"/>
          </w:tcPr>
          <w:p>
            <w:r>
              <w:t>安装包、日志脱敏、回归与性能测试</w:t>
            </w:r>
          </w:p>
        </w:tc>
        <w:tc>
          <w:tcPr>
            <w:tcW w:type="dxa" w:w="3264"/>
          </w:tcPr>
          <w:p>
            <w:r>
              <w:t>双端同一组规则样例通过，文档与许可审查完成</w:t>
            </w:r>
          </w:p>
        </w:tc>
      </w:tr>
    </w:tbl>
    <w:p/>
    <w:p>
      <w:r>
        <w:t>工期按人员、现成内核封装、测试设备与签名流程重新估算；此前 9 至 15 周只是粗略规划，不构成承诺。</w:t>
      </w:r>
    </w:p>
    <w:p>
      <w:pPr>
        <w:pStyle w:val="Heading1"/>
      </w:pPr>
      <w:r>
        <w:t>9 测试矩阵</w:t>
      </w:r>
    </w:p>
    <w:p>
      <w:r>
        <w:t>至少覆盖：节点故障及恢复；同地区全部不可用；地区信息过期或冲突；订阅更新移除当前节点；多个策略组互不影响；DNS、IPv4 与 IPv6 出口；进程异常退出；睡眠唤醒；Android 后台与 Wi-Fi/移动网络切换。将“出口地区不变”“受保护流量不直连”作为可观测断言，并记录网络抓包或测试服务结果。</w:t>
      </w:r>
    </w:p>
    <w:p>
      <w:pPr>
        <w:pStyle w:val="Heading1"/>
      </w:pPr>
      <w:r>
        <w:t>10 主要风险与参考资料</w:t>
      </w:r>
    </w:p>
    <w:p>
      <w:r>
        <w:t>风险包括 Mihomo 控制 API 的事件粒度、移动端内核封装适配、Android 流量归属、Windows 系统代理覆盖不足、出口地理库误差及依赖再分发许可。每项应在对应里程碑中做最小验证，再决定是否维护内核分支。</w:t>
      </w:r>
    </w:p>
    <w:p>
      <w:r>
        <w:t>Mihomo 控制接口：https://wiki.metacubex.one/en/api/</w:t>
      </w:r>
    </w:p>
    <w:p>
      <w:r>
        <w:t>Mihomo 基础配置：https://wiki.metacubex.one/en/config/general/</w:t>
      </w:r>
    </w:p>
    <w:p>
      <w:r>
        <w:t>Android VPN 开发：https://developer.android.com/develop/connectivity/vpn</w:t>
      </w:r>
    </w:p>
    <w:p>
      <w:r>
        <w:t>Android VpnService API：https://developer.android.com/reference/android/net/VpnService</w:t>
      </w:r>
    </w:p>
    <w:p>
      <w:r>
        <w:t>Flutter Windows 环境：https://docs.flutter.dev/platform-integration/windows/setup</w:t>
      </w:r>
    </w:p>
    <w:p>
      <w:r>
        <w:t>Flutter Android 环境：https://docs.flutter.dev/platform-integration/android/setup</w:t>
      </w:r>
    </w:p>
    <w:sectPr w:rsidR="00FC693F" w:rsidRPr="0006063C" w:rsidSect="00034616">
      <w:pgSz w:w="12240" w:h="15840"/>
      <w:pgMar w:top="1152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60"/>
      <w:contextualSpacing/>
    </w:pPr>
    <w:rPr>
      <w:rFonts w:asciiTheme="majorHAnsi" w:eastAsiaTheme="majorEastAsia" w:hAnsiTheme="majorHAnsi" w:cstheme="majorBidi" w:ascii="Microsoft YaHei" w:hAnsi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