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>Xueyang (Sean) Wang</w:t>
      </w:r>
    </w:p>
    <w:p>
      <w:p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>XW1154</w:t>
      </w:r>
    </w:p>
    <w:p>
      <w:p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>02/24/2017</w:t>
      </w:r>
    </w:p>
    <w:p>
      <w:p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>CS4793</w:t>
      </w:r>
    </w:p>
    <w:p>
      <w:p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>Homework 04</w:t>
      </w:r>
    </w:p>
    <w:p>
      <w:pPr>
        <w:rPr>
          <w:rFonts w:asciiTheme="minorAscii"/>
          <w:sz w:val="20"/>
          <w:szCs w:val="20"/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Based on downloaded file:</w:t>
      </w:r>
    </w:p>
    <w:p>
      <w:pPr>
        <w:jc w:val="center"/>
      </w:pPr>
      <w:r>
        <w:drawing>
          <wp:inline distT="0" distB="0" distL="114300" distR="114300">
            <wp:extent cx="5273040" cy="176530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  <w:r>
        <w:rPr>
          <w:lang w:val="en-US"/>
        </w:rPr>
        <w:t>Figure 1. Given TCP capture</w:t>
      </w:r>
    </w:p>
    <w:p>
      <w:p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client computer IP address is: </w:t>
      </w:r>
      <w:r>
        <w:rPr>
          <w:highlight w:val="yellow"/>
          <w:lang w:val="en-US"/>
        </w:rPr>
        <w:t>192.168.1.102</w:t>
      </w:r>
      <w:r>
        <w:rPr>
          <w:lang w:val="en-US"/>
        </w:rPr>
        <w:t xml:space="preserve">; My client computer port number is </w:t>
      </w:r>
      <w:r>
        <w:rPr>
          <w:highlight w:val="yellow"/>
          <w:lang w:val="en-US"/>
        </w:rPr>
        <w:t>1161</w:t>
      </w:r>
      <w:r>
        <w:rPr>
          <w:lang w:val="en-US"/>
        </w:rPr>
        <w:t>.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Destination computer IP address is </w:t>
      </w:r>
      <w:r>
        <w:rPr>
          <w:highlight w:val="yellow"/>
          <w:lang w:val="en-US"/>
        </w:rPr>
        <w:t>128.119.245.12</w:t>
      </w:r>
      <w:r>
        <w:rPr>
          <w:lang w:val="en-US"/>
        </w:rPr>
        <w:t xml:space="preserve">; Its computer port number is </w:t>
      </w:r>
      <w:r>
        <w:rPr>
          <w:highlight w:val="yellow"/>
          <w:lang w:val="en-US"/>
        </w:rPr>
        <w:t>80</w:t>
      </w:r>
      <w:r>
        <w:rPr>
          <w:lang w:val="en-US"/>
        </w:rPr>
        <w:t>.</w:t>
      </w:r>
    </w:p>
    <w:p>
      <w:pPr>
        <w:numPr>
          <w:numId w:val="0"/>
        </w:numPr>
        <w:rPr>
          <w:lang w:val="en-US"/>
        </w:rPr>
      </w:pPr>
    </w:p>
    <w:p>
      <w:pPr>
        <w:jc w:val="center"/>
      </w:pPr>
      <w:bookmarkStart w:id="0" w:name="_GoBack"/>
      <w:bookmarkEnd w:id="0"/>
      <w:r>
        <w:drawing>
          <wp:inline distT="0" distB="0" distL="114300" distR="114300">
            <wp:extent cx="5267960" cy="1768475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  <w:r>
        <w:rPr>
          <w:lang w:val="en-US"/>
        </w:rPr>
        <w:t>Figure 2. My TCP capture</w:t>
      </w:r>
    </w:p>
    <w:p>
      <w:pPr>
        <w:numPr>
          <w:numId w:val="0"/>
        </w:num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client computer IP address is: </w:t>
      </w:r>
      <w:r>
        <w:rPr>
          <w:highlight w:val="yellow"/>
          <w:lang w:val="en-US"/>
        </w:rPr>
        <w:t>172.16.26.211</w:t>
      </w:r>
      <w:r>
        <w:rPr>
          <w:lang w:val="en-US"/>
        </w:rPr>
        <w:t xml:space="preserve">; My client computer port number is </w:t>
      </w:r>
      <w:r>
        <w:rPr>
          <w:highlight w:val="yellow"/>
          <w:lang w:val="en-US"/>
        </w:rPr>
        <w:t>56056</w:t>
      </w:r>
      <w:r>
        <w:rPr>
          <w:lang w:val="en-US"/>
        </w:rPr>
        <w:t>.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71770" cy="2806700"/>
            <wp:effectExtent l="0" t="0" r="508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lang w:val="en-US"/>
        </w:rPr>
      </w:pPr>
      <w:r>
        <w:rPr>
          <w:lang w:val="en-US"/>
        </w:rPr>
        <w:t>Figure 3. Seq number and indication</w:t>
      </w:r>
    </w:p>
    <w:p>
      <w:pPr>
        <w:numPr>
          <w:numId w:val="0"/>
        </w:num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initial sequence number is </w:t>
      </w:r>
      <w:r>
        <w:rPr>
          <w:highlight w:val="yellow"/>
          <w:lang w:val="en-US"/>
        </w:rPr>
        <w:t>0 (Seq=0)</w:t>
      </w:r>
      <w:r>
        <w:rPr>
          <w:lang w:val="en-US"/>
        </w:rPr>
        <w:t xml:space="preserve">. The SYN flag is set to </w:t>
      </w:r>
      <w:r>
        <w:rPr>
          <w:highlight w:val="yellow"/>
          <w:lang w:val="en-US"/>
        </w:rPr>
        <w:t>1 ([SYN])</w:t>
      </w:r>
      <w:r>
        <w:rPr>
          <w:lang w:val="en-US"/>
        </w:rPr>
        <w:t xml:space="preserve"> which indicates a SYN segment.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jc w:val="center"/>
        <w:rPr>
          <w:lang w:val="en-US"/>
        </w:rPr>
      </w:pPr>
      <w:r>
        <w:drawing>
          <wp:inline distT="0" distB="0" distL="114300" distR="114300">
            <wp:extent cx="5267960" cy="2846070"/>
            <wp:effectExtent l="0" t="0" r="8890" b="1143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6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lang w:val="en-US"/>
        </w:rPr>
      </w:pPr>
      <w:r>
        <w:rPr>
          <w:lang w:val="en-US"/>
        </w:rPr>
        <w:t>Figure 4. SYNACK pack</w:t>
      </w:r>
    </w:p>
    <w:p>
      <w:pPr>
        <w:numPr>
          <w:numId w:val="0"/>
        </w:num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sequence number of the SYNACK segment has the value of </w:t>
      </w:r>
      <w:r>
        <w:rPr>
          <w:highlight w:val="yellow"/>
          <w:lang w:val="en-US"/>
        </w:rPr>
        <w:t>0</w:t>
      </w:r>
      <w:r>
        <w:rPr>
          <w:lang w:val="en-US"/>
        </w:rPr>
        <w:t xml:space="preserve"> in this trace. The value of ACK in the SYNACK is </w:t>
      </w:r>
      <w:r>
        <w:rPr>
          <w:highlight w:val="yellow"/>
          <w:lang w:val="en-US"/>
        </w:rPr>
        <w:t>1</w:t>
      </w:r>
      <w:r>
        <w:rPr>
          <w:lang w:val="en-US"/>
        </w:rPr>
        <w:t xml:space="preserve">. The value is determined by the destination by </w:t>
      </w:r>
      <w:r>
        <w:rPr>
          <w:highlight w:val="yellow"/>
          <w:lang w:val="en-US"/>
        </w:rPr>
        <w:t>adding 1</w:t>
      </w:r>
      <w:r>
        <w:rPr>
          <w:lang w:val="en-US"/>
        </w:rPr>
        <w:t xml:space="preserve"> to the initial sequence number of SYN segment from the client computer. The SYN flag and ACK flag are set to 1. They indicate that this segment is a SYNACK segment.</w:t>
      </w:r>
    </w:p>
    <w:p>
      <w:pPr>
        <w:numPr>
          <w:numId w:val="0"/>
        </w:numPr>
        <w:rPr>
          <w:lang w:val="en-US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6055" cy="2440940"/>
            <wp:effectExtent l="0" t="0" r="1079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lang w:val="en-US"/>
        </w:rPr>
      </w:pPr>
      <w:r>
        <w:rPr>
          <w:lang w:val="en-US"/>
        </w:rPr>
        <w:t>Figure 5.HTTP POST command</w:t>
      </w:r>
    </w:p>
    <w:p>
      <w:pPr>
        <w:numPr>
          <w:numId w:val="0"/>
        </w:num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sequence number is </w:t>
      </w:r>
      <w:r>
        <w:rPr>
          <w:highlight w:val="yellow"/>
          <w:lang w:val="en-US"/>
        </w:rPr>
        <w:t>164041</w:t>
      </w:r>
      <w:r>
        <w:rPr>
          <w:lang w:val="en-US"/>
        </w:rPr>
        <w:t>.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7960" cy="2702560"/>
            <wp:effectExtent l="0" t="0" r="8890" b="254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lang w:val="en-US"/>
        </w:rPr>
      </w:pPr>
      <w:r>
        <w:rPr>
          <w:lang w:val="en-US"/>
        </w:rPr>
        <w:t>Figure 6. HTTP POST segments</w:t>
      </w:r>
    </w:p>
    <w:p>
      <w:pPr>
        <w:numPr>
          <w:numId w:val="0"/>
        </w:num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HTTP POST segment is considered as the first segment, segment 1-6 are NO. 4,5,7,8,10,and 11in this trace. The ACKs are 6,9,12,14,15,and 16. By examining each TCP segment, the sequence numbers is the following:</w:t>
      </w:r>
    </w:p>
    <w:p>
      <w:pPr>
        <w:numPr>
          <w:numId w:val="0"/>
        </w:numPr>
        <w:rPr>
          <w:lang w:val="en-US"/>
        </w:rPr>
      </w:pPr>
      <w:r>
        <w:drawing>
          <wp:inline distT="0" distB="0" distL="114300" distR="114300">
            <wp:extent cx="4218940" cy="361950"/>
            <wp:effectExtent l="0" t="0" r="1016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lang w:val="en-US"/>
        </w:rPr>
      </w:pPr>
      <w:r>
        <w:rPr>
          <w:lang w:val="en-US"/>
        </w:rPr>
        <w:t>Segment 1: 1</w:t>
      </w:r>
    </w:p>
    <w:p>
      <w:pPr>
        <w:numPr>
          <w:numId w:val="0"/>
        </w:numPr>
        <w:ind w:firstLine="420" w:firstLineChars="0"/>
        <w:rPr>
          <w:lang w:val="en-US"/>
        </w:rPr>
      </w:pPr>
      <w:r>
        <w:rPr>
          <w:lang w:val="en-US"/>
        </w:rPr>
        <w:t>Segment 2: 566</w:t>
      </w:r>
    </w:p>
    <w:p>
      <w:pPr>
        <w:numPr>
          <w:numId w:val="0"/>
        </w:numPr>
        <w:rPr>
          <w:lang w:val="en-US"/>
        </w:rPr>
      </w:pPr>
      <w:r>
        <w:drawing>
          <wp:inline distT="0" distB="0" distL="114300" distR="114300">
            <wp:extent cx="4314190" cy="381000"/>
            <wp:effectExtent l="0" t="0" r="1016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lang w:val="en-US"/>
        </w:rPr>
      </w:pPr>
      <w:r>
        <w:rPr>
          <w:lang w:val="en-US"/>
        </w:rPr>
        <w:t>Segment 3:2026</w:t>
      </w:r>
    </w:p>
    <w:p>
      <w:pPr>
        <w:numPr>
          <w:numId w:val="0"/>
        </w:numPr>
        <w:ind w:firstLine="420" w:firstLineChars="0"/>
        <w:rPr>
          <w:lang w:val="en-US"/>
        </w:rPr>
      </w:pPr>
      <w:r>
        <w:rPr>
          <w:lang w:val="en-US"/>
        </w:rPr>
        <w:t>Segment 4: 3486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352290" cy="361950"/>
            <wp:effectExtent l="0" t="0" r="1016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lang w:val="en-US"/>
        </w:rPr>
      </w:pPr>
      <w:r>
        <w:rPr>
          <w:lang w:val="en-US"/>
        </w:rPr>
        <w:t>Segment 5:4946</w:t>
      </w:r>
    </w:p>
    <w:p>
      <w:pPr>
        <w:numPr>
          <w:numId w:val="0"/>
        </w:numPr>
        <w:ind w:firstLine="420" w:firstLineChars="0"/>
        <w:rPr>
          <w:lang w:val="en-US"/>
        </w:rPr>
      </w:pPr>
      <w:r>
        <w:rPr>
          <w:lang w:val="en-US"/>
        </w:rPr>
        <w:t>Segment 6:6406</w:t>
      </w:r>
    </w:p>
    <w:p>
      <w:pPr>
        <w:numPr>
          <w:numId w:val="0"/>
        </w:numPr>
        <w:ind w:firstLine="420" w:firstLineChars="0"/>
        <w:rPr>
          <w:lang w:val="en-US"/>
        </w:rPr>
      </w:pP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Raw send/received time data:</w:t>
      </w:r>
    </w:p>
    <w:p>
      <w:pPr>
        <w:numPr>
          <w:numId w:val="0"/>
        </w:numPr>
      </w:pPr>
      <w:r>
        <w:drawing>
          <wp:inline distT="0" distB="0" distL="114300" distR="114300">
            <wp:extent cx="981075" cy="2124075"/>
            <wp:effectExtent l="0" t="0" r="9525" b="952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RTT data is obtained under: Transmission Control Protocol -&gt; [SEQ/ACL analysis]</w:t>
      </w:r>
    </w:p>
    <w:p>
      <w:pPr>
        <w:numPr>
          <w:numId w:val="0"/>
        </w:numPr>
        <w:rPr>
          <w:lang w:val="en-US"/>
        </w:rPr>
      </w:pPr>
    </w:p>
    <w:tbl>
      <w:tblPr>
        <w:tblStyle w:val="4"/>
        <w:tblW w:w="84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5"/>
        <w:gridCol w:w="1705"/>
        <w:gridCol w:w="1697"/>
        <w:gridCol w:w="168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Segment Number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Sent Time</w:t>
            </w:r>
          </w:p>
        </w:tc>
        <w:tc>
          <w:tcPr>
            <w:tcW w:w="1697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Received Time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Sample RTT(seconds)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Estimated RTT(seconds)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1(first)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righ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0.026477</w:t>
            </w:r>
          </w:p>
        </w:tc>
        <w:tc>
          <w:tcPr>
            <w:tcW w:w="1697" w:type="dxa"/>
          </w:tcPr>
          <w:p>
            <w:pPr>
              <w:numPr>
                <w:numId w:val="0"/>
              </w:numPr>
              <w:jc w:val="righ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0.053937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0.02746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0.02746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righ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0.041737</w:t>
            </w:r>
          </w:p>
        </w:tc>
        <w:tc>
          <w:tcPr>
            <w:tcW w:w="1697" w:type="dxa"/>
          </w:tcPr>
          <w:p>
            <w:pPr>
              <w:numPr>
                <w:numId w:val="0"/>
              </w:numPr>
              <w:jc w:val="righ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0.077294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vertAlign w:val="baseline"/>
                <w:lang w:val="en-US"/>
              </w:rPr>
            </w:pPr>
            <w:r>
              <w:rPr>
                <w:shd w:val="clear" w:fill="FBE5D6" w:themeFill="accent2" w:themeFillTint="32"/>
                <w:vertAlign w:val="baseline"/>
                <w:lang w:val="en-US"/>
              </w:rPr>
              <w:t>0.035557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0.0285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23" w:hRule="atLeast"/>
        </w:trPr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0.054026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0.124085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vertAlign w:val="baseline"/>
                <w:lang w:val="en-US"/>
              </w:rPr>
            </w:pPr>
            <w:r>
              <w:rPr>
                <w:shd w:val="clear" w:fill="F7CAAC" w:themeFill="accent2" w:themeFillTint="66"/>
                <w:vertAlign w:val="baseline"/>
                <w:lang w:val="en-US"/>
              </w:rPr>
              <w:t>0.070059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0.0337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4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0.054690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0.169118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vertAlign w:val="baseline"/>
                <w:lang w:val="en-US"/>
              </w:rPr>
            </w:pPr>
            <w:r>
              <w:rPr>
                <w:shd w:val="clear" w:fill="F4B083" w:themeFill="accent2" w:themeFillTint="99"/>
                <w:vertAlign w:val="baseline"/>
                <w:lang w:val="en-US"/>
              </w:rPr>
              <w:t>0.11443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0.0438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5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0.077405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0.217299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vertAlign w:val="baseline"/>
                <w:lang w:val="en-US"/>
              </w:rPr>
            </w:pPr>
            <w:r>
              <w:rPr>
                <w:shd w:val="clear" w:fill="C55911" w:themeFill="accent2" w:themeFillShade="BF"/>
                <w:vertAlign w:val="baseline"/>
                <w:lang w:val="en-US"/>
              </w:rPr>
              <w:t>0.13989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0.0558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6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0.078157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0.267802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vertAlign w:val="baseline"/>
                <w:lang w:val="en-US"/>
              </w:rPr>
            </w:pPr>
            <w:r>
              <w:rPr>
                <w:shd w:val="clear" w:fill="823B0B" w:themeFill="accent2" w:themeFillShade="7F"/>
                <w:vertAlign w:val="baseline"/>
                <w:lang w:val="en-US"/>
              </w:rPr>
              <w:t>0.18964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0.0725</w:t>
            </w:r>
          </w:p>
        </w:tc>
      </w:tr>
    </w:tbl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Calculation for Estimated RTT: 0.875 * Estimated + 0.125 * Sample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#1: Segment 1 = </w:t>
      </w:r>
      <w:r>
        <w:rPr>
          <w:shd w:val="clear" w:fill="C5E0B3" w:themeFill="accent6" w:themeFillTint="66"/>
          <w:lang w:val="en-US"/>
        </w:rPr>
        <w:t>0.02746</w:t>
      </w:r>
      <w:r>
        <w:rPr>
          <w:lang w:val="en-US"/>
        </w:rPr>
        <w:t xml:space="preserve"> secs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#2: Estimated =  (0.875) * (</w:t>
      </w:r>
      <w:r>
        <w:rPr>
          <w:shd w:val="clear" w:fill="C5E0B3" w:themeFill="accent6" w:themeFillTint="66"/>
          <w:lang w:val="en-US"/>
        </w:rPr>
        <w:t>above from above</w:t>
      </w:r>
      <w:r>
        <w:rPr>
          <w:lang w:val="en-US"/>
        </w:rPr>
        <w:t xml:space="preserve">) + (0.125) * </w:t>
      </w:r>
      <w:r>
        <w:rPr>
          <w:shd w:val="clear" w:fill="FBE5D6" w:themeFill="accent2" w:themeFillTint="32"/>
          <w:lang w:val="en-US"/>
        </w:rPr>
        <w:t>Sample RTT</w:t>
      </w:r>
      <w:r>
        <w:rPr>
          <w:lang w:val="en-US"/>
        </w:rPr>
        <w:t xml:space="preserve"> = </w:t>
      </w:r>
      <w:r>
        <w:rPr>
          <w:shd w:val="clear" w:fill="FEF2CC" w:themeFill="accent4" w:themeFillTint="32"/>
          <w:lang w:val="en-US"/>
        </w:rPr>
        <w:t>0.0285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#3: Estimated =  (0.875) * (</w:t>
      </w:r>
      <w:r>
        <w:rPr>
          <w:highlight w:val="none"/>
          <w:shd w:val="clear" w:fill="FEF2CC" w:themeFill="accent4" w:themeFillTint="32"/>
          <w:lang w:val="en-US"/>
        </w:rPr>
        <w:t>above from above)</w:t>
      </w:r>
      <w:r>
        <w:rPr>
          <w:lang w:val="en-US"/>
        </w:rPr>
        <w:t xml:space="preserve"> + (0.125) * </w:t>
      </w:r>
      <w:r>
        <w:rPr>
          <w:shd w:val="clear" w:fill="F7CAAC" w:themeFill="accent2" w:themeFillTint="66"/>
          <w:lang w:val="en-US"/>
        </w:rPr>
        <w:t>Sample RTT</w:t>
      </w:r>
      <w:r>
        <w:rPr>
          <w:lang w:val="en-US"/>
        </w:rPr>
        <w:t xml:space="preserve"> = </w:t>
      </w:r>
      <w:r>
        <w:rPr>
          <w:shd w:val="clear" w:fill="FFE599" w:themeFill="accent4" w:themeFillTint="66"/>
          <w:lang w:val="en-US"/>
        </w:rPr>
        <w:t>0.0337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#4: Estimated =  (0.875) * (</w:t>
      </w:r>
      <w:r>
        <w:rPr>
          <w:shd w:val="clear" w:fill="FFE599" w:themeFill="accent4" w:themeFillTint="66"/>
          <w:lang w:val="en-US"/>
        </w:rPr>
        <w:t>above from above</w:t>
      </w:r>
      <w:r>
        <w:rPr>
          <w:lang w:val="en-US"/>
        </w:rPr>
        <w:t xml:space="preserve">) + (0.125) * </w:t>
      </w:r>
      <w:r>
        <w:rPr>
          <w:shd w:val="clear" w:fill="F4B083" w:themeFill="accent2" w:themeFillTint="99"/>
          <w:lang w:val="en-US"/>
        </w:rPr>
        <w:t>Sample RTT</w:t>
      </w:r>
      <w:r>
        <w:rPr>
          <w:lang w:val="en-US"/>
        </w:rPr>
        <w:t xml:space="preserve"> = </w:t>
      </w:r>
      <w:r>
        <w:rPr>
          <w:shd w:val="clear" w:fill="FFD965" w:themeFill="accent4" w:themeFillTint="99"/>
          <w:lang w:val="en-US"/>
        </w:rPr>
        <w:t>0.0438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#5: Estimated =  (0.875) * (</w:t>
      </w:r>
      <w:r>
        <w:rPr>
          <w:shd w:val="clear" w:fill="FFD965" w:themeFill="accent4" w:themeFillTint="99"/>
          <w:lang w:val="en-US"/>
        </w:rPr>
        <w:t>above from above</w:t>
      </w:r>
      <w:r>
        <w:rPr>
          <w:lang w:val="en-US"/>
        </w:rPr>
        <w:t xml:space="preserve">) + (0.125) * </w:t>
      </w:r>
      <w:r>
        <w:rPr>
          <w:shd w:val="clear" w:fill="C55911" w:themeFill="accent2" w:themeFillShade="BF"/>
          <w:lang w:val="en-US"/>
        </w:rPr>
        <w:t>Sample RTT</w:t>
      </w:r>
      <w:r>
        <w:rPr>
          <w:lang w:val="en-US"/>
        </w:rPr>
        <w:t xml:space="preserve"> = </w:t>
      </w:r>
      <w:r>
        <w:rPr>
          <w:shd w:val="clear" w:fill="BE8F00" w:themeFill="accent4" w:themeFillShade="BF"/>
          <w:lang w:val="en-US"/>
        </w:rPr>
        <w:t>0.0558</w:t>
      </w:r>
    </w:p>
    <w:p>
      <w:pPr>
        <w:numPr>
          <w:ilvl w:val="0"/>
          <w:numId w:val="0"/>
        </w:numPr>
        <w:rPr>
          <w:shd w:val="clear" w:fill="7E5F00" w:themeFill="accent4" w:themeFillShade="7F"/>
          <w:lang w:val="en-US"/>
        </w:rPr>
      </w:pPr>
      <w:r>
        <w:rPr>
          <w:lang w:val="en-US"/>
        </w:rPr>
        <w:t>#6: Estimated =  (0.875) * (</w:t>
      </w:r>
      <w:r>
        <w:rPr>
          <w:shd w:val="clear" w:fill="BE8F00" w:themeFill="accent4" w:themeFillShade="BF"/>
          <w:lang w:val="en-US"/>
        </w:rPr>
        <w:t>above from above</w:t>
      </w:r>
      <w:r>
        <w:rPr>
          <w:lang w:val="en-US"/>
        </w:rPr>
        <w:t xml:space="preserve">) + (0.125) * </w:t>
      </w:r>
      <w:r>
        <w:rPr>
          <w:shd w:val="clear" w:fill="823B0B" w:themeFill="accent2" w:themeFillShade="7F"/>
          <w:lang w:val="en-US"/>
        </w:rPr>
        <w:t>Sample RTT</w:t>
      </w:r>
      <w:r>
        <w:rPr>
          <w:lang w:val="en-US"/>
        </w:rPr>
        <w:t xml:space="preserve"> = </w:t>
      </w:r>
      <w:r>
        <w:rPr>
          <w:shd w:val="clear" w:fill="7E5F00" w:themeFill="accent4" w:themeFillShade="7F"/>
          <w:lang w:val="en-US"/>
        </w:rPr>
        <w:t>0.0725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4904105" cy="3201035"/>
            <wp:effectExtent l="0" t="0" r="10795" b="1841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4105" cy="320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Figure 7. Round Trip Time Graph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438525" cy="1136650"/>
            <wp:effectExtent l="0" t="0" r="9525" b="635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lang w:val="en-US"/>
        </w:rPr>
      </w:pPr>
      <w:r>
        <w:rPr>
          <w:lang w:val="en-US"/>
        </w:rPr>
        <w:t>Figure 8. First TCP</w:t>
      </w:r>
    </w:p>
    <w:p>
      <w:pPr>
        <w:numPr>
          <w:numId w:val="0"/>
        </w:numPr>
        <w:jc w:val="center"/>
        <w:rPr>
          <w:lang w:val="en-US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315970" cy="930910"/>
            <wp:effectExtent l="0" t="0" r="17780" b="254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93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lang w:val="en-US"/>
        </w:rPr>
      </w:pPr>
      <w:r>
        <w:rPr>
          <w:lang w:val="en-US"/>
        </w:rPr>
        <w:t>Figure 9. 2-6 TCP</w:t>
      </w:r>
    </w:p>
    <w:p>
      <w:pPr>
        <w:numPr>
          <w:numId w:val="0"/>
        </w:num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first TCP segment is </w:t>
      </w:r>
      <w:r>
        <w:rPr>
          <w:highlight w:val="yellow"/>
          <w:lang w:val="en-US"/>
        </w:rPr>
        <w:t>565 bytes</w:t>
      </w:r>
      <w:r>
        <w:rPr>
          <w:lang w:val="en-US"/>
        </w:rPr>
        <w:t xml:space="preserve">, and the rest five TCP segments are </w:t>
      </w:r>
      <w:r>
        <w:rPr>
          <w:highlight w:val="yellow"/>
          <w:lang w:val="en-US"/>
        </w:rPr>
        <w:t>1460 bytes</w:t>
      </w:r>
      <w:r>
        <w:rPr>
          <w:lang w:val="en-US"/>
        </w:rPr>
        <w:t>.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73675" cy="278130"/>
            <wp:effectExtent l="0" t="0" r="3175" b="762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lang w:val="en-US"/>
        </w:rPr>
      </w:pPr>
      <w:r>
        <w:rPr>
          <w:lang w:val="en-US"/>
        </w:rPr>
        <w:t>Figure 10. Min. buffer space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72405" cy="305435"/>
            <wp:effectExtent l="0" t="0" r="4445" b="1841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lang w:val="en-US"/>
        </w:rPr>
      </w:pPr>
      <w:r>
        <w:rPr>
          <w:lang w:val="en-US"/>
        </w:rPr>
        <w:t>Figure .11. Max. buffer space</w:t>
      </w:r>
    </w:p>
    <w:p>
      <w:pPr>
        <w:numPr>
          <w:numId w:val="0"/>
        </w:num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minimum amount of buffer space is </w:t>
      </w:r>
      <w:r>
        <w:rPr>
          <w:highlight w:val="yellow"/>
          <w:lang w:val="en-US"/>
        </w:rPr>
        <w:t>5840 bytes</w:t>
      </w:r>
      <w:r>
        <w:rPr>
          <w:lang w:val="en-US"/>
        </w:rPr>
        <w:t xml:space="preserve">, which is the first ACK. The maximum amount of buffer space is </w:t>
      </w:r>
      <w:r>
        <w:rPr>
          <w:highlight w:val="yellow"/>
          <w:lang w:val="en-US"/>
        </w:rPr>
        <w:t>62780 bytes</w:t>
      </w:r>
      <w:r>
        <w:rPr>
          <w:lang w:val="en-US"/>
        </w:rPr>
        <w:t>. The send is never throttled due to lacking of receiver buffer space.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 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695190" cy="3112135"/>
            <wp:effectExtent l="0" t="0" r="10160" b="1206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311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lang w:val="en-US"/>
        </w:rPr>
      </w:pPr>
      <w:r>
        <w:rPr>
          <w:lang w:val="en-US"/>
        </w:rPr>
        <w:t>Figure 11. Time Sequence Graph</w:t>
      </w:r>
    </w:p>
    <w:p>
      <w:pPr>
        <w:numPr>
          <w:numId w:val="0"/>
        </w:num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are </w:t>
      </w:r>
      <w:r>
        <w:rPr>
          <w:highlight w:val="yellow"/>
          <w:lang w:val="en-US"/>
        </w:rPr>
        <w:t>no re-transmitted segments</w:t>
      </w:r>
      <w:r>
        <w:rPr>
          <w:lang w:val="en-US"/>
        </w:rPr>
        <w:t xml:space="preserve"> in this file. Based on Fig. 11, all sequence is grow steadily and accordingly. If there was a re-transmission, the sequence should be smaller than previous.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8595" cy="1327150"/>
            <wp:effectExtent l="0" t="0" r="8255" b="635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lang w:val="en-US"/>
        </w:rPr>
      </w:pPr>
      <w:r>
        <w:rPr>
          <w:lang w:val="en-US"/>
        </w:rPr>
        <w:t>Figure 12. Typical ACK data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7960" cy="1447165"/>
            <wp:effectExtent l="0" t="0" r="8890" b="635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lang w:val="en-US"/>
        </w:rPr>
      </w:pPr>
      <w:r>
        <w:rPr>
          <w:lang w:val="en-US"/>
        </w:rPr>
        <w:t>Figure 13. Example of every other received segment.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Simple calculation:</w:t>
      </w:r>
    </w:p>
    <w:tbl>
      <w:tblPr>
        <w:tblStyle w:val="4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39"/>
        <w:gridCol w:w="2840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9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ACKs</w:t>
            </w:r>
          </w:p>
        </w:tc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Data</w:t>
            </w:r>
          </w:p>
        </w:tc>
        <w:tc>
          <w:tcPr>
            <w:tcW w:w="2839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Different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9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2840" w:type="dxa"/>
          </w:tcPr>
          <w:p>
            <w:pPr>
              <w:numPr>
                <w:numId w:val="0"/>
              </w:numPr>
              <w:jc w:val="righ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566</w:t>
            </w:r>
          </w:p>
        </w:tc>
        <w:tc>
          <w:tcPr>
            <w:tcW w:w="2839" w:type="dxa"/>
          </w:tcPr>
          <w:p>
            <w:pPr>
              <w:numPr>
                <w:numId w:val="0"/>
              </w:numPr>
              <w:jc w:val="righ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566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9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</w:t>
            </w:r>
          </w:p>
        </w:tc>
        <w:tc>
          <w:tcPr>
            <w:tcW w:w="2840" w:type="dxa"/>
          </w:tcPr>
          <w:p>
            <w:pPr>
              <w:numPr>
                <w:numId w:val="0"/>
              </w:numPr>
              <w:jc w:val="righ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2026</w:t>
            </w:r>
          </w:p>
        </w:tc>
        <w:tc>
          <w:tcPr>
            <w:tcW w:w="2839" w:type="dxa"/>
          </w:tcPr>
          <w:p>
            <w:pPr>
              <w:numPr>
                <w:numId w:val="0"/>
              </w:numPr>
              <w:jc w:val="righ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1460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39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</w:t>
            </w:r>
          </w:p>
        </w:tc>
        <w:tc>
          <w:tcPr>
            <w:tcW w:w="2840" w:type="dxa"/>
          </w:tcPr>
          <w:p>
            <w:pPr>
              <w:numPr>
                <w:numId w:val="0"/>
              </w:numPr>
              <w:jc w:val="righ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3486</w:t>
            </w:r>
          </w:p>
        </w:tc>
        <w:tc>
          <w:tcPr>
            <w:tcW w:w="2839" w:type="dxa"/>
          </w:tcPr>
          <w:p>
            <w:pPr>
              <w:numPr>
                <w:numId w:val="0"/>
              </w:numPr>
              <w:jc w:val="righ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1460</w:t>
            </w:r>
          </w:p>
        </w:tc>
      </w:tr>
    </w:tbl>
    <w:p>
      <w:pPr>
        <w:numPr>
          <w:numId w:val="0"/>
        </w:numPr>
        <w:rPr>
          <w:lang w:val="en-US"/>
        </w:rPr>
      </w:pPr>
      <w:r>
        <w:rPr>
          <w:lang w:val="en-US"/>
        </w:rPr>
        <w:t>…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11. Typical ACKs data is </w:t>
      </w:r>
      <w:r>
        <w:rPr>
          <w:highlight w:val="yellow"/>
          <w:lang w:val="en-US"/>
        </w:rPr>
        <w:t>1460 bytes</w:t>
      </w:r>
      <w:r>
        <w:rPr>
          <w:lang w:val="en-US"/>
        </w:rPr>
        <w:t xml:space="preserve">. Through observing the files, there are cases where the receiver is ACKing ever other segment. For example, in Fig. 13, </w:t>
      </w:r>
      <w:r>
        <w:rPr>
          <w:highlight w:val="yellow"/>
          <w:lang w:val="en-US"/>
        </w:rPr>
        <w:t>No. 80 with 2920 b</w:t>
      </w:r>
      <w:r>
        <w:rPr>
          <w:lang w:val="en-US"/>
        </w:rPr>
        <w:t>yes.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12. First: Find total data; Second: find total time; Third: use total time divide total data to find speed (throughput)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The last ACK is 164091 bytes; then, the total data is 164091 - 1 = </w:t>
      </w:r>
      <w:r>
        <w:rPr>
          <w:highlight w:val="yellow"/>
          <w:lang w:val="en-US"/>
        </w:rPr>
        <w:t>164090 byes</w:t>
      </w:r>
      <w:r>
        <w:rPr>
          <w:lang w:val="en-US"/>
        </w:rPr>
        <w:t xml:space="preserve">. The whole transmission time is the difference of the time instant of the first TCP segment (0.026477 secs) and last ACK (5.455830 SECS); then, the total time is 5.455830 - 0.026477 = </w:t>
      </w:r>
      <w:r>
        <w:rPr>
          <w:highlight w:val="yellow"/>
          <w:lang w:val="en-US"/>
        </w:rPr>
        <w:t>5.4294 secs</w:t>
      </w:r>
      <w:r>
        <w:rPr>
          <w:lang w:val="en-US"/>
        </w:rPr>
        <w:t xml:space="preserve">. Then the total speed is 164090 / 5.4294 = </w:t>
      </w:r>
      <w:r>
        <w:rPr>
          <w:highlight w:val="yellow"/>
          <w:lang w:val="en-US"/>
        </w:rPr>
        <w:t>30.222Kbyes/sec</w:t>
      </w:r>
      <w:r>
        <w:rPr>
          <w:lang w:val="en-US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84581"/>
    <w:multiLevelType w:val="singleLevel"/>
    <w:tmpl w:val="58B8458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E7940"/>
    <w:rsid w:val="11DB01A5"/>
    <w:rsid w:val="2A4F040C"/>
    <w:rsid w:val="37760F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2017-03-02T15:39:28Z</dcterms:created>
  <dc:creator>wxy52</dc:creator>
  <cp:lastModifiedBy>wxy52</cp:lastModifiedBy>
  <dcterms:modified xsi:type="dcterms:W3CDTF">2017-03-02T18:01:25Z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