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240"/>
        <w:jc w:val="center"/>
        <w:rPr/>
      </w:pPr>
      <w:r>
        <w:rPr>
          <w:b/>
          <w:i w:val="false"/>
          <w:color w:val="1A237E"/>
          <w:sz w:val="56"/>
        </w:rPr>
        <w:t>Battery-Powered ESP32</w:t>
        <w:br/>
        <w:t>Air Quality Monitoring System</w:t>
      </w:r>
    </w:p>
    <w:p>
      <w:pPr>
        <w:pStyle w:val="Normal"/>
        <w:jc w:val="center"/>
        <w:rPr/>
      </w:pPr>
      <w:r>
        <w:rPr>
          <w:color w:val="1A237E"/>
          <w:sz w:val="24"/>
        </w:rPr>
        <w:t>━━━━━━━━━━━━━━━━━━━━━━━━━━━━━━━━━━━━━━━━━━━━━━━━━━</w:t>
      </w:r>
    </w:p>
    <w:p>
      <w:pPr>
        <w:pStyle w:val="Normal"/>
        <w:spacing w:before="0" w:after="600"/>
        <w:jc w:val="center"/>
        <w:rPr/>
      </w:pPr>
      <w:r>
        <w:rPr>
          <w:b/>
          <w:i w:val="false"/>
          <w:color w:val="333333"/>
          <w:sz w:val="40"/>
        </w:rPr>
        <w:t>PCB Design Report</w:t>
      </w:r>
    </w:p>
    <w:p>
      <w:pPr>
        <w:pStyle w:val="Normal"/>
        <w:spacing w:before="0" w:after="80"/>
        <w:jc w:val="center"/>
        <w:rPr/>
      </w:pPr>
      <w:r>
        <w:rPr>
          <w:b/>
          <w:i w:val="false"/>
          <w:color w:val="000000"/>
          <w:sz w:val="28"/>
        </w:rPr>
        <w:t>Submitted to:</w:t>
      </w:r>
    </w:p>
    <w:p>
      <w:pPr>
        <w:pStyle w:val="Normal"/>
        <w:spacing w:before="0" w:after="400"/>
        <w:jc w:val="center"/>
        <w:rPr/>
      </w:pPr>
      <w:r>
        <w:rPr>
          <w:b w:val="false"/>
          <w:i w:val="false"/>
          <w:color w:val="333333"/>
          <w:sz w:val="28"/>
        </w:rPr>
        <w:t>FOSSEE, Indian Institute of Technology Bombay</w:t>
      </w:r>
    </w:p>
    <w:p>
      <w:pPr>
        <w:pStyle w:val="Normal"/>
        <w:spacing w:before="0" w:after="80"/>
        <w:jc w:val="center"/>
        <w:rPr/>
      </w:pPr>
      <w:r>
        <w:rPr>
          <w:b/>
          <w:i w:val="false"/>
          <w:color w:val="000000"/>
          <w:sz w:val="28"/>
        </w:rPr>
        <w:t>Under the Project:</w:t>
      </w:r>
    </w:p>
    <w:p>
      <w:pPr>
        <w:pStyle w:val="Normal"/>
        <w:spacing w:before="0" w:after="800"/>
        <w:jc w:val="center"/>
        <w:rPr/>
      </w:pPr>
      <w:r>
        <w:rPr>
          <w:b w:val="false"/>
          <w:i w:val="false"/>
          <w:color w:val="333333"/>
          <w:sz w:val="28"/>
        </w:rPr>
        <w:t>FOSSEE eSim PCB Design</w:t>
      </w:r>
    </w:p>
    <w:p>
      <w:pPr>
        <w:pStyle w:val="Normal"/>
        <w:jc w:val="center"/>
        <w:rPr/>
      </w:pPr>
      <w:r>
        <w:rPr>
          <w:color w:val="1A237E"/>
          <w:sz w:val="24"/>
        </w:rPr>
        <w:t>━━━━━━━━━━━━━━━━━━━━━━━━━━━━━━━━━━━━━━━━━━━━━━━━━━</w:t>
      </w:r>
    </w:p>
    <w:p>
      <w:pPr>
        <w:pStyle w:val="Normal"/>
        <w:rPr/>
      </w:pPr>
      <w:r>
        <w:rPr/>
      </w:r>
    </w:p>
    <w:p>
      <w:pPr>
        <w:pStyle w:val="Normal"/>
        <w:spacing w:before="0" w:after="80"/>
        <w:jc w:val="center"/>
        <w:rPr/>
      </w:pPr>
      <w:r>
        <w:rPr>
          <w:b/>
          <w:i w:val="false"/>
          <w:color w:val="000000"/>
          <w:sz w:val="26"/>
        </w:rPr>
        <w:t>Submitted By:</w:t>
      </w:r>
    </w:p>
    <w:p>
      <w:pPr>
        <w:pStyle w:val="Normal"/>
        <w:spacing w:before="0" w:after="160"/>
        <w:jc w:val="center"/>
        <w:rPr/>
      </w:pPr>
      <w:r>
        <w:rPr>
          <w:b/>
          <w:i w:val="false"/>
          <w:color w:val="1A237E"/>
          <w:sz w:val="32"/>
        </w:rPr>
        <w:t>Haridharan D</w:t>
      </w:r>
    </w:p>
    <w:p>
      <w:pPr>
        <w:pStyle w:val="Normal"/>
        <w:spacing w:before="0" w:after="80"/>
        <w:jc w:val="center"/>
        <w:rPr/>
      </w:pPr>
      <w:r>
        <w:rPr>
          <w:b w:val="false"/>
          <w:i/>
          <w:color w:val="333333"/>
          <w:sz w:val="26"/>
        </w:rPr>
        <w:t>Chennai Institute of Technology,</w:t>
      </w:r>
    </w:p>
    <w:p>
      <w:pPr>
        <w:pStyle w:val="Normal"/>
        <w:spacing w:before="0" w:after="80"/>
        <w:jc w:val="center"/>
        <w:rPr/>
      </w:pPr>
      <w:r>
        <w:rPr>
          <w:b w:val="false"/>
          <w:i/>
          <w:color w:val="333333"/>
          <w:sz w:val="26"/>
        </w:rPr>
        <w:t>Chennai.</w:t>
      </w:r>
    </w:p>
    <w:p>
      <w:pPr>
        <w:pStyle w:val="Normal"/>
        <w:rPr/>
      </w:pPr>
      <w:r>
        <w:rPr/>
      </w:r>
      <w:r>
        <w:br w:type="page"/>
      </w:r>
    </w:p>
    <w:p>
      <w:pPr>
        <w:pStyle w:val="Normal"/>
        <w:rPr/>
      </w:pPr>
      <w:r>
        <w:rPr/>
      </w:r>
    </w:p>
    <w:p>
      <w:pPr>
        <w:pStyle w:val="Normal"/>
        <w:spacing w:before="0" w:after="600"/>
        <w:jc w:val="center"/>
        <w:rPr/>
      </w:pPr>
      <w:r>
        <w:rPr>
          <w:b/>
          <w:i w:val="false"/>
          <w:color w:val="1A237E"/>
          <w:sz w:val="48"/>
        </w:rPr>
        <w:t>CERTIFICATE</w:t>
      </w:r>
    </w:p>
    <w:p>
      <w:pPr>
        <w:pStyle w:val="Normal"/>
        <w:spacing w:lineRule="auto" w:line="480" w:before="0" w:after="240"/>
        <w:jc w:val="both"/>
        <w:rPr/>
      </w:pPr>
      <w:r>
        <w:rPr>
          <w:b w:val="false"/>
          <w:sz w:val="24"/>
        </w:rPr>
        <w:t xml:space="preserve">This is to certify that the project report entitled </w:t>
      </w:r>
      <w:r>
        <w:rPr>
          <w:b/>
          <w:sz w:val="24"/>
        </w:rPr>
        <w:t>"Battery-Powered ESP32 Air Quality Monitoring System"</w:t>
      </w:r>
      <w:r>
        <w:rPr>
          <w:b w:val="false"/>
          <w:sz w:val="24"/>
        </w:rPr>
        <w:t xml:space="preserve"> is a bona fide record of the PCB design work carried out by </w:t>
      </w:r>
      <w:r>
        <w:rPr>
          <w:b/>
          <w:sz w:val="24"/>
        </w:rPr>
        <w:t>Haridharan D</w:t>
      </w:r>
      <w:r>
        <w:rPr>
          <w:b w:val="false"/>
          <w:sz w:val="24"/>
        </w:rPr>
        <w:t xml:space="preserve"> from </w:t>
      </w:r>
      <w:r>
        <w:rPr>
          <w:b/>
          <w:sz w:val="24"/>
        </w:rPr>
        <w:t>Chennai Institute of Technology</w:t>
      </w:r>
      <w:r>
        <w:rPr>
          <w:b w:val="false"/>
          <w:sz w:val="24"/>
        </w:rPr>
        <w:t>, under the FOSSEE eSim PCB Design Internship/Marathon, Indian Institute of Technology Bombay.</w:t>
      </w:r>
    </w:p>
    <w:p>
      <w:pPr>
        <w:pStyle w:val="Normal"/>
        <w:rPr/>
      </w:pPr>
      <w:r>
        <w:rPr/>
      </w:r>
    </w:p>
    <w:p>
      <w:pPr>
        <w:pStyle w:val="Normal"/>
        <w:spacing w:lineRule="auto" w:line="480"/>
        <w:jc w:val="both"/>
        <w:rPr/>
      </w:pPr>
      <w:r>
        <w:rPr>
          <w:sz w:val="24"/>
        </w:rPr>
        <w:t>The design, schematic capture, footprint assignment, PCB layout, and design verification processes have been executed fulfilling all the requirements and guidelines of the FOSSEE eSim PCB Design Project. The report is an accurate and original documentation of the work performed.</w:t>
      </w:r>
    </w:p>
    <w:p>
      <w:pPr>
        <w:pStyle w:val="Normal"/>
        <w:rPr/>
      </w:pPr>
      <w:r>
        <w:rPr/>
      </w:r>
    </w:p>
    <w:p>
      <w:pPr>
        <w:pStyle w:val="Normal"/>
        <w:rPr/>
      </w:pPr>
      <w:r>
        <w:rPr/>
      </w:r>
    </w:p>
    <w:p>
      <w:pPr>
        <w:pStyle w:val="Normal"/>
        <w:rPr/>
      </w:pPr>
      <w:r>
        <w:rPr>
          <w:b/>
        </w:rPr>
        <w:t xml:space="preserve">Date: 23:08:2026</w:t>
      </w:r>
    </w:p>
    <w:p>
      <w:pPr>
        <w:pStyle w:val="Normal"/>
        <w:rPr/>
      </w:pPr>
      <w:r>
        <w:rPr>
          <w:b/>
        </w:rPr>
        <w:t xml:space="preserve">Place: Chennai</w:t>
      </w:r>
    </w:p>
    <w:p>
      <w:pPr>
        <w:pStyle w:val="Normal"/>
        <w:rPr/>
      </w:pPr>
      <w:r>
        <w:rPr/>
      </w:r>
    </w:p>
    <w:p>
      <w:pPr>
        <w:pStyle w:val="Normal"/>
        <w:rPr/>
      </w:pPr>
      <w:r>
        <w:rPr/>
      </w:r>
    </w:p>
    <w:p>
      <w:pPr>
        <w:pStyle w:val="Normal"/>
        <w:rPr/>
      </w:pPr>
      <w:r>
        <w:rPr/>
      </w:r>
    </w:p>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cPr>
          <w:p>
            <w:pPr>
              <w:pStyle w:val="Normal"/>
              <w:widowControl w:val="false"/>
              <w:spacing w:before="0" w:after="120"/>
              <w:jc w:val="center"/>
              <w:rPr/>
            </w:pPr>
            <w:r>
              <w:rPr/>
              <w:t>________________________</w:t>
            </w:r>
          </w:p>
        </w:tc>
        <w:tc>
          <w:tcPr>
            <w:tcW w:w="4679" w:type="dxa"/>
            <w:tcBorders/>
          </w:tcPr>
          <w:p>
            <w:pPr>
              <w:pStyle w:val="Normal"/>
              <w:widowControl w:val="false"/>
              <w:spacing w:before="0" w:after="120"/>
              <w:jc w:val="center"/>
              <w:rPr/>
            </w:pPr>
            <w:r>
              <w:rPr/>
              <w:t>________________________</w:t>
            </w:r>
          </w:p>
        </w:tc>
      </w:tr>
    </w:tbl>
    <w:p>
      <w:pPr>
        <w:pStyle w:val="Normal"/>
        <w:rPr/>
      </w:pPr>
      <w:r>
        <w:rPr/>
      </w:r>
      <w:r>
        <w:br w:type="page"/>
      </w:r>
    </w:p>
    <w:p>
      <w:pPr>
        <w:pStyle w:val="Normal"/>
        <w:spacing w:before="0" w:after="480"/>
        <w:jc w:val="center"/>
        <w:rPr/>
      </w:pPr>
      <w:r>
        <w:rPr>
          <w:b/>
          <w:i w:val="false"/>
          <w:color w:val="1A237E"/>
          <w:sz w:val="48"/>
        </w:rPr>
        <w:t>ACKNOWLEDGEMENT</w:t>
      </w:r>
    </w:p>
    <w:p>
      <w:pPr>
        <w:pStyle w:val="Normal"/>
        <w:spacing w:before="0" w:after="120"/>
        <w:jc w:val="both"/>
        <w:rPr/>
      </w:pPr>
      <w:r>
        <w:rPr>
          <w:b w:val="false"/>
          <w:i w:val="false"/>
          <w:color w:val="000000"/>
          <w:sz w:val="24"/>
        </w:rPr>
        <w:t>I would like to express my profound gratitude to the FOSSEE Project, Indian Institute of Technology Bombay, for providing the platform and opportunity to participate in the eSim PCB Design program. The open-source tools provided by the FOSSEE team have been instrumental in bridging the gap between theoretical circuit design and practical hardware implementation.</w:t>
      </w:r>
    </w:p>
    <w:p>
      <w:pPr>
        <w:pStyle w:val="Normal"/>
        <w:spacing w:before="0" w:after="120"/>
        <w:jc w:val="both"/>
        <w:rPr/>
      </w:pPr>
      <w:r>
        <w:rPr>
          <w:b w:val="false"/>
          <w:i w:val="false"/>
          <w:color w:val="000000"/>
          <w:sz w:val="24"/>
        </w:rPr>
        <w:t>I extend my sincere thanks to my mentors and the technical support team at FOSSEE for their invaluable guidance, prompt feedback, and continuous encouragement throughout the various stages of this project. Their expertise in electronic design automation was pivotal in overcoming the design challenges encountered during the PCB layout and verification phases.</w:t>
      </w:r>
    </w:p>
    <w:p>
      <w:pPr>
        <w:pStyle w:val="Normal"/>
        <w:spacing w:before="0" w:after="120"/>
        <w:jc w:val="both"/>
        <w:rPr/>
      </w:pPr>
      <w:r>
        <w:rPr>
          <w:b w:val="false"/>
          <w:i w:val="false"/>
          <w:color w:val="000000"/>
          <w:sz w:val="24"/>
        </w:rPr>
        <w:t>Furthermore, I am deeply thankful to Chennai Institute of Technology and the faculty members of the Department of Electronics and Communication Engineering for equipping me with the foundational knowledge essential for understanding complex embedded systems, analog circuit design, and PCB layout techniques.</w:t>
      </w:r>
    </w:p>
    <w:p>
      <w:pPr>
        <w:pStyle w:val="Normal"/>
        <w:spacing w:before="0" w:after="120"/>
        <w:jc w:val="both"/>
        <w:rPr/>
      </w:pPr>
      <w:r>
        <w:rPr>
          <w:b w:val="false"/>
          <w:i w:val="false"/>
          <w:color w:val="000000"/>
          <w:sz w:val="24"/>
        </w:rPr>
        <w:t>I also acknowledge the contributions of the open-source community behind KiCad, Ngspice, and the broader EDA ecosystem, whose tireless development efforts make professional-grade hardware design accessible to students and researchers worldwide.</w:t>
      </w:r>
    </w:p>
    <w:p>
      <w:pPr>
        <w:pStyle w:val="Normal"/>
        <w:spacing w:before="0" w:after="120"/>
        <w:jc w:val="both"/>
        <w:rPr/>
      </w:pPr>
      <w:r>
        <w:rPr>
          <w:b w:val="false"/>
          <w:i w:val="false"/>
          <w:color w:val="000000"/>
          <w:sz w:val="24"/>
        </w:rPr>
        <w:t>Finally, I would like to thank my peers and family for their unwavering support and motivation during the course of this project.</w:t>
      </w:r>
    </w:p>
    <w:p>
      <w:pPr>
        <w:pStyle w:val="Normal"/>
        <w:rPr/>
      </w:pPr>
      <w:r>
        <w:rPr/>
      </w:r>
    </w:p>
    <w:p>
      <w:pPr>
        <w:pStyle w:val="Normal"/>
        <w:rPr/>
      </w:pPr>
      <w:r>
        <w:rPr/>
      </w:r>
    </w:p>
    <w:p>
      <w:pPr>
        <w:pStyle w:val="Normal"/>
        <w:spacing w:before="0" w:after="80"/>
        <w:jc w:val="right"/>
        <w:rPr/>
      </w:pPr>
      <w:r>
        <w:rPr>
          <w:b/>
          <w:i w:val="false"/>
          <w:color w:val="000000"/>
          <w:sz w:val="26"/>
        </w:rPr>
        <w:t>Haridharan D</w:t>
      </w:r>
    </w:p>
    <w:p>
      <w:pPr>
        <w:pStyle w:val="Normal"/>
        <w:rPr/>
      </w:pPr>
      <w:r>
        <w:rPr/>
      </w:r>
      <w:r>
        <w:br w:type="page"/>
      </w:r>
    </w:p>
    <w:p>
      <w:pPr>
        <w:pStyle w:val="Normal"/>
        <w:spacing w:before="0" w:after="480"/>
        <w:jc w:val="center"/>
        <w:rPr/>
      </w:pPr>
      <w:r>
        <w:rPr>
          <w:b/>
          <w:i w:val="false"/>
          <w:color w:val="1A237E"/>
          <w:sz w:val="48"/>
        </w:rPr>
        <w:t>ABSTRACT</w:t>
      </w:r>
    </w:p>
    <w:p>
      <w:pPr>
        <w:pStyle w:val="Normal"/>
        <w:spacing w:before="0" w:after="120"/>
        <w:jc w:val="both"/>
        <w:rPr/>
      </w:pPr>
      <w:r>
        <w:rPr>
          <w:b w:val="false"/>
          <w:i w:val="false"/>
          <w:color w:val="000000"/>
          <w:sz w:val="24"/>
        </w:rPr>
        <w:t>The rapid industrialization and urbanization across the globe have led to severe environmental degradation, making real-time air quality monitoring a critical necessity for safeguarding public health. This report details the complete design and implementation of a compact, battery-powered ESP32-based Air Quality Monitoring System printed circuit board (PCB). Designed utilizing the FOSSEE eSim electronic design automation (EDA) toolkit with integrated KiCad functionality, the system serves as a portable Internet of Things (IoT) node capable of accurate and continuous environmental sensing.</w:t>
      </w:r>
    </w:p>
    <w:p>
      <w:pPr>
        <w:pStyle w:val="Normal"/>
        <w:spacing w:before="0" w:after="120"/>
        <w:jc w:val="both"/>
        <w:rPr/>
      </w:pPr>
      <w:r>
        <w:rPr>
          <w:b w:val="false"/>
          <w:i w:val="false"/>
          <w:color w:val="000000"/>
          <w:sz w:val="24"/>
        </w:rPr>
        <w:t>A primary distinguishing feature of this design is the implementation of a soft power latching mechanism utilizing a P-channel MOSFET switching topology. This innovative circuit ensures absolute zero quiescent current during the powered-off state, thereby maximizing the operational lifespan of the portable lithium-ion or lithium-polymer battery. To maintain system voltage stability across the varying battery discharge curve, a high-efficiency MT3608 boost converter elevates the battery voltage to a stable 5V intermediate bus, which is subsequently regulated to a clean 3.3V logic rail by an AMS1117 low-dropout linear regulator.</w:t>
      </w:r>
    </w:p>
    <w:p>
      <w:pPr>
        <w:pStyle w:val="Normal"/>
        <w:spacing w:before="0" w:after="120"/>
        <w:jc w:val="both"/>
        <w:rPr/>
      </w:pPr>
      <w:r>
        <w:rPr>
          <w:b w:val="false"/>
          <w:i w:val="false"/>
          <w:color w:val="000000"/>
          <w:sz w:val="24"/>
        </w:rPr>
        <w:t>The core processing unit, an ESP32-WROOM-32 module, offers robust dual-core processing capabilities alongside integrated Wi-Fi and Bluetooth Low Energy (BLE) connectivity for wireless data transmission to cloud platforms. For high-precision analog sensor acquisition, the design incorporates an ADS1115 16-bit analog-to-digital converter communicating via the I²C protocol, providing measurement resolution far exceeding the built-in ADC capabilities of standard microcontrollers. The two-layer PCB layout has been meticulously optimized on a standard FR4 substrate, strictly adhering to design rules, electromagnetic compatibility guidelines, and efficient component placement strategies. The resulting hardware provides a reliable, scalable, and open-source foundation for diverse portable environmental monitoring applications.</w:t>
      </w:r>
    </w:p>
    <w:p>
      <w:pPr>
        <w:pStyle w:val="Normal"/>
        <w:rPr/>
      </w:pPr>
      <w:r>
        <w:rPr/>
      </w:r>
      <w:r>
        <w:br w:type="page"/>
      </w:r>
    </w:p>
    <w:p>
      <w:pPr>
        <w:pStyle w:val="Normal"/>
        <w:spacing w:before="0" w:after="480"/>
        <w:jc w:val="center"/>
        <w:rPr/>
      </w:pPr>
      <w:r>
        <w:rPr>
          <w:b/>
          <w:i w:val="false"/>
          <w:color w:val="1A237E"/>
          <w:sz w:val="48"/>
        </w:rPr>
        <w:t>TABLE OF CONTENTS</w:t>
      </w:r>
    </w:p>
    <w:p>
      <w:pPr>
        <w:pStyle w:val="Normal"/>
        <w:tabs>
          <w:tab w:val="clear" w:pos="720"/>
          <w:tab w:val="right" w:pos="8640" w:leader="dot"/>
        </w:tabs>
        <w:spacing w:before="40" w:after="40"/>
        <w:rPr/>
      </w:pPr>
      <w:r>
        <w:rPr>
          <w:b/>
          <w:sz w:val="24"/>
        </w:rPr>
        <w:t>Certificate</w:t>
      </w:r>
      <w:r>
        <w:rPr/>
        <w:tab/>
      </w:r>
      <w:r>
        <w:rPr>
          <w:sz w:val="24"/>
        </w:rPr>
        <w:t>ii</w:t>
      </w:r>
    </w:p>
    <w:p>
      <w:pPr>
        <w:pStyle w:val="Normal"/>
        <w:tabs>
          <w:tab w:val="clear" w:pos="720"/>
          <w:tab w:val="right" w:pos="8640" w:leader="dot"/>
        </w:tabs>
        <w:spacing w:before="40" w:after="40"/>
        <w:rPr/>
      </w:pPr>
      <w:r>
        <w:rPr>
          <w:b/>
          <w:sz w:val="24"/>
        </w:rPr>
        <w:t>Acknowledgement</w:t>
      </w:r>
      <w:r>
        <w:rPr/>
        <w:tab/>
      </w:r>
      <w:r>
        <w:rPr>
          <w:sz w:val="24"/>
        </w:rPr>
        <w:t>iii</w:t>
      </w:r>
    </w:p>
    <w:p>
      <w:pPr>
        <w:pStyle w:val="Normal"/>
        <w:tabs>
          <w:tab w:val="clear" w:pos="720"/>
          <w:tab w:val="right" w:pos="8640" w:leader="dot"/>
        </w:tabs>
        <w:spacing w:before="40" w:after="40"/>
        <w:rPr/>
      </w:pPr>
      <w:r>
        <w:rPr>
          <w:b/>
          <w:sz w:val="24"/>
        </w:rPr>
        <w:t>Abstract</w:t>
      </w:r>
      <w:r>
        <w:rPr/>
        <w:tab/>
      </w:r>
      <w:r>
        <w:rPr>
          <w:sz w:val="24"/>
        </w:rPr>
        <w:t>iv</w:t>
      </w:r>
    </w:p>
    <w:p>
      <w:pPr>
        <w:pStyle w:val="Normal"/>
        <w:tabs>
          <w:tab w:val="clear" w:pos="720"/>
          <w:tab w:val="right" w:pos="8640" w:leader="dot"/>
        </w:tabs>
        <w:spacing w:before="40" w:after="40"/>
        <w:rPr/>
      </w:pPr>
      <w:r>
        <w:rPr>
          <w:b/>
          <w:sz w:val="24"/>
        </w:rPr>
        <w:t>List of Figures</w:t>
      </w:r>
      <w:r>
        <w:rPr/>
        <w:tab/>
      </w:r>
      <w:r>
        <w:rPr>
          <w:sz w:val="24"/>
        </w:rPr>
        <w:t>vi</w:t>
      </w:r>
    </w:p>
    <w:p>
      <w:pPr>
        <w:pStyle w:val="Normal"/>
        <w:tabs>
          <w:tab w:val="clear" w:pos="720"/>
          <w:tab w:val="right" w:pos="8640" w:leader="dot"/>
        </w:tabs>
        <w:spacing w:before="40" w:after="40"/>
        <w:rPr/>
      </w:pPr>
      <w:r>
        <w:rPr>
          <w:b/>
          <w:sz w:val="24"/>
        </w:rPr>
        <w:t>List of Tables</w:t>
      </w:r>
      <w:r>
        <w:rPr/>
        <w:tab/>
      </w:r>
      <w:r>
        <w:rPr>
          <w:sz w:val="24"/>
        </w:rPr>
        <w:t>vii</w:t>
      </w:r>
    </w:p>
    <w:p>
      <w:pPr>
        <w:pStyle w:val="Normal"/>
        <w:tabs>
          <w:tab w:val="clear" w:pos="720"/>
          <w:tab w:val="right" w:pos="8640" w:leader="dot"/>
        </w:tabs>
        <w:spacing w:before="40" w:after="40"/>
        <w:rPr/>
      </w:pPr>
      <w:r>
        <w:rPr>
          <w:b/>
          <w:sz w:val="24"/>
        </w:rPr>
        <w:t>1.  Introduction</w:t>
      </w:r>
      <w:r>
        <w:rPr/>
        <w:tab/>
      </w:r>
      <w:r>
        <w:rPr>
          <w:sz w:val="24"/>
        </w:rPr>
        <w:t>1</w:t>
      </w:r>
    </w:p>
    <w:p>
      <w:pPr>
        <w:pStyle w:val="Normal"/>
        <w:tabs>
          <w:tab w:val="clear" w:pos="720"/>
          <w:tab w:val="right" w:pos="8640" w:leader="dot"/>
        </w:tabs>
        <w:spacing w:before="40" w:after="40"/>
        <w:rPr/>
      </w:pPr>
      <w:r>
        <w:rPr>
          <w:b/>
          <w:sz w:val="24"/>
        </w:rPr>
        <w:t>2.  Main Functional Blocks</w:t>
      </w:r>
      <w:r>
        <w:rPr/>
        <w:tab/>
      </w:r>
      <w:r>
        <w:rPr>
          <w:sz w:val="24"/>
        </w:rPr>
        <w:t>2</w:t>
      </w:r>
    </w:p>
    <w:p>
      <w:pPr>
        <w:pStyle w:val="Normal"/>
        <w:tabs>
          <w:tab w:val="clear" w:pos="720"/>
          <w:tab w:val="right" w:pos="8640" w:leader="dot"/>
        </w:tabs>
        <w:spacing w:before="40" w:after="40"/>
        <w:rPr/>
      </w:pPr>
      <w:r>
        <w:rPr>
          <w:sz w:val="24"/>
        </w:rPr>
        <w:t xml:space="preserve">     2.1  Battery Power System</w:t>
      </w:r>
      <w:r>
        <w:rPr/>
        <w:tab/>
      </w:r>
      <w:r>
        <w:rPr>
          <w:sz w:val="24"/>
        </w:rPr>
        <w:t>2</w:t>
      </w:r>
    </w:p>
    <w:p>
      <w:pPr>
        <w:pStyle w:val="Normal"/>
        <w:tabs>
          <w:tab w:val="clear" w:pos="720"/>
          <w:tab w:val="right" w:pos="8640" w:leader="dot"/>
        </w:tabs>
        <w:spacing w:before="40" w:after="40"/>
        <w:rPr/>
      </w:pPr>
      <w:r>
        <w:rPr>
          <w:sz w:val="24"/>
        </w:rPr>
        <w:t xml:space="preserve">     2.2  Soft Power Latching Circuit</w:t>
      </w:r>
      <w:r>
        <w:rPr/>
        <w:tab/>
      </w:r>
      <w:r>
        <w:rPr>
          <w:sz w:val="24"/>
        </w:rPr>
        <w:t>2</w:t>
      </w:r>
    </w:p>
    <w:p>
      <w:pPr>
        <w:pStyle w:val="Normal"/>
        <w:tabs>
          <w:tab w:val="clear" w:pos="720"/>
          <w:tab w:val="right" w:pos="8640" w:leader="dot"/>
        </w:tabs>
        <w:spacing w:before="40" w:after="40"/>
        <w:rPr/>
      </w:pPr>
      <w:r>
        <w:rPr>
          <w:sz w:val="24"/>
        </w:rPr>
        <w:t xml:space="preserve">     2.3  Boost Converter (MT3608)</w:t>
      </w:r>
      <w:r>
        <w:rPr/>
        <w:tab/>
      </w:r>
      <w:r>
        <w:rPr>
          <w:sz w:val="24"/>
        </w:rPr>
        <w:t>3</w:t>
      </w:r>
    </w:p>
    <w:p>
      <w:pPr>
        <w:pStyle w:val="Normal"/>
        <w:tabs>
          <w:tab w:val="clear" w:pos="720"/>
          <w:tab w:val="right" w:pos="8640" w:leader="dot"/>
        </w:tabs>
        <w:spacing w:before="40" w:after="40"/>
        <w:rPr/>
      </w:pPr>
      <w:r>
        <w:rPr>
          <w:sz w:val="24"/>
        </w:rPr>
        <w:t xml:space="preserve">     2.4  Voltage Regulation (AMS1117-3.3)</w:t>
      </w:r>
      <w:r>
        <w:rPr/>
        <w:tab/>
      </w:r>
      <w:r>
        <w:rPr>
          <w:sz w:val="24"/>
        </w:rPr>
        <w:t>3</w:t>
      </w:r>
    </w:p>
    <w:p>
      <w:pPr>
        <w:pStyle w:val="Normal"/>
        <w:tabs>
          <w:tab w:val="clear" w:pos="720"/>
          <w:tab w:val="right" w:pos="8640" w:leader="dot"/>
        </w:tabs>
        <w:spacing w:before="40" w:after="40"/>
        <w:rPr/>
      </w:pPr>
      <w:r>
        <w:rPr>
          <w:sz w:val="24"/>
        </w:rPr>
        <w:t xml:space="preserve">     2.5  ESP32 Controller</w:t>
      </w:r>
      <w:r>
        <w:rPr/>
        <w:tab/>
      </w:r>
      <w:r>
        <w:rPr>
          <w:sz w:val="24"/>
        </w:rPr>
        <w:t>4</w:t>
      </w:r>
    </w:p>
    <w:p>
      <w:pPr>
        <w:pStyle w:val="Normal"/>
        <w:tabs>
          <w:tab w:val="clear" w:pos="720"/>
          <w:tab w:val="right" w:pos="8640" w:leader="dot"/>
        </w:tabs>
        <w:spacing w:before="40" w:after="40"/>
        <w:rPr/>
      </w:pPr>
      <w:r>
        <w:rPr>
          <w:sz w:val="24"/>
        </w:rPr>
        <w:t xml:space="preserve">     2.6  ADS1115 ADC</w:t>
      </w:r>
      <w:r>
        <w:rPr/>
        <w:tab/>
      </w:r>
      <w:r>
        <w:rPr>
          <w:sz w:val="24"/>
        </w:rPr>
        <w:t>4</w:t>
      </w:r>
    </w:p>
    <w:p>
      <w:pPr>
        <w:pStyle w:val="Normal"/>
        <w:tabs>
          <w:tab w:val="clear" w:pos="720"/>
          <w:tab w:val="right" w:pos="8640" w:leader="dot"/>
        </w:tabs>
        <w:spacing w:before="40" w:after="40"/>
        <w:rPr/>
      </w:pPr>
      <w:r>
        <w:rPr>
          <w:sz w:val="24"/>
        </w:rPr>
        <w:t xml:space="preserve">     2.7  Air Quality Sensor Interface</w:t>
      </w:r>
      <w:r>
        <w:rPr/>
        <w:tab/>
      </w:r>
      <w:r>
        <w:rPr>
          <w:sz w:val="24"/>
        </w:rPr>
        <w:t>5</w:t>
      </w:r>
    </w:p>
    <w:p>
      <w:pPr>
        <w:pStyle w:val="Normal"/>
        <w:tabs>
          <w:tab w:val="clear" w:pos="720"/>
          <w:tab w:val="right" w:pos="8640" w:leader="dot"/>
        </w:tabs>
        <w:spacing w:before="40" w:after="40"/>
        <w:rPr/>
      </w:pPr>
      <w:r>
        <w:rPr>
          <w:b/>
          <w:sz w:val="24"/>
        </w:rPr>
        <w:t>3.  Schematic Design</w:t>
      </w:r>
      <w:r>
        <w:rPr/>
        <w:tab/>
      </w:r>
      <w:r>
        <w:rPr>
          <w:sz w:val="24"/>
        </w:rPr>
        <w:t>6</w:t>
      </w:r>
    </w:p>
    <w:p>
      <w:pPr>
        <w:pStyle w:val="Normal"/>
        <w:tabs>
          <w:tab w:val="clear" w:pos="720"/>
          <w:tab w:val="right" w:pos="8640" w:leader="dot"/>
        </w:tabs>
        <w:spacing w:before="40" w:after="40"/>
        <w:rPr/>
      </w:pPr>
      <w:r>
        <w:rPr>
          <w:b/>
          <w:sz w:val="24"/>
        </w:rPr>
        <w:t>4.  Footprint Assignment</w:t>
      </w:r>
      <w:r>
        <w:rPr/>
        <w:tab/>
      </w:r>
      <w:r>
        <w:rPr>
          <w:sz w:val="24"/>
        </w:rPr>
        <w:t>7</w:t>
      </w:r>
    </w:p>
    <w:p>
      <w:pPr>
        <w:pStyle w:val="Normal"/>
        <w:tabs>
          <w:tab w:val="clear" w:pos="720"/>
          <w:tab w:val="right" w:pos="8640" w:leader="dot"/>
        </w:tabs>
        <w:spacing w:before="40" w:after="40"/>
        <w:rPr/>
      </w:pPr>
      <w:r>
        <w:rPr>
          <w:b/>
          <w:sz w:val="24"/>
        </w:rPr>
        <w:t>5.  PCB Layout</w:t>
      </w:r>
      <w:r>
        <w:rPr/>
        <w:tab/>
      </w:r>
      <w:r>
        <w:rPr>
          <w:sz w:val="24"/>
        </w:rPr>
        <w:t>8</w:t>
      </w:r>
    </w:p>
    <w:p>
      <w:pPr>
        <w:pStyle w:val="Normal"/>
        <w:tabs>
          <w:tab w:val="clear" w:pos="720"/>
          <w:tab w:val="right" w:pos="8640" w:leader="dot"/>
        </w:tabs>
        <w:spacing w:before="40" w:after="40"/>
        <w:rPr/>
      </w:pPr>
      <w:r>
        <w:rPr>
          <w:b/>
          <w:sz w:val="24"/>
        </w:rPr>
        <w:t>6.  Software Used</w:t>
      </w:r>
      <w:r>
        <w:rPr/>
        <w:tab/>
      </w:r>
      <w:r>
        <w:rPr>
          <w:sz w:val="24"/>
        </w:rPr>
        <w:t>10</w:t>
      </w:r>
    </w:p>
    <w:p>
      <w:pPr>
        <w:pStyle w:val="Normal"/>
        <w:tabs>
          <w:tab w:val="clear" w:pos="720"/>
          <w:tab w:val="right" w:pos="8640" w:leader="dot"/>
        </w:tabs>
        <w:spacing w:before="40" w:after="40"/>
        <w:rPr/>
      </w:pPr>
      <w:r>
        <w:rPr>
          <w:b/>
          <w:sz w:val="24"/>
        </w:rPr>
        <w:t>7.  Design Flow</w:t>
      </w:r>
      <w:r>
        <w:rPr/>
        <w:tab/>
      </w:r>
      <w:r>
        <w:rPr>
          <w:sz w:val="24"/>
        </w:rPr>
        <w:t>11</w:t>
      </w:r>
    </w:p>
    <w:p>
      <w:pPr>
        <w:pStyle w:val="Normal"/>
        <w:tabs>
          <w:tab w:val="clear" w:pos="720"/>
          <w:tab w:val="right" w:pos="8640" w:leader="dot"/>
        </w:tabs>
        <w:spacing w:before="40" w:after="40"/>
        <w:rPr/>
      </w:pPr>
      <w:r>
        <w:rPr>
          <w:b/>
          <w:sz w:val="24"/>
        </w:rPr>
        <w:t>8.  Expected Working / System Operation</w:t>
      </w:r>
      <w:r>
        <w:rPr/>
        <w:tab/>
      </w:r>
      <w:r>
        <w:rPr>
          <w:sz w:val="24"/>
        </w:rPr>
        <w:t>12</w:t>
      </w:r>
    </w:p>
    <w:p>
      <w:pPr>
        <w:pStyle w:val="Normal"/>
        <w:tabs>
          <w:tab w:val="clear" w:pos="720"/>
          <w:tab w:val="right" w:pos="8640" w:leader="dot"/>
        </w:tabs>
        <w:spacing w:before="40" w:after="40"/>
        <w:rPr/>
      </w:pPr>
      <w:r>
        <w:rPr>
          <w:b/>
          <w:sz w:val="24"/>
        </w:rPr>
        <w:t>9.  Design Advantages</w:t>
      </w:r>
      <w:r>
        <w:rPr/>
        <w:tab/>
      </w:r>
      <w:r>
        <w:rPr>
          <w:sz w:val="24"/>
        </w:rPr>
        <w:t>13</w:t>
      </w:r>
    </w:p>
    <w:p>
      <w:pPr>
        <w:pStyle w:val="Normal"/>
        <w:tabs>
          <w:tab w:val="clear" w:pos="720"/>
          <w:tab w:val="right" w:pos="8640" w:leader="dot"/>
        </w:tabs>
        <w:spacing w:before="40" w:after="40"/>
        <w:rPr/>
      </w:pPr>
      <w:r>
        <w:rPr>
          <w:b/>
          <w:sz w:val="24"/>
        </w:rPr>
        <w:t>10. Applications</w:t>
      </w:r>
      <w:r>
        <w:rPr/>
        <w:tab/>
      </w:r>
      <w:r>
        <w:rPr>
          <w:sz w:val="24"/>
        </w:rPr>
        <w:t>14</w:t>
      </w:r>
    </w:p>
    <w:p>
      <w:pPr>
        <w:pStyle w:val="Normal"/>
        <w:tabs>
          <w:tab w:val="clear" w:pos="720"/>
          <w:tab w:val="right" w:pos="8640" w:leader="dot"/>
        </w:tabs>
        <w:spacing w:before="40" w:after="40"/>
        <w:rPr/>
      </w:pPr>
      <w:r>
        <w:rPr>
          <w:b/>
          <w:sz w:val="24"/>
        </w:rPr>
        <w:t>11. Bill of Materials</w:t>
      </w:r>
      <w:r>
        <w:rPr/>
        <w:tab/>
      </w:r>
      <w:r>
        <w:rPr>
          <w:sz w:val="24"/>
        </w:rPr>
        <w:t>15</w:t>
      </w:r>
    </w:p>
    <w:p>
      <w:pPr>
        <w:pStyle w:val="Normal"/>
        <w:tabs>
          <w:tab w:val="clear" w:pos="720"/>
          <w:tab w:val="right" w:pos="8640" w:leader="dot"/>
        </w:tabs>
        <w:spacing w:before="40" w:after="40"/>
        <w:rPr/>
      </w:pPr>
      <w:r>
        <w:rPr>
          <w:b/>
          <w:sz w:val="24"/>
        </w:rPr>
        <w:t>12. Design Specifications</w:t>
      </w:r>
      <w:r>
        <w:rPr/>
        <w:tab/>
      </w:r>
      <w:r>
        <w:rPr>
          <w:sz w:val="24"/>
        </w:rPr>
        <w:t>16</w:t>
      </w:r>
    </w:p>
    <w:p>
      <w:pPr>
        <w:pStyle w:val="Normal"/>
        <w:tabs>
          <w:tab w:val="clear" w:pos="720"/>
          <w:tab w:val="right" w:pos="8640" w:leader="dot"/>
        </w:tabs>
        <w:spacing w:before="40" w:after="40"/>
        <w:rPr/>
      </w:pPr>
      <w:r>
        <w:rPr>
          <w:b/>
          <w:sz w:val="24"/>
        </w:rPr>
        <w:t>13. Results</w:t>
      </w:r>
      <w:r>
        <w:rPr/>
        <w:tab/>
      </w:r>
      <w:r>
        <w:rPr>
          <w:sz w:val="24"/>
        </w:rPr>
        <w:t>17</w:t>
      </w:r>
    </w:p>
    <w:p>
      <w:pPr>
        <w:pStyle w:val="Normal"/>
        <w:tabs>
          <w:tab w:val="clear" w:pos="720"/>
          <w:tab w:val="right" w:pos="8640" w:leader="dot"/>
        </w:tabs>
        <w:spacing w:before="40" w:after="40"/>
        <w:rPr/>
      </w:pPr>
      <w:r>
        <w:rPr>
          <w:b/>
          <w:sz w:val="24"/>
        </w:rPr>
        <w:t>14. Conclusion</w:t>
      </w:r>
      <w:r>
        <w:rPr/>
        <w:tab/>
      </w:r>
      <w:r>
        <w:rPr>
          <w:sz w:val="24"/>
        </w:rPr>
        <w:t>23</w:t>
      </w:r>
    </w:p>
    <w:p>
      <w:pPr>
        <w:pStyle w:val="Normal"/>
        <w:tabs>
          <w:tab w:val="clear" w:pos="720"/>
          <w:tab w:val="right" w:pos="8640" w:leader="dot"/>
        </w:tabs>
        <w:spacing w:before="40" w:after="40"/>
        <w:rPr/>
      </w:pPr>
      <w:r>
        <w:rPr>
          <w:b/>
          <w:sz w:val="24"/>
        </w:rPr>
        <w:t>15. Future Scope</w:t>
      </w:r>
      <w:r>
        <w:rPr/>
        <w:tab/>
      </w:r>
      <w:r>
        <w:rPr>
          <w:sz w:val="24"/>
        </w:rPr>
        <w:t>24</w:t>
      </w:r>
    </w:p>
    <w:p>
      <w:pPr>
        <w:pStyle w:val="Normal"/>
        <w:tabs>
          <w:tab w:val="clear" w:pos="720"/>
          <w:tab w:val="right" w:pos="8640" w:leader="dot"/>
        </w:tabs>
        <w:spacing w:before="40" w:after="40"/>
        <w:rPr/>
      </w:pPr>
      <w:r>
        <w:rPr>
          <w:b/>
          <w:sz w:val="24"/>
        </w:rPr>
        <w:t>16. References</w:t>
      </w:r>
      <w:r>
        <w:rPr/>
        <w:tab/>
      </w:r>
      <w:r>
        <w:rPr>
          <w:sz w:val="24"/>
        </w:rPr>
        <w:t>25</w:t>
      </w:r>
    </w:p>
    <w:p>
      <w:pPr>
        <w:pStyle w:val="Normal"/>
        <w:rPr/>
      </w:pPr>
      <w:r>
        <w:rPr/>
      </w:r>
      <w:r>
        <w:br w:type="page"/>
      </w:r>
    </w:p>
    <w:p>
      <w:pPr>
        <w:pStyle w:val="Normal"/>
        <w:spacing w:before="0" w:after="480"/>
        <w:jc w:val="center"/>
        <w:rPr/>
      </w:pPr>
      <w:r>
        <w:rPr>
          <w:b/>
          <w:i w:val="false"/>
          <w:color w:val="1A237E"/>
          <w:sz w:val="48"/>
        </w:rPr>
        <w:t>LIST OF FIGURES</w:t>
      </w:r>
    </w:p>
    <w:p>
      <w:pPr>
        <w:pStyle w:val="Normal"/>
        <w:tabs>
          <w:tab w:val="clear" w:pos="720"/>
          <w:tab w:val="right" w:pos="8640" w:leader="dot"/>
        </w:tabs>
        <w:spacing w:before="0" w:after="80"/>
        <w:rPr/>
      </w:pPr>
      <w:r>
        <w:rPr>
          <w:b/>
          <w:sz w:val="24"/>
        </w:rPr>
        <w:t xml:space="preserve">Figure 1: </w:t>
      </w:r>
      <w:r>
        <w:rPr>
          <w:sz w:val="24"/>
        </w:rPr>
        <w:t>Circuit Schematic</w:t>
      </w:r>
      <w:r>
        <w:rPr/>
        <w:tab/>
      </w:r>
      <w:r>
        <w:rPr>
          <w:sz w:val="24"/>
        </w:rPr>
        <w:t>17</w:t>
      </w:r>
    </w:p>
    <w:p>
      <w:pPr>
        <w:pStyle w:val="Normal"/>
        <w:tabs>
          <w:tab w:val="clear" w:pos="720"/>
          <w:tab w:val="right" w:pos="8640" w:leader="dot"/>
        </w:tabs>
        <w:spacing w:before="0" w:after="80"/>
        <w:rPr/>
      </w:pPr>
      <w:r>
        <w:rPr>
          <w:b/>
          <w:sz w:val="24"/>
        </w:rPr>
        <w:t xml:space="preserve">Figure 2: </w:t>
      </w:r>
      <w:r>
        <w:rPr>
          <w:sz w:val="24"/>
        </w:rPr>
        <w:t>PCB Layout — All Layers View</w:t>
      </w:r>
      <w:r>
        <w:rPr/>
        <w:tab/>
      </w:r>
      <w:r>
        <w:rPr>
          <w:sz w:val="24"/>
        </w:rPr>
        <w:t>18</w:t>
      </w:r>
    </w:p>
    <w:p>
      <w:pPr>
        <w:pStyle w:val="Normal"/>
        <w:tabs>
          <w:tab w:val="clear" w:pos="720"/>
          <w:tab w:val="right" w:pos="8640" w:leader="dot"/>
        </w:tabs>
        <w:spacing w:before="0" w:after="80"/>
        <w:rPr/>
      </w:pPr>
      <w:r>
        <w:rPr>
          <w:b/>
          <w:sz w:val="24"/>
        </w:rPr>
        <w:t xml:space="preserve">Figure 3: </w:t>
      </w:r>
      <w:r>
        <w:rPr>
          <w:sz w:val="24"/>
        </w:rPr>
        <w:t>PCB Layout — Front Copper Layer (F.Cu)</w:t>
      </w:r>
      <w:r>
        <w:rPr/>
        <w:tab/>
      </w:r>
      <w:r>
        <w:rPr>
          <w:sz w:val="24"/>
        </w:rPr>
        <w:t>19</w:t>
      </w:r>
    </w:p>
    <w:p>
      <w:pPr>
        <w:pStyle w:val="Normal"/>
        <w:tabs>
          <w:tab w:val="clear" w:pos="720"/>
          <w:tab w:val="right" w:pos="8640" w:leader="dot"/>
        </w:tabs>
        <w:spacing w:before="0" w:after="80"/>
        <w:rPr/>
      </w:pPr>
      <w:r>
        <w:rPr>
          <w:b/>
          <w:sz w:val="24"/>
        </w:rPr>
        <w:t xml:space="preserve">Figure 4: </w:t>
      </w:r>
      <w:r>
        <w:rPr>
          <w:sz w:val="24"/>
        </w:rPr>
        <w:t>PCB Layout — Back Copper Layer (B.Cu)</w:t>
      </w:r>
      <w:r>
        <w:rPr/>
        <w:tab/>
      </w:r>
      <w:r>
        <w:rPr>
          <w:sz w:val="24"/>
        </w:rPr>
        <w:t>19</w:t>
      </w:r>
    </w:p>
    <w:p>
      <w:pPr>
        <w:pStyle w:val="Normal"/>
        <w:tabs>
          <w:tab w:val="clear" w:pos="720"/>
          <w:tab w:val="right" w:pos="8640" w:leader="dot"/>
        </w:tabs>
        <w:spacing w:before="0" w:after="80"/>
        <w:rPr/>
      </w:pPr>
      <w:r>
        <w:rPr>
          <w:b/>
          <w:sz w:val="24"/>
        </w:rPr>
        <w:t xml:space="preserve">Figure 5: </w:t>
      </w:r>
      <w:r>
        <w:rPr>
          <w:sz w:val="24"/>
        </w:rPr>
        <w:t>3D PCB Model — Front View</w:t>
      </w:r>
      <w:r>
        <w:rPr/>
        <w:tab/>
      </w:r>
      <w:r>
        <w:rPr>
          <w:sz w:val="24"/>
        </w:rPr>
        <w:t>20</w:t>
      </w:r>
    </w:p>
    <w:p>
      <w:pPr>
        <w:pStyle w:val="Normal"/>
        <w:tabs>
          <w:tab w:val="clear" w:pos="720"/>
          <w:tab w:val="right" w:pos="8640" w:leader="dot"/>
        </w:tabs>
        <w:spacing w:before="0" w:after="80"/>
        <w:rPr/>
      </w:pPr>
      <w:r>
        <w:rPr>
          <w:b/>
          <w:sz w:val="24"/>
        </w:rPr>
        <w:t xml:space="preserve">Figure 6: </w:t>
      </w:r>
      <w:r>
        <w:rPr>
          <w:sz w:val="24"/>
        </w:rPr>
        <w:t>3D PCB Model — Back View</w:t>
      </w:r>
      <w:r>
        <w:rPr/>
        <w:tab/>
      </w:r>
      <w:r>
        <w:rPr>
          <w:sz w:val="24"/>
        </w:rPr>
        <w:t>20</w:t>
      </w:r>
    </w:p>
    <w:p>
      <w:pPr>
        <w:pStyle w:val="Normal"/>
        <w:tabs>
          <w:tab w:val="clear" w:pos="720"/>
          <w:tab w:val="right" w:pos="8640" w:leader="dot"/>
        </w:tabs>
        <w:spacing w:before="0" w:after="80"/>
        <w:rPr/>
      </w:pPr>
      <w:r>
        <w:rPr>
          <w:b/>
          <w:sz w:val="24"/>
        </w:rPr>
        <w:t xml:space="preserve">Figure 7: </w:t>
      </w:r>
      <w:r>
        <w:rPr>
          <w:sz w:val="24"/>
        </w:rPr>
        <w:t>Electrical Rule Check (ERC) Results</w:t>
      </w:r>
      <w:r>
        <w:rPr/>
        <w:tab/>
      </w:r>
      <w:r>
        <w:rPr>
          <w:sz w:val="24"/>
        </w:rPr>
        <w:t>21</w:t>
      </w:r>
    </w:p>
    <w:p>
      <w:pPr>
        <w:pStyle w:val="Normal"/>
        <w:tabs>
          <w:tab w:val="clear" w:pos="720"/>
          <w:tab w:val="right" w:pos="8640" w:leader="dot"/>
        </w:tabs>
        <w:spacing w:before="0" w:after="80"/>
        <w:rPr/>
      </w:pPr>
      <w:r>
        <w:rPr>
          <w:b/>
          <w:sz w:val="24"/>
        </w:rPr>
        <w:t xml:space="preserve">Figure 8: </w:t>
      </w:r>
      <w:r>
        <w:rPr>
          <w:sz w:val="24"/>
        </w:rPr>
        <w:t>Design Rule Check (DRC) Results</w:t>
      </w:r>
      <w:r>
        <w:rPr/>
        <w:tab/>
      </w:r>
      <w:r>
        <w:rPr>
          <w:sz w:val="24"/>
        </w:rPr>
        <w:t>21</w:t>
      </w:r>
    </w:p>
    <w:p>
      <w:pPr>
        <w:pStyle w:val="Normal"/>
        <w:tabs>
          <w:tab w:val="clear" w:pos="720"/>
          <w:tab w:val="right" w:pos="8640" w:leader="dot"/>
        </w:tabs>
        <w:spacing w:before="0" w:after="80"/>
        <w:rPr/>
      </w:pPr>
      <w:r>
        <w:rPr>
          <w:b/>
          <w:sz w:val="24"/>
        </w:rPr>
        <w:t xml:space="preserve">Figure 9: </w:t>
      </w:r>
      <w:r>
        <w:rPr>
          <w:sz w:val="24"/>
        </w:rPr>
        <w:t>Design Flow Diagram</w:t>
      </w:r>
      <w:r>
        <w:rPr/>
        <w:tab/>
      </w:r>
      <w:r>
        <w:rPr>
          <w:sz w:val="24"/>
        </w:rPr>
        <w:t>11</w:t>
      </w:r>
    </w:p>
    <w:p>
      <w:pPr>
        <w:pStyle w:val="Normal"/>
        <w:tabs>
          <w:tab w:val="clear" w:pos="720"/>
          <w:tab w:val="right" w:pos="8640" w:leader="dot"/>
        </w:tabs>
        <w:spacing w:before="0" w:after="80"/>
        <w:rPr/>
      </w:pPr>
      <w:r>
        <w:rPr>
          <w:b/>
          <w:sz w:val="24"/>
        </w:rPr>
        <w:t xml:space="preserve">Figure 10: </w:t>
      </w:r>
      <w:r>
        <w:rPr>
          <w:sz w:val="24"/>
        </w:rPr>
        <w:t>System Operation Flow</w:t>
      </w:r>
      <w:r>
        <w:rPr/>
        <w:tab/>
      </w:r>
      <w:r>
        <w:rPr>
          <w:sz w:val="24"/>
        </w:rPr>
        <w:t>12</w:t>
      </w:r>
    </w:p>
    <w:p>
      <w:pPr>
        <w:pStyle w:val="Normal"/>
        <w:rPr/>
      </w:pPr>
      <w:r>
        <w:rPr/>
      </w:r>
      <w:r>
        <w:br w:type="page"/>
      </w:r>
    </w:p>
    <w:p>
      <w:pPr>
        <w:pStyle w:val="Normal"/>
        <w:spacing w:before="0" w:after="480"/>
        <w:jc w:val="center"/>
        <w:rPr/>
      </w:pPr>
      <w:r>
        <w:rPr>
          <w:b/>
          <w:i w:val="false"/>
          <w:color w:val="1A237E"/>
          <w:sz w:val="48"/>
        </w:rPr>
        <w:t>LIST OF TABLES</w:t>
      </w:r>
    </w:p>
    <w:p>
      <w:pPr>
        <w:pStyle w:val="Normal"/>
        <w:tabs>
          <w:tab w:val="clear" w:pos="720"/>
          <w:tab w:val="right" w:pos="8640" w:leader="dot"/>
        </w:tabs>
        <w:spacing w:before="0" w:after="80"/>
        <w:rPr/>
      </w:pPr>
      <w:r>
        <w:rPr>
          <w:b/>
          <w:sz w:val="24"/>
        </w:rPr>
        <w:t xml:space="preserve">Table 1: </w:t>
      </w:r>
      <w:r>
        <w:rPr>
          <w:sz w:val="24"/>
        </w:rPr>
        <w:t>Design Specifications</w:t>
      </w:r>
      <w:r>
        <w:rPr/>
        <w:tab/>
      </w:r>
      <w:r>
        <w:rPr>
          <w:sz w:val="24"/>
        </w:rPr>
        <w:t>16</w:t>
      </w:r>
    </w:p>
    <w:p>
      <w:pPr>
        <w:pStyle w:val="Normal"/>
        <w:tabs>
          <w:tab w:val="clear" w:pos="720"/>
          <w:tab w:val="right" w:pos="8640" w:leader="dot"/>
        </w:tabs>
        <w:spacing w:before="0" w:after="80"/>
        <w:rPr/>
      </w:pPr>
      <w:r>
        <w:rPr>
          <w:b/>
          <w:sz w:val="24"/>
        </w:rPr>
        <w:t xml:space="preserve">Table 2: </w:t>
      </w:r>
      <w:r>
        <w:rPr>
          <w:sz w:val="24"/>
        </w:rPr>
        <w:t>Bill of Materials</w:t>
      </w:r>
      <w:r>
        <w:rPr/>
        <w:tab/>
      </w:r>
      <w:r>
        <w:rPr>
          <w:sz w:val="24"/>
        </w:rPr>
        <w:t>15</w:t>
      </w:r>
    </w:p>
    <w:p>
      <w:pPr>
        <w:pStyle w:val="Normal"/>
        <w:tabs>
          <w:tab w:val="clear" w:pos="720"/>
          <w:tab w:val="right" w:pos="8640" w:leader="dot"/>
        </w:tabs>
        <w:spacing w:before="0" w:after="80"/>
        <w:rPr/>
      </w:pPr>
      <w:r>
        <w:rPr>
          <w:b/>
          <w:sz w:val="24"/>
        </w:rPr>
        <w:t xml:space="preserve">Table 3: </w:t>
      </w:r>
      <w:r>
        <w:rPr>
          <w:sz w:val="24"/>
        </w:rPr>
        <w:t>PCB Layer Stackup</w:t>
      </w:r>
      <w:r>
        <w:rPr/>
        <w:tab/>
      </w:r>
      <w:r>
        <w:rPr>
          <w:sz w:val="24"/>
        </w:rPr>
        <w:t>9</w:t>
      </w:r>
    </w:p>
    <w:p>
      <w:pPr>
        <w:pStyle w:val="Normal"/>
        <w:tabs>
          <w:tab w:val="clear" w:pos="720"/>
          <w:tab w:val="right" w:pos="8640" w:leader="dot"/>
        </w:tabs>
        <w:spacing w:before="0" w:after="80"/>
        <w:rPr/>
      </w:pPr>
      <w:r>
        <w:rPr>
          <w:b/>
          <w:sz w:val="24"/>
        </w:rPr>
        <w:t xml:space="preserve">Table 4: </w:t>
      </w:r>
      <w:r>
        <w:rPr>
          <w:sz w:val="24"/>
        </w:rPr>
        <w:t>Design Advantages Summary</w:t>
      </w:r>
      <w:r>
        <w:rPr/>
        <w:tab/>
      </w:r>
      <w:r>
        <w:rPr>
          <w:sz w:val="24"/>
        </w:rPr>
        <w:t>13</w:t>
      </w:r>
    </w:p>
    <w:p>
      <w:pPr>
        <w:pStyle w:val="Normal"/>
        <w:rPr/>
      </w:pPr>
      <w:r>
        <w:rPr/>
      </w:r>
      <w:r>
        <w:br w:type="page"/>
      </w:r>
    </w:p>
    <w:p>
      <w:pPr>
        <w:pStyle w:val="Heading1"/>
        <w:rPr/>
      </w:pPr>
      <w:r>
        <w:rPr/>
        <w:t>1. Introduction</w:t>
      </w:r>
    </w:p>
    <w:p>
      <w:pPr>
        <w:pStyle w:val="Normal"/>
        <w:spacing w:before="0" w:after="120"/>
        <w:jc w:val="both"/>
        <w:rPr/>
      </w:pPr>
      <w:r>
        <w:rPr>
          <w:b w:val="false"/>
          <w:i w:val="false"/>
          <w:color w:val="000000"/>
          <w:sz w:val="24"/>
        </w:rPr>
        <w:t>The growing concern over atmospheric pollution and its adverse effects on human health has escalated the demand for continuous, localized environmental monitoring. Traditional monitoring stations, while highly accurate, are exceptionally expensive, geographically sparse, and lack the granularity required to assess micro-environments such as indoor office spaces, residential kitchens, or factory floors. Consequently, there is an urgent need for portable, low-cost Internet of Things (IoT) solutions that can be deployed ubiquitously to map air quality with high spatial and temporal resolution.</w:t>
      </w:r>
    </w:p>
    <w:p>
      <w:pPr>
        <w:pStyle w:val="Normal"/>
        <w:spacing w:before="0" w:after="120"/>
        <w:jc w:val="both"/>
        <w:rPr/>
      </w:pPr>
      <w:r>
        <w:rPr>
          <w:b w:val="false"/>
          <w:i w:val="false"/>
          <w:color w:val="000000"/>
          <w:sz w:val="24"/>
        </w:rPr>
        <w:t>This project aims to address this critical requirement by engineering a compact, battery-powered Air Quality Monitoring System PCB. The core architecture leverages the processing capabilities and wireless connectivity of the ESP32 microcontroller, interfaced with a high-resolution ADS1115 Analog-to-Digital Converter (ADC) for precision sensor data acquisition. To ensure true portability and extended operational life, the hardware incorporates advanced power management features, including a solid-state soft power latching circuit for zero-leakage shutdown, a high-efficiency MT3608 boost converter for voltage step-up, and an AMS1117-3.3 low-dropout regulator for clean logic-level power.</w:t>
      </w:r>
    </w:p>
    <w:p>
      <w:pPr>
        <w:pStyle w:val="Normal"/>
        <w:spacing w:before="0" w:after="120"/>
        <w:jc w:val="both"/>
        <w:rPr/>
      </w:pPr>
      <w:r>
        <w:rPr>
          <w:b w:val="false"/>
          <w:i w:val="false"/>
          <w:color w:val="000000"/>
          <w:sz w:val="24"/>
        </w:rPr>
        <w:t>The following sections of this report provide a comprehensive overview of the engineering design process, executed utilizing the FOSSEE eSim electronic design automation (EDA) environment. The document details the functional block specifications, schematic capture methodologies, footprint allocations, PCB layout strategies, routing guidelines, and final design verification results, culminating in a robust hardware platform ready for physical fabrication and field deployment.</w:t>
      </w:r>
    </w:p>
    <w:p>
      <w:pPr>
        <w:pStyle w:val="Heading1"/>
        <w:rPr/>
      </w:pPr>
      <w:r>
        <w:rPr/>
        <w:t>2. Main Functional Blocks</w:t>
      </w:r>
    </w:p>
    <w:p>
      <w:pPr>
        <w:pStyle w:val="Normal"/>
        <w:spacing w:before="0" w:after="120"/>
        <w:jc w:val="both"/>
        <w:rPr/>
      </w:pPr>
      <w:r>
        <w:rPr>
          <w:b w:val="false"/>
          <w:i w:val="false"/>
          <w:color w:val="000000"/>
          <w:sz w:val="24"/>
        </w:rPr>
        <w:t>The PCB is architected as a modular assembly of interconnected functional subsystems, each designed to fulfil a specific role within the signal acquisition and power delivery chain. This section describes each subsystem in detail.</w:t>
      </w:r>
    </w:p>
    <w:p>
      <w:pPr>
        <w:pStyle w:val="Heading2"/>
        <w:rPr/>
      </w:pPr>
      <w:r>
        <w:rPr/>
        <w:t>2.1 Battery Power System</w:t>
      </w:r>
    </w:p>
    <w:p>
      <w:pPr>
        <w:pStyle w:val="Normal"/>
        <w:spacing w:before="0" w:after="120"/>
        <w:jc w:val="both"/>
        <w:rPr/>
      </w:pPr>
      <w:r>
        <w:rPr>
          <w:b w:val="false"/>
          <w:i w:val="false"/>
          <w:color w:val="000000"/>
          <w:sz w:val="24"/>
        </w:rPr>
        <w:t>The system is designed to operate independently of grid power, utilizing a standard rechargeable single-cell Lithium-ion (Li-ion) or Lithium Polymer (Li-Po) battery. These energy storage solutions offer an excellent energy-to-weight ratio and a nominal output voltage of 3.7V, fluctuating between 4.2V at full charge and approximately 3.0V at the point of depletion. A standard JST PH 2.0mm pitch connector is provisioned on the board edge for secure and modular battery integration, allowing for rapid battery replacement in the field.</w:t>
      </w:r>
    </w:p>
    <w:p>
      <w:pPr>
        <w:pStyle w:val="Normal"/>
        <w:spacing w:before="0" w:after="120"/>
        <w:jc w:val="both"/>
        <w:rPr/>
      </w:pPr>
      <w:r>
        <w:rPr>
          <w:b w:val="false"/>
          <w:i w:val="false"/>
          <w:color w:val="000000"/>
          <w:sz w:val="24"/>
        </w:rPr>
        <w:t>The power distribution network is carefully designed to handle the peak transient currents demanded by the ESP32 during Wi-Fi transmission bursts, which can momentarily exceed 500mA. Trace widths on the primary supply rails have been calculated to minimize resistive voltage drops and ensure thermal stability under sustained load. While internal battery protection circuitry (such as DW01A/FS312F ICs) is typically integrated within the battery pack itself, the PCB layout provides robust input decoupling capacitors to mitigate conducted emissions and ensure clean power delivery to the subsequent conversion stages.</w:t>
      </w:r>
    </w:p>
    <w:p>
      <w:pPr>
        <w:pStyle w:val="Heading2"/>
        <w:rPr/>
      </w:pPr>
      <w:r>
        <w:rPr/>
        <w:t>2.2 Soft Power Latching Circuit</w:t>
      </w:r>
    </w:p>
    <w:p>
      <w:pPr>
        <w:pStyle w:val="Normal"/>
        <w:spacing w:before="0" w:after="120"/>
        <w:jc w:val="both"/>
        <w:rPr/>
      </w:pPr>
      <w:r>
        <w:rPr>
          <w:b w:val="false"/>
          <w:i w:val="false"/>
          <w:color w:val="000000"/>
          <w:sz w:val="24"/>
        </w:rPr>
        <w:t>To maximize battery longevity, conventional mechanical slide switches were eschewed in favor of an electronically controlled soft power latching circuit. This solid-state mechanism is initiated via a momentary tactile push-button switch. Upon depression of the button, the gate of a high-side P-channel MOSFET (such as the SI2301CDS) is momentarily pulled low through a pull-down resistor network, biasing the transistor into full conduction and allowing the battery voltage to flood the subsequent power regulation stages.</w:t>
      </w:r>
    </w:p>
    <w:p>
      <w:pPr>
        <w:pStyle w:val="Normal"/>
        <w:spacing w:before="0" w:after="120"/>
        <w:jc w:val="both"/>
        <w:rPr/>
      </w:pPr>
      <w:r>
        <w:rPr>
          <w:b w:val="false"/>
          <w:i w:val="false"/>
          <w:color w:val="000000"/>
          <w:sz w:val="24"/>
        </w:rPr>
        <w:t>Once power is established and the voltage regulators stabilize, the ESP32 microcontroller boots and immediately executes a firmware instruction to drive a dedicated General Purpose Input/Output (GPIO) pin to a logic-high state. This GPIO output feeds into an auxiliary N-channel MOSFET or NPN BJT network that persistently holds the P-channel MOSFET's gate at ground potential, effectively "latching" the power supply in the ON state even after the user releases the physical push button.</w:t>
      </w:r>
    </w:p>
    <w:p>
      <w:pPr>
        <w:pStyle w:val="Normal"/>
        <w:spacing w:before="0" w:after="120"/>
        <w:jc w:val="both"/>
        <w:rPr/>
      </w:pPr>
      <w:r>
        <w:rPr>
          <w:b w:val="false"/>
          <w:i w:val="false"/>
          <w:color w:val="000000"/>
          <w:sz w:val="24"/>
        </w:rPr>
        <w:t>When a shutdown is commanded—either through a prolonged button press detected by a separate GPIO interrupt or via a firmware-defined inactivity timer—the ESP32 simply resets the latching GPIO to a logic-low state. This releases the gate of the high-side P-MOSFET, which immediately ceases conduction and severs the power supply to the entire board. This achieves absolute zero quiescent current draw, vastly outperforming standard microcontroller deep-sleep modes which still consume several microamperes.</w:t>
      </w:r>
    </w:p>
    <w:p>
      <w:pPr>
        <w:pStyle w:val="Heading2"/>
        <w:rPr/>
      </w:pPr>
      <w:r>
        <w:rPr/>
        <w:t>2.3 Boost Converter (MT3608)</w:t>
      </w:r>
    </w:p>
    <w:p>
      <w:pPr>
        <w:pStyle w:val="Normal"/>
        <w:spacing w:before="0" w:after="120"/>
        <w:jc w:val="both"/>
        <w:rPr/>
      </w:pPr>
      <w:r>
        <w:rPr>
          <w:b w:val="false"/>
          <w:i w:val="false"/>
          <w:color w:val="000000"/>
          <w:sz w:val="24"/>
        </w:rPr>
        <w:t>The nominal 3.7V from the Li-ion battery is insufficient to drive standard 5V analog gas sensors (such as the MQ series, which require a dedicated heater voltage) and because a stable pre-regulation voltage simplifies subsequent LDO design, an MT3608 high-efficiency step-up (boost) converter IC is utilized. The MT3608 employs a current-mode, pulse-width modulation (PWM) switching topology operating at a fixed frequency of 1.2MHz, allowing for the use of small, low-profile surface-mount inductors (22µH) and ceramic capacitors.</w:t>
      </w:r>
    </w:p>
    <w:p>
      <w:pPr>
        <w:pStyle w:val="Normal"/>
        <w:spacing w:before="0" w:after="120"/>
        <w:jc w:val="both"/>
        <w:rPr/>
      </w:pPr>
      <w:r>
        <w:rPr>
          <w:b w:val="false"/>
          <w:i w:val="false"/>
          <w:color w:val="000000"/>
          <w:sz w:val="24"/>
        </w:rPr>
        <w:t>The circuitry steps the varying battery voltage up to a stable 5.0V DC intermediate bus. This topology can maintain over 90% power conversion efficiency across typical load profiles encountered in this application. The schematic incorporates a carefully calculated feedback resistor divider network to precisely set the output voltage, along with a low forward-voltage-drop Schottky rectifier diode (SS14 / 1N5819) for efficient rectification. Adequate output capacitance (22µF ceramic) is deployed to suppress high-frequency switching ripple, ensuring a clean 5V rail for subsequent regulation and for excitation of external sensor heater elements.</w:t>
      </w:r>
    </w:p>
    <w:p>
      <w:pPr>
        <w:pStyle w:val="Heading2"/>
        <w:rPr/>
      </w:pPr>
      <w:r>
        <w:rPr/>
        <w:t>2.4 Voltage Regulation (AMS1117-3.3)</w:t>
      </w:r>
    </w:p>
    <w:p>
      <w:pPr>
        <w:pStyle w:val="Normal"/>
        <w:spacing w:before="0" w:after="120"/>
        <w:jc w:val="both"/>
        <w:rPr/>
      </w:pPr>
      <w:r>
        <w:rPr>
          <w:b w:val="false"/>
          <w:i w:val="false"/>
          <w:color w:val="000000"/>
          <w:sz w:val="24"/>
        </w:rPr>
        <w:t>The ESP32 module and the ADS1115 ADC both mandate a stringent 3.3V operating environment with tight voltage tolerances. To step down the boosted 5V rail to this logic level, an AMS1117-3.3 Low Dropout (LDO) linear voltage regulator is implemented. While a switching buck converter would offer higher theoretical efficiency, the linear LDO is deliberately selected here for its superior Power Supply Rejection Ratio (PSRR) and minimal output voltage noise—critical attributes for maintaining the integrity of the sensitive 16-bit analog-to-digital conversion stage.</w:t>
      </w:r>
    </w:p>
    <w:p>
      <w:pPr>
        <w:pStyle w:val="Normal"/>
        <w:spacing w:before="0" w:after="120"/>
        <w:jc w:val="both"/>
        <w:rPr/>
      </w:pPr>
      <w:r>
        <w:rPr>
          <w:b w:val="false"/>
          <w:i w:val="false"/>
          <w:color w:val="000000"/>
          <w:sz w:val="24"/>
        </w:rPr>
        <w:t>The AMS1117 provides a stable 3.3V output capable of sourcing up to 1A of continuous current, safely accommodating the ESP32's transient current demands during radio transmission events. Appropriate input (10µF) and output (22µF) decoupling capacitors are situated immediately adjacent to the regulator's input and output pins to prevent oscillation, ensure loop stability, and respond rapidly to sudden load step changes. The SOT-223 package provides an exposed thermal tab that is soldered to an underlying copper pour for effective heat dissipation.</w:t>
      </w:r>
    </w:p>
    <w:p>
      <w:pPr>
        <w:pStyle w:val="Normal"/>
        <w:rPr/>
      </w:pPr>
      <w:r>
        <w:rPr/>
      </w:r>
      <w:r>
        <w:br w:type="page"/>
      </w:r>
    </w:p>
    <w:p>
      <w:pPr>
        <w:pStyle w:val="Heading2"/>
        <w:rPr/>
      </w:pPr>
      <w:r>
        <w:rPr/>
        <w:t>2.5 ESP32 Controller (ESP32-WROOM-32)</w:t>
      </w:r>
    </w:p>
    <w:p>
      <w:pPr>
        <w:pStyle w:val="Normal"/>
        <w:spacing w:before="0" w:after="120"/>
        <w:jc w:val="both"/>
        <w:rPr/>
      </w:pPr>
      <w:r>
        <w:rPr>
          <w:b w:val="false"/>
          <w:i w:val="false"/>
          <w:color w:val="000000"/>
          <w:sz w:val="24"/>
        </w:rPr>
        <w:t>The computational and communication core of the system is the ESP32-WROOM-32 wireless module manufactured by Espressif Systems. This powerful System-on-Chip (SoC) features a dual-core Xtensa 32-bit LX6 microprocessor capable of operating at clock frequencies up to 240 MHz, providing ample computational headroom for sensor data processing, calibration algorithms, and protocol stack management. Its primary advantage for IoT applications lies in its integrated 802.11 b/g/n Wi-Fi baseband and Bluetooth v4.2 BR/EDR and BLE transceivers, enabling seamless wireless transmission of environmental data to cloud-based dashboards, local servers, or companion mobile applications.</w:t>
      </w:r>
    </w:p>
    <w:p>
      <w:pPr>
        <w:pStyle w:val="Normal"/>
        <w:spacing w:before="0" w:after="120"/>
        <w:jc w:val="both"/>
        <w:rPr/>
      </w:pPr>
      <w:r>
        <w:rPr>
          <w:b w:val="false"/>
          <w:i w:val="false"/>
          <w:color w:val="000000"/>
          <w:sz w:val="24"/>
        </w:rPr>
        <w:t>Within this design, the ESP32 functions as an I²C bus master, orchestrating all communication with the ADS1115 peripheral ADC. Specific GPIO pins are allocated and reserved for controlling the soft latch mechanism (power hold), reading the state of the user power button, toggling the on-board status LEDs (power and connectivity indicators), and potentially switching power to external sensors via logic-level MOSFETs to enforce power cycling for energy conservation. Strict adherence to Espressif's official hardware design guidelines is maintained, with 10µF and 100nF decoupling capacitors placed adjacent to the 3V3 input pin, and the EN (Enable) and GPIO0 (Boot Mode) pins properly configured with pull-up resistors and bypass capacitors to ensure reliable auto-programming and normal execution boot modes.</w:t>
      </w:r>
    </w:p>
    <w:p>
      <w:pPr>
        <w:pStyle w:val="Heading2"/>
        <w:rPr/>
      </w:pPr>
      <w:r>
        <w:rPr/>
        <w:t>2.6 ADS1115 ADC</w:t>
      </w:r>
    </w:p>
    <w:p>
      <w:pPr>
        <w:pStyle w:val="Normal"/>
        <w:spacing w:before="0" w:after="120"/>
        <w:jc w:val="both"/>
        <w:rPr/>
      </w:pPr>
      <w:r>
        <w:rPr>
          <w:b w:val="false"/>
          <w:i w:val="false"/>
          <w:color w:val="000000"/>
          <w:sz w:val="24"/>
        </w:rPr>
        <w:t>The built-in analog-to-digital converters in standard microcontrollers, including the ESP32's 12-bit SAR ADC, often suffer from poor linearity, significant noise floors, and limited effective number of bits (ENOB). To guarantee precision measurement of environmental sensor outputs, this design incorporates a dedicated external ADS1115 16-bit delta-sigma (ΔΣ) analog-to-digital converter manufactured by Texas Instruments. This IC is capable of reading up to four single-ended analog signals or two differential signal pairs, providing exceptional voltage resolution down to the microvolt level.</w:t>
      </w:r>
    </w:p>
    <w:p>
      <w:pPr>
        <w:pStyle w:val="Normal"/>
        <w:spacing w:before="0" w:after="120"/>
        <w:jc w:val="both"/>
        <w:rPr/>
      </w:pPr>
      <w:r>
        <w:rPr>
          <w:b w:val="false"/>
          <w:i w:val="false"/>
          <w:color w:val="000000"/>
          <w:sz w:val="24"/>
        </w:rPr>
        <w:t>The ADS1115 interfaces with the ESP32 via the standard I²C two-wire serial bus, utilizing dedicated SDA (data) and SCL (clock) lines equipped with 4.7kΩ pull-up resistors to the 3.3V rail. A key feature of this ADC is its integrated Programmable Gain Amplifier (PGA), which allows the full-scale input range to be dynamically configured in firmware from ±0.256V up to ±6.144V, enabling direct measurement of a wide variety of sensor output voltages without external amplification stages. The ADC supports programmable data rates up to 860 samples per second (SPS), which is more than sufficient for the relatively slow-changing atmospheric parameters being measured. The ADS1115 is strategically placed as physically close to the analog input connector headers as possible on the PCB to preserve signal integrity before digitization.</w:t>
      </w:r>
    </w:p>
    <w:p>
      <w:pPr>
        <w:pStyle w:val="Heading2"/>
        <w:rPr/>
      </w:pPr>
      <w:r>
        <w:rPr/>
        <w:t>2.7 Air Quality Sensor Interface</w:t>
      </w:r>
    </w:p>
    <w:p>
      <w:pPr>
        <w:pStyle w:val="Normal"/>
        <w:spacing w:before="0" w:after="120"/>
        <w:jc w:val="both"/>
        <w:rPr/>
      </w:pPr>
      <w:r>
        <w:rPr>
          <w:b w:val="false"/>
          <w:i w:val="false"/>
          <w:color w:val="000000"/>
          <w:sz w:val="24"/>
        </w:rPr>
        <w:t>The PCB provides a sensor-agnostic, generic electrical interface designed to support a wide array of commercially available environmental sensing elements. A standard 2.54mm pitch pin header is exposed at the board edge, supplying the generated 5V rail (for sensor heater elements), 3.3V logic power, a common Ground reference, and direct analog signal traces leading to the ADS1115 input channels. This design philosophy facilitates the connection of analog gas sensors (such as the MQ-135 for CO₂ and NH₃ detection, MQ-7 for carbon monoxide, or MQ-2 for combustible gases), particulate matter sensors with analog output, or analog temperature and humidity probes.</w:t>
      </w:r>
    </w:p>
    <w:p>
      <w:pPr>
        <w:pStyle w:val="Normal"/>
        <w:spacing w:before="0" w:after="120"/>
        <w:jc w:val="both"/>
        <w:rPr/>
      </w:pPr>
      <w:r>
        <w:rPr>
          <w:b w:val="false"/>
          <w:i w:val="false"/>
          <w:color w:val="000000"/>
          <w:sz w:val="24"/>
        </w:rPr>
        <w:t>To further enhance power efficiency during extended deployments, the design incorporates provisions for logic-level N-channel MOSFET switching, allowing the ESP32 firmware to completely sever the 5V power supply to attached sensors during programmed sleep intervals. This is particularly critical for power-hungry resistive gas sensors whose heater elements can draw 150-200mA continuously. Signal conditioning networks, including hardware low-pass RC filters and resistive voltage dividers, can be populated on dedicated board pads to scale down 5V sensor outputs to safe levels for the 3.3V ADC inputs, preventing over-voltage damage to the ADS1115.</w:t>
      </w:r>
    </w:p>
    <w:p>
      <w:pPr>
        <w:pStyle w:val="Normal"/>
        <w:rPr/>
      </w:pPr>
      <w:r>
        <w:rPr/>
      </w:r>
      <w:r>
        <w:br w:type="page"/>
      </w:r>
    </w:p>
    <w:p>
      <w:pPr>
        <w:pStyle w:val="Heading1"/>
        <w:rPr/>
      </w:pPr>
      <w:r>
        <w:rPr/>
        <w:t>3. Schematic Design</w:t>
      </w:r>
    </w:p>
    <w:p>
      <w:pPr>
        <w:pStyle w:val="Normal"/>
        <w:spacing w:before="0" w:after="120"/>
        <w:jc w:val="both"/>
        <w:rPr/>
      </w:pPr>
      <w:r>
        <w:rPr>
          <w:b w:val="false"/>
          <w:i w:val="false"/>
          <w:color w:val="000000"/>
          <w:sz w:val="24"/>
        </w:rPr>
        <w:t>The schematic capture was meticulously executed utilizing the eSim electronic design automation (EDA) software, leveraging its integrated KiCad Eeschema environment. A hierarchical and modular design approach was adopted, organizing the complex system into discrete, logically separable functional blocks: Power Management (battery input, soft latch, boost converter, LDO), Processing Core (ESP32, programming interface, boot configuration), and Analog Acquisition (ADS1115, sensor connectors, signal conditioning). This methodology drastically improves the readability, maintainability, and debuggability of the electronic documentation.</w:t>
      </w:r>
    </w:p>
    <w:p>
      <w:pPr>
        <w:pStyle w:val="Normal"/>
        <w:spacing w:before="0" w:after="120"/>
        <w:jc w:val="both"/>
        <w:rPr/>
      </w:pPr>
      <w:r>
        <w:rPr>
          <w:b w:val="false"/>
          <w:i w:val="false"/>
          <w:color w:val="000000"/>
          <w:sz w:val="24"/>
        </w:rPr>
        <w:t>Global net labels were employed extensively to establish electrical connectivity between these functional blocks without cluttering the schematic diagram with lengthy, intersecting wires. Standardized power symbols (VCC, +3V3, +5V, GND) and power flags were implemented to satisfy the strict requirements of the Electrical Rules Check (ERC) algorithm. Every component was rigorously annotated with precise values, tolerances, package types, and manufacturer part numbers, establishing a robust foundation for the subsequent Bill of Materials (BOM) generation, procurement, and physical footprint association.</w:t>
      </w:r>
    </w:p>
    <w:p>
      <w:pPr>
        <w:pStyle w:val="Normal"/>
        <w:spacing w:before="0" w:after="120"/>
        <w:jc w:val="both"/>
        <w:rPr/>
      </w:pPr>
      <w:r>
        <w:rPr>
          <w:b w:val="false"/>
          <w:i w:val="false"/>
          <w:color w:val="000000"/>
          <w:sz w:val="24"/>
        </w:rPr>
        <w:t>Particular attention was paid to the correct implementation of the ESP32's boot mode circuitry, ensuring that the EN pin features a 10kΩ pull-up resistor with a 100nF capacitor for clean power-on reset sequencing, and that GPIO0 is correctly configured to allow for seamless automatic programming via the UART interface without requiring manual button intervention.</w:t>
      </w:r>
    </w:p>
    <w:p>
      <w:pPr>
        <w:pStyle w:val="Heading1"/>
        <w:rPr/>
      </w:pPr>
      <w:r>
        <w:rPr/>
        <w:t>4. Footprint Assignment</w:t>
      </w:r>
    </w:p>
    <w:p>
      <w:pPr>
        <w:pStyle w:val="Normal"/>
        <w:spacing w:before="0" w:after="120"/>
        <w:jc w:val="both"/>
        <w:rPr/>
      </w:pPr>
      <w:r>
        <w:rPr>
          <w:b w:val="false"/>
          <w:i w:val="false"/>
          <w:color w:val="000000"/>
          <w:sz w:val="24"/>
        </w:rPr>
        <w:t>Appropriate footprint selection is a critical phase that directly impacts the manufacturability, ease of assembly, electrical performance, and thermal management of the final PCB. The footprint assignment phase matched each schematic symbol to a physically verified mechanical geometry suitable for standard PCB fabrication.</w:t>
      </w:r>
    </w:p>
    <w:p>
      <w:pPr>
        <w:pStyle w:val="Heading3"/>
        <w:rPr/>
      </w:pPr>
      <w:r>
        <w:rPr/>
        <w:t>4.1 ESP32-WROOM-32 Module</w:t>
      </w:r>
    </w:p>
    <w:p>
      <w:pPr>
        <w:pStyle w:val="Normal"/>
        <w:spacing w:before="0" w:after="120"/>
        <w:jc w:val="both"/>
        <w:rPr/>
      </w:pPr>
      <w:r>
        <w:rPr>
          <w:b w:val="false"/>
          <w:i w:val="false"/>
          <w:color w:val="000000"/>
          <w:sz w:val="24"/>
        </w:rPr>
        <w:t>The ESP32-WROOM-32 module was assigned its standard castellated-pad footprint as specified in the Espressif datasheet. Crucially, the footprint includes a large central exposed ground pad designed for thermal relief and electrical grounding. A critical layout rule was established to ensure that no copper traces, ground fills, or power pours are routed beneath the module's onboard PCB antenna region, as this would cause severe RF signal attenuation and degrade wireless performance.</w:t>
      </w:r>
    </w:p>
    <w:p>
      <w:pPr>
        <w:pStyle w:val="Heading3"/>
        <w:rPr/>
      </w:pPr>
      <w:r>
        <w:rPr/>
        <w:t>4.2 Passive Components</w:t>
      </w:r>
    </w:p>
    <w:p>
      <w:pPr>
        <w:pStyle w:val="Normal"/>
        <w:spacing w:before="0" w:after="120"/>
        <w:jc w:val="both"/>
        <w:rPr/>
      </w:pPr>
      <w:r>
        <w:rPr>
          <w:b w:val="false"/>
          <w:i w:val="false"/>
          <w:color w:val="000000"/>
          <w:sz w:val="24"/>
        </w:rPr>
        <w:t>To balance board compactness with ease of potential hand-soldering during prototyping, standard 0805 (2012 metric) Surface Mount Device (SMD) packages were selected for the majority of resistors and capacitors. Select low-value capacitors utilize the more compact 0603 (1608 metric) package. The boost converter's 22µH inductor utilizes a specific shielded SMD power inductor footprint, sized to handle the required saturation current without excessive core losses or heating.</w:t>
      </w:r>
    </w:p>
    <w:p>
      <w:pPr>
        <w:pStyle w:val="Heading3"/>
        <w:rPr/>
      </w:pPr>
      <w:r>
        <w:rPr/>
        <w:t>4.3 Active Components</w:t>
      </w:r>
    </w:p>
    <w:p>
      <w:pPr>
        <w:pStyle w:val="Normal"/>
        <w:spacing w:before="0" w:after="120"/>
        <w:jc w:val="both"/>
        <w:rPr/>
      </w:pPr>
      <w:r>
        <w:rPr>
          <w:b w:val="false"/>
          <w:i w:val="false"/>
          <w:color w:val="000000"/>
          <w:sz w:val="24"/>
        </w:rPr>
        <w:t>The P-channel MOSFETs (SI2301) for the soft latch circuit were assigned standard SOT-23 three-pin packages. The AMS1117 LDO voltage regulator utilizes the SOT-223 package, which features a large exposed back tab necessary for dissipating the thermal energy generated during the linear voltage step-down conversion. The ADS1115 16-bit ADC was assigned a highly compact MSOP-10 (or VSSOP-10) footprint, minimizing the physical area of the sensitive analog front-end layout.</w:t>
      </w:r>
    </w:p>
    <w:p>
      <w:pPr>
        <w:pStyle w:val="Heading3"/>
        <w:rPr/>
      </w:pPr>
      <w:r>
        <w:rPr/>
        <w:t>4.4 Connectors</w:t>
      </w:r>
    </w:p>
    <w:p>
      <w:pPr>
        <w:pStyle w:val="Normal"/>
        <w:spacing w:before="0" w:after="120"/>
        <w:jc w:val="both"/>
        <w:rPr/>
      </w:pPr>
      <w:r>
        <w:rPr>
          <w:b w:val="false"/>
          <w:i w:val="false"/>
          <w:color w:val="000000"/>
          <w:sz w:val="24"/>
        </w:rPr>
        <w:t>Through-hole (THT) components were deliberately selected for all physical connectors requiring mechanical durability and resistance to repeated insertion/removal forces. A standard JST PH 2.0mm pitch 2-pin through-hole right-angle footprint handles the battery connection. Standard 2.54mm pitch male pin headers (1×4 and 1×6 configurations) were assigned for the external sensor interfaces and the UART programming header, respectively. A Micro USB Type-B receptacle footprint provides the charging and data interface.</w:t>
      </w:r>
    </w:p>
    <w:p>
      <w:pPr>
        <w:pStyle w:val="Heading3"/>
        <w:rPr/>
      </w:pPr>
      <w:r>
        <w:rPr/>
        <w:t>4.5 User Interface Components</w:t>
      </w:r>
    </w:p>
    <w:p>
      <w:pPr>
        <w:pStyle w:val="Normal"/>
        <w:spacing w:before="0" w:after="120"/>
        <w:jc w:val="both"/>
        <w:rPr/>
      </w:pPr>
      <w:r>
        <w:rPr>
          <w:b w:val="false"/>
          <w:i w:val="false"/>
          <w:color w:val="000000"/>
          <w:sz w:val="24"/>
        </w:rPr>
        <w:t>The power/latch push button utilizes a low-profile 6×6mm SMD tactile switch footprint. Status indication is provided via discrete 0603 SMD Light Emitting Diodes (LEDs): a green LED for power-on indication and a blue LED for Wi-Fi connectivity or general status feedback. Each LED is paired with a current-limiting 1kΩ series resistor.</w:t>
      </w:r>
    </w:p>
    <w:p>
      <w:pPr>
        <w:pStyle w:val="Normal"/>
        <w:rPr/>
      </w:pPr>
      <w:r>
        <w:rPr/>
      </w:r>
      <w:r>
        <w:br w:type="page"/>
      </w:r>
    </w:p>
    <w:p>
      <w:pPr>
        <w:pStyle w:val="Heading1"/>
        <w:rPr/>
      </w:pPr>
      <w:r>
        <w:rPr/>
        <w:t>5. PCB Layout</w:t>
      </w:r>
    </w:p>
    <w:p>
      <w:pPr>
        <w:pStyle w:val="Normal"/>
        <w:spacing w:before="0" w:after="120"/>
        <w:jc w:val="both"/>
        <w:rPr/>
      </w:pPr>
      <w:r>
        <w:rPr>
          <w:b w:val="false"/>
          <w:i w:val="false"/>
          <w:color w:val="000000"/>
          <w:sz w:val="24"/>
        </w:rPr>
        <w:t>The physical PCB routing and component placement were performed within the KiCad Pcbnew layout editor, governed by strict design rules to ensure both electrical integrity and manufacturability by standard fabrication houses.</w:t>
      </w:r>
    </w:p>
    <w:p>
      <w:pPr>
        <w:pStyle w:val="Heading2"/>
        <w:rPr/>
      </w:pPr>
      <w:r>
        <w:rPr/>
        <w:t>5.1 Board Specifications</w:t>
      </w:r>
    </w:p>
    <w:p>
      <w:pPr>
        <w:pStyle w:val="Normal"/>
        <w:spacing w:before="0" w:after="120"/>
        <w:jc w:val="both"/>
        <w:rPr/>
      </w:pPr>
      <w:r>
        <w:rPr>
          <w:b w:val="false"/>
          <w:i w:val="false"/>
          <w:color w:val="000000"/>
          <w:sz w:val="24"/>
        </w:rPr>
        <w:t>The design targets a standard 2-layer FR4 (Flame Retardant 4) dielectric substrate with a thickness of 1.6mm and a standard 1oz (35µm) copper weight on each layer. The overall board dimensions were meticulously optimized to achieve a highly compact rectangular form factor of approximately 60mm × 40mm, facilitating deployment in small, unobtrusive enclosures for field monitoring. A Hot Air Solder Leveling (HASL) surface finish is specified for its cost-effectiveness, environmental resilience, and excellent solderability.</w:t>
      </w:r>
    </w:p>
    <w:p>
      <w:pPr>
        <w:pStyle w:val="Heading2"/>
        <w:rPr/>
      </w:pPr>
      <w:r>
        <w:rPr/>
        <w:t>5.2 Layer Stackup</w:t>
      </w:r>
    </w:p>
    <w:p>
      <w:pPr>
        <w:pStyle w:val="Normal"/>
        <w:spacing w:before="0" w:after="120"/>
        <w:jc w:val="both"/>
        <w:rPr/>
      </w:pPr>
      <w:r>
        <w:rPr>
          <w:b w:val="false"/>
          <w:i w:val="false"/>
          <w:color w:val="000000"/>
          <w:sz w:val="24"/>
        </w:rPr>
        <w:t>The implementation utilizes a standard two-layer copper topology. The layer assignment strategy is described in Table 3 below.</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Layer</w:t>
            </w:r>
          </w:p>
        </w:tc>
        <w:tc>
          <w:tcPr>
            <w:tcW w:w="234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Name</w:t>
            </w:r>
          </w:p>
        </w:tc>
        <w:tc>
          <w:tcPr>
            <w:tcW w:w="234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Function</w:t>
            </w:r>
          </w:p>
        </w:tc>
        <w:tc>
          <w:tcPr>
            <w:tcW w:w="2339"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Purpose</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F.Cu (Front)</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Signal + Ground Pour</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Primary component placement, high-density signal routing, local ground fill</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B.Cu (Back)</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Ground Plane + Routing</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Continuous low-impedance return paths, supplementary routing, main ground pour</w:t>
            </w:r>
          </w:p>
        </w:tc>
      </w:tr>
    </w:tbl>
    <w:p>
      <w:pPr>
        <w:pStyle w:val="Normal"/>
        <w:rPr/>
      </w:pPr>
      <w:r>
        <w:rPr/>
      </w:r>
    </w:p>
    <w:p>
      <w:pPr>
        <w:pStyle w:val="Normal"/>
        <w:jc w:val="center"/>
        <w:rPr/>
      </w:pPr>
      <w:r>
        <w:rPr>
          <w:b/>
          <w:color w:val="1A237E"/>
          <w:sz w:val="22"/>
        </w:rPr>
        <w:t>Table 3: PCB Layer Stackup</w:t>
      </w:r>
    </w:p>
    <w:p>
      <w:pPr>
        <w:pStyle w:val="Heading2"/>
        <w:rPr/>
      </w:pPr>
      <w:r>
        <w:rPr/>
        <w:t>5.3 Component Placement Strategy</w:t>
      </w:r>
    </w:p>
    <w:p>
      <w:pPr>
        <w:pStyle w:val="Normal"/>
        <w:spacing w:before="0" w:after="120"/>
        <w:jc w:val="both"/>
        <w:rPr/>
      </w:pPr>
      <w:r>
        <w:rPr>
          <w:b w:val="false"/>
          <w:i w:val="false"/>
          <w:color w:val="000000"/>
          <w:sz w:val="24"/>
        </w:rPr>
        <w:t>Component placement was driven by the fundamental necessity to spatially segregate noisy switching power conversion circuitry from the sensitive analog measurement section. The high-current MT3608 boost converter and its associated inductor, Schottky diode, and filter capacitors were tightly grouped at one edge of the board to minimize the loop area of high di/dt switching currents and to contain radiated electromagnetic emissions.</w:t>
      </w:r>
    </w:p>
    <w:p>
      <w:pPr>
        <w:pStyle w:val="Normal"/>
        <w:spacing w:before="0" w:after="120"/>
        <w:jc w:val="both"/>
        <w:rPr/>
      </w:pPr>
      <w:r>
        <w:rPr>
          <w:b w:val="false"/>
          <w:i w:val="false"/>
          <w:color w:val="000000"/>
          <w:sz w:val="24"/>
        </w:rPr>
        <w:t>The ESP32 module was centrally located on the board, with its integrated PCB antenna protruding toward the board edge and extending beyond the ground plane boundary, ensuring unobstructed RF radiation patterns. The ADS1115 ADC was deliberately positioned immediately adjacent to the sensor input headers, ensuring that analog signal traces are kept exceptionally short, minimizing parasitic capacitance and susceptibility to digital cross-talk.</w:t>
      </w:r>
    </w:p>
    <w:p>
      <w:pPr>
        <w:pStyle w:val="Heading2"/>
        <w:rPr/>
      </w:pPr>
      <w:r>
        <w:rPr/>
        <w:t>5.4 Routing Strategy</w:t>
      </w:r>
    </w:p>
    <w:p>
      <w:pPr>
        <w:pStyle w:val="Normal"/>
        <w:spacing w:before="0" w:after="120"/>
        <w:jc w:val="both"/>
        <w:rPr/>
      </w:pPr>
      <w:r>
        <w:rPr>
          <w:b w:val="false"/>
          <w:i w:val="false"/>
          <w:color w:val="000000"/>
          <w:sz w:val="24"/>
        </w:rPr>
        <w:t>Power delivery networks (PDN) were assigned the highest routing priority, utilizing robust trace widths ranging from 0.5mm to 1.0mm to minimize trace impedance on the battery input, 5V bus, and 3.3V logic rail nets. Standard digital signal traces were routed with 0.25mm widths. The I²C bus lines (SDA, SCL) were routed adjacently but with sufficient clearance to avoid mutual cross-talk, and were kept well away from the RF antenna region and power switching nodes.</w:t>
      </w:r>
    </w:p>
    <w:p>
      <w:pPr>
        <w:pStyle w:val="Normal"/>
        <w:spacing w:before="0" w:after="120"/>
        <w:jc w:val="both"/>
        <w:rPr/>
      </w:pPr>
      <w:r>
        <w:rPr>
          <w:b w:val="false"/>
          <w:i w:val="false"/>
          <w:color w:val="000000"/>
          <w:sz w:val="24"/>
        </w:rPr>
        <w:t>Extensive ground copper pouring was applied to both the front (F.Cu) and back (B.Cu) layers, connected to the common GND net. To ensure a unified, low-impedance ground structure and to suppress electromagnetic interference (EMI), dense via stitching was implemented throughout the board, physically and electrically bonding the top and bottom ground planes at regular intervals.</w:t>
      </w:r>
    </w:p>
    <w:p>
      <w:pPr>
        <w:pStyle w:val="Heading2"/>
        <w:rPr/>
      </w:pPr>
      <w:r>
        <w:rPr/>
        <w:t>5.5 Front Copper Layer (F.Cu)</w:t>
      </w:r>
    </w:p>
    <w:p>
      <w:pPr>
        <w:pStyle w:val="Normal"/>
        <w:spacing w:before="0" w:after="120"/>
        <w:jc w:val="both"/>
        <w:rPr/>
      </w:pPr>
      <w:r>
        <w:rPr>
          <w:b w:val="false"/>
          <w:i w:val="false"/>
          <w:color w:val="000000"/>
          <w:sz w:val="24"/>
        </w:rPr>
        <w:t>The front copper layer accommodates all surface-mount components and handles the majority of intricate signal routing around the ESP32 and ADS1115 ICs. All remaining unoccupied copper area is flooded with a ground polygon fill connected to the main GND net, providing localized return paths and assisting with thermal management.</w:t>
      </w:r>
    </w:p>
    <w:p>
      <w:pPr>
        <w:pStyle w:val="Heading2"/>
        <w:rPr/>
      </w:pPr>
      <w:r>
        <w:rPr/>
        <w:t>5.6 Back Copper Layer (B.Cu)</w:t>
      </w:r>
    </w:p>
    <w:p>
      <w:pPr>
        <w:pStyle w:val="Normal"/>
        <w:spacing w:before="0" w:after="120"/>
        <w:jc w:val="both"/>
        <w:rPr/>
      </w:pPr>
      <w:r>
        <w:rPr>
          <w:b w:val="false"/>
          <w:i w:val="false"/>
          <w:color w:val="000000"/>
          <w:sz w:val="24"/>
        </w:rPr>
        <w:t>The back copper layer functions primarily as an uninterrupted ground plane, providing direct, low-impedance return paths for high-frequency digital signals and reducing overall loop inductance. Minimal signal routing is permitted on this layer, used only when necessary to traverse inescapable routing blockages on the front copper layer.</w:t>
      </w:r>
    </w:p>
    <w:p>
      <w:pPr>
        <w:pStyle w:val="Normal"/>
        <w:rPr/>
      </w:pPr>
      <w:r>
        <w:rPr/>
      </w:r>
      <w:r>
        <w:br w:type="page"/>
      </w:r>
    </w:p>
    <w:p>
      <w:pPr>
        <w:pStyle w:val="Heading1"/>
        <w:rPr/>
      </w:pPr>
      <w:r>
        <w:rPr/>
        <w:t>6. Software Used</w:t>
      </w:r>
    </w:p>
    <w:p>
      <w:pPr>
        <w:pStyle w:val="Normal"/>
        <w:spacing w:before="0" w:after="120"/>
        <w:jc w:val="both"/>
        <w:rPr/>
      </w:pPr>
      <w:r>
        <w:rPr>
          <w:b w:val="false"/>
          <w:i w:val="false"/>
          <w:color w:val="000000"/>
          <w:sz w:val="24"/>
        </w:rPr>
        <w:t>The development of this project relied heavily on the robust open-source electronic design automation ecosystem championed by the FOSSEE project and the broader academic community.</w:t>
      </w:r>
    </w:p>
    <w:p>
      <w:pPr>
        <w:pStyle w:val="Normal"/>
        <w:jc w:val="both"/>
        <w:rPr/>
      </w:pPr>
      <w:r>
        <w:rPr>
          <w:b/>
          <w:sz w:val="24"/>
        </w:rPr>
        <w:t xml:space="preserve">eSim (v2.5): </w:t>
      </w:r>
      <w:r>
        <w:rPr>
          <w:sz w:val="24"/>
        </w:rPr>
        <w:t>An open-source EDA tool developed by the FOSSEE (Free/Libre and Open Source Software for Education) project at IIT Bombay. eSim serves as the overarching integrated environment, providing seamless workflows for schematic capture, circuit simulation via Ngspice, subcircuit creation, and PCB design through its tight integration with KiCad. It is the primary tool recommended for the FOSSEE eSim PCB Design program.</w:t>
      </w:r>
    </w:p>
    <w:p>
      <w:pPr>
        <w:pStyle w:val="Normal"/>
        <w:jc w:val="both"/>
        <w:rPr/>
      </w:pPr>
      <w:r>
        <w:rPr>
          <w:b/>
          <w:sz w:val="24"/>
        </w:rPr>
        <w:t xml:space="preserve">KiCad (v6/v7): </w:t>
      </w:r>
      <w:r>
        <w:rPr>
          <w:sz w:val="24"/>
        </w:rPr>
        <w:t>Seamlessly integrated within the eSim environment, KiCad serves as the core engine for schematic editing (Eeschema), component symbol and footprint library management, assigning physical footprints to schematic symbols, executing the complex PCB layout and copper routing (Pcbnew), generating manufacturing outputs (Gerber files, drill files, BOM), and providing powerful 3D visualization capabilities via its integrated raytracing 3D viewer to verify mechanical clearances and overall board aesthetics.</w:t>
      </w:r>
    </w:p>
    <w:p>
      <w:pPr>
        <w:pStyle w:val="Normal"/>
        <w:jc w:val="both"/>
        <w:rPr/>
      </w:pPr>
      <w:r>
        <w:rPr>
          <w:b/>
          <w:sz w:val="24"/>
        </w:rPr>
        <w:t xml:space="preserve">Ngspice: </w:t>
      </w:r>
      <w:r>
        <w:rPr>
          <w:sz w:val="24"/>
        </w:rPr>
        <w:t>The underlying SPICE-compatible simulation engine within eSim. Ngspice is vital for performing DC operating point analysis, AC frequency response, and transient response simulations of the analog power management circuits (boost converter, LDO, soft latch) prior to committing the design to physical fabrication. This allows for iterative refinement of component values in a virtual environment.</w:t>
      </w:r>
    </w:p>
    <w:p>
      <w:pPr>
        <w:pStyle w:val="Normal"/>
        <w:rPr/>
      </w:pPr>
      <w:r>
        <w:rPr/>
      </w:r>
      <w:r>
        <w:br w:type="page"/>
      </w:r>
    </w:p>
    <w:p>
      <w:pPr>
        <w:pStyle w:val="Heading1"/>
        <w:rPr/>
      </w:pPr>
      <w:r>
        <w:rPr/>
        <w:t>7. Design Flow</w:t>
      </w:r>
    </w:p>
    <w:p>
      <w:pPr>
        <w:pStyle w:val="Normal"/>
        <w:spacing w:before="0" w:after="120"/>
        <w:jc w:val="both"/>
        <w:rPr/>
      </w:pPr>
      <w:r>
        <w:rPr>
          <w:b w:val="false"/>
          <w:i w:val="false"/>
          <w:color w:val="000000"/>
          <w:sz w:val="24"/>
        </w:rPr>
        <w:t>The project adhered to a rigorous, systematic hardware engineering methodology. The sequential design flow, visually represented in Figure 9 below, ensures that each phase is validated before proceeding to the next, minimizing costly design iterations.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Requirement Analysis &amp; Component Sourcing</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Circuit Design &amp; Simulation (Ngspice)</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Schematic Capture (eSim / KiCad Eeschema)</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Electrical Rules Check (ERC)</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Footprint Assignment</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Netlist Generation &amp; Import to Pcbnew</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PCB Layout &amp; Component Placement</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Copper Routing &amp; Ground Pour</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Design Rules Check (DRC)</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3D Verification &amp; Gerber Generation</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Final PCB Design Output</w:t>
            </w:r>
          </w:p>
        </w:tc>
      </w:tr>
    </w:tbl>
    <w:p>
      <w:pPr>
        <w:pStyle w:val="Normal"/>
        <w:rPr/>
      </w:pPr>
      <w:r>
        <w:rPr/>
      </w:r>
    </w:p>
    <w:p>
      <w:pPr>
        <w:pStyle w:val="Normal"/>
        <w:jc w:val="center"/>
        <w:rPr/>
      </w:pPr>
      <w:r>
        <w:rPr>
          <w:b/>
          <w:color w:val="1A237E"/>
          <w:sz w:val="22"/>
        </w:rPr>
        <w:t>Figure 9: Design Flow Diagram</w:t>
      </w:r>
    </w:p>
    <w:p>
      <w:pPr>
        <w:pStyle w:val="Normal"/>
        <w:rPr/>
      </w:pPr>
      <w:r>
        <w:rPr/>
      </w:r>
      <w:r>
        <w:br w:type="page"/>
      </w:r>
    </w:p>
    <w:p>
      <w:pPr>
        <w:pStyle w:val="Heading1"/>
        <w:rPr/>
      </w:pPr>
      <w:r>
        <w:rPr/>
        <w:t>8. Expected Working / System Operation</w:t>
      </w:r>
    </w:p>
    <w:p>
      <w:pPr>
        <w:pStyle w:val="Normal"/>
        <w:spacing w:before="0" w:after="120"/>
        <w:jc w:val="both"/>
        <w:rPr/>
      </w:pPr>
      <w:r>
        <w:rPr>
          <w:b w:val="false"/>
          <w:i w:val="false"/>
          <w:color w:val="000000"/>
          <w:sz w:val="24"/>
        </w:rPr>
        <w:t>The operational sequence of the air quality monitoring hardware is designed for absolute autonomy and maximum power efficiency. The complete system operation flow, from power-on to shutdown, is detailed in Figure 10 below.</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1. User briefly presses Tactile Power Button</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2. Soft latch activates P-MOSFET, battery current flows</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3. MT3608 boosts 3.7V → 5V; AMS1117 regulates → 3.3V</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4. ESP32 boots and asserts GPIO to hold power latch</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5. ESP32 initializes I²C bus and configures ADS1115</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6. Analog sensor sampling; ADC converts to 16-bit data</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7. ESP32 processes data, applies calibration coefficients</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8. Data transmitted via Wi-Fi / BLE to cloud or app</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9. Continuous monitoring loop / deep sleep scheduling</w:t>
            </w:r>
          </w:p>
        </w:tc>
      </w:tr>
    </w:tbl>
    <w:p>
      <w:pPr>
        <w:pStyle w:val="Normal"/>
        <w:spacing w:before="40" w:after="40"/>
        <w:jc w:val="center"/>
        <w:rPr/>
      </w:pPr>
      <w:r>
        <w:rPr>
          <w:color w:val="1A237E"/>
          <w:sz w:val="32"/>
        </w:rPr>
        <w:t>▼</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8" w:space="0" w:color="1A237E"/>
              <w:left w:val="single" w:sz="8" w:space="0" w:color="1A237E"/>
              <w:bottom w:val="single" w:sz="8" w:space="0" w:color="1A237E"/>
              <w:right w:val="single" w:sz="8" w:space="0" w:color="1A237E"/>
            </w:tcBorders>
            <w:shd w:fill="E8EAF6"/>
          </w:tcPr>
          <w:p>
            <w:pPr>
              <w:pStyle w:val="Normal"/>
              <w:widowControl w:val="false"/>
              <w:spacing w:before="0" w:after="120"/>
              <w:jc w:val="center"/>
              <w:rPr/>
            </w:pPr>
            <w:r>
              <w:rPr>
                <w:b/>
                <w:color w:val="1A237E"/>
                <w:sz w:val="22"/>
              </w:rPr>
              <w:t>10. Long press button → ESP32 releases GPIO → Power OFF</w:t>
            </w:r>
          </w:p>
        </w:tc>
      </w:tr>
    </w:tbl>
    <w:p>
      <w:pPr>
        <w:pStyle w:val="Normal"/>
        <w:rPr/>
      </w:pPr>
      <w:r>
        <w:rPr/>
      </w:r>
    </w:p>
    <w:p>
      <w:pPr>
        <w:pStyle w:val="Normal"/>
        <w:jc w:val="center"/>
        <w:rPr/>
      </w:pPr>
      <w:r>
        <w:rPr>
          <w:b/>
          <w:color w:val="1A237E"/>
          <w:sz w:val="22"/>
        </w:rPr>
        <w:t>Figure 10: System Operation Flow</w:t>
      </w:r>
    </w:p>
    <w:p>
      <w:pPr>
        <w:pStyle w:val="Normal"/>
        <w:rPr/>
      </w:pPr>
      <w:r>
        <w:rPr/>
      </w:r>
      <w:r>
        <w:br w:type="page"/>
      </w:r>
    </w:p>
    <w:p>
      <w:pPr>
        <w:pStyle w:val="Heading1"/>
        <w:rPr/>
      </w:pPr>
      <w:r>
        <w:rPr/>
        <w:t>9. Design Advantages</w:t>
      </w:r>
    </w:p>
    <w:p>
      <w:pPr>
        <w:pStyle w:val="Normal"/>
        <w:spacing w:before="0" w:after="120"/>
        <w:jc w:val="both"/>
        <w:rPr/>
      </w:pPr>
      <w:r>
        <w:rPr>
          <w:b w:val="false"/>
          <w:i w:val="false"/>
          <w:color w:val="000000"/>
          <w:sz w:val="24"/>
        </w:rPr>
        <w:t>The engineered PCB offers significant architectural improvements over basic breadboard prototyping solutions and generic development board implementations. The key advantages are summarized in Table 4.</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Advantage</w:t>
            </w:r>
          </w:p>
        </w:tc>
        <w:tc>
          <w:tcPr>
            <w:tcW w:w="4679"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Description</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Low Power Consumption</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Soft latch solid-state switching ensures absolute zero quiescent current when powered off, preserving battery charge for months of standby.</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Portable Design</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Native support for Li-ion/Li-Po batteries combined with a compact 60×40mm form factor allows for unrestricted field deployment.</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Rechargeable</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USB-based charging interface allows convenient battery replenishment without disassembling the monitoring unit.</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High Efficiency</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Integration of the MT3608 boost converter maintains &gt;90% power conversion efficiency across varying battery discharge states.</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Precision Measurement</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The dedicated 16-bit ADS1115 ADC provides drastically superior noise rejection and resolution compared to built-in MCU ADCs.</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IoT Connectivity</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The dual-core ESP32 provides massive computational overhead alongside native 802.11 Wi-Fi and Bluetooth Low Energy stacks.</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Cost Effective</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Utilizes widely available, highly commoditized electronic components, making mass production economically viable.</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Expandable Architecture</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Generic header interfaces and unused ADC channels allow for the future integration of diverse environmental sensors.</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Easy Maintenance</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Modular design with clearly separated functional blocks simplifies fault diagnosis and component-level repair.</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Compact PCB</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Optimized component placement and routing achieve a small footprint suitable for enclosure in portable housings.</w:t>
            </w:r>
          </w:p>
        </w:tc>
      </w:tr>
    </w:tbl>
    <w:p>
      <w:pPr>
        <w:pStyle w:val="Normal"/>
        <w:rPr/>
      </w:pPr>
      <w:r>
        <w:rPr/>
      </w:r>
    </w:p>
    <w:p>
      <w:pPr>
        <w:pStyle w:val="Normal"/>
        <w:jc w:val="center"/>
        <w:rPr/>
      </w:pPr>
      <w:r>
        <w:rPr>
          <w:b/>
          <w:color w:val="1A237E"/>
          <w:sz w:val="22"/>
        </w:rPr>
        <w:t>Table 4: Design Advantages Summary</w:t>
      </w:r>
    </w:p>
    <w:p>
      <w:pPr>
        <w:pStyle w:val="Heading1"/>
        <w:rPr/>
      </w:pPr>
      <w:r>
        <w:rPr/>
        <w:t>10. Applications</w:t>
      </w:r>
    </w:p>
    <w:p>
      <w:pPr>
        <w:pStyle w:val="Normal"/>
        <w:spacing w:before="0" w:after="120"/>
        <w:jc w:val="both"/>
        <w:rPr/>
      </w:pPr>
      <w:r>
        <w:rPr>
          <w:b w:val="false"/>
          <w:i w:val="false"/>
          <w:color w:val="000000"/>
          <w:sz w:val="24"/>
        </w:rPr>
        <w:t>The versatility, wireless capabilities, and portable form factor of this hardware platform render it highly suitable for deployment across a multitude of use cases:</w:t>
      </w:r>
    </w:p>
    <w:p>
      <w:pPr>
        <w:pStyle w:val="Normal"/>
        <w:jc w:val="both"/>
        <w:rPr/>
      </w:pPr>
      <w:r>
        <w:rPr>
          <w:b/>
          <w:sz w:val="24"/>
        </w:rPr>
        <w:t xml:space="preserve">Indoor Air Quality (IAQ) Monitoring: </w:t>
      </w:r>
      <w:r>
        <w:rPr>
          <w:sz w:val="24"/>
        </w:rPr>
        <w:t>Real-time assessment of carbon dioxide, volatile organic compound (VOC), and particulate matter levels in residential homes, corporate offices, schools, and hospitals to optimize HVAC systems and ensure occupant well-being.</w:t>
      </w:r>
    </w:p>
    <w:p>
      <w:pPr>
        <w:pStyle w:val="Normal"/>
        <w:jc w:val="both"/>
        <w:rPr/>
      </w:pPr>
      <w:r>
        <w:rPr>
          <w:b/>
          <w:sz w:val="24"/>
        </w:rPr>
        <w:t xml:space="preserve">Smart Home Integration: </w:t>
      </w:r>
      <w:r>
        <w:rPr>
          <w:sz w:val="24"/>
        </w:rPr>
        <w:t>Serving as environmental sensory nodes within home automation ecosystems, interfacing seamlessly with platforms such as Home Assistant, OpenHAB, or Blynk via MQTT or HTTP protocols.</w:t>
      </w:r>
    </w:p>
    <w:p>
      <w:pPr>
        <w:pStyle w:val="Normal"/>
        <w:jc w:val="both"/>
        <w:rPr/>
      </w:pPr>
      <w:r>
        <w:rPr>
          <w:b/>
          <w:sz w:val="24"/>
        </w:rPr>
        <w:t xml:space="preserve">Industrial Compliance Monitoring: </w:t>
      </w:r>
      <w:r>
        <w:rPr>
          <w:sz w:val="24"/>
        </w:rPr>
        <w:t>Localized monitoring of factory floor emissions, chemical storage areas, or hazardous gas leak detection in confined industrial spaces, supporting regulatory compliance reporting.</w:t>
      </w:r>
    </w:p>
    <w:p>
      <w:pPr>
        <w:pStyle w:val="Normal"/>
        <w:jc w:val="both"/>
        <w:rPr/>
      </w:pPr>
      <w:r>
        <w:rPr>
          <w:b/>
          <w:sz w:val="24"/>
        </w:rPr>
        <w:t xml:space="preserve">Urban Environmental Research: </w:t>
      </w:r>
      <w:r>
        <w:rPr>
          <w:sz w:val="24"/>
        </w:rPr>
        <w:t>Distributed deployment across urban grids to create high-resolution, crowd-sourced atmospheric pollution maps for academic research and municipal planning.</w:t>
      </w:r>
    </w:p>
    <w:p>
      <w:pPr>
        <w:pStyle w:val="Normal"/>
        <w:jc w:val="both"/>
        <w:rPr/>
      </w:pPr>
      <w:r>
        <w:rPr>
          <w:b/>
          <w:sz w:val="24"/>
        </w:rPr>
        <w:t xml:space="preserve">Laboratory Air Quality: </w:t>
      </w:r>
      <w:r>
        <w:rPr>
          <w:sz w:val="24"/>
        </w:rPr>
        <w:t>Monitoring fume hood effectiveness and ambient air quality in chemical and biological research laboratories.</w:t>
      </w:r>
    </w:p>
    <w:p>
      <w:pPr>
        <w:pStyle w:val="Normal"/>
        <w:jc w:val="both"/>
        <w:rPr/>
      </w:pPr>
      <w:r>
        <w:rPr>
          <w:b/>
          <w:sz w:val="24"/>
        </w:rPr>
        <w:t xml:space="preserve">Educational Platforms: </w:t>
      </w:r>
      <w:r>
        <w:rPr>
          <w:sz w:val="24"/>
        </w:rPr>
        <w:t>An open-source hardware base for academic institutions teaching embedded systems design, PCB layout, IoT data analytics, and sensor interfacing.</w:t>
      </w:r>
    </w:p>
    <w:p>
      <w:pPr>
        <w:pStyle w:val="Normal"/>
        <w:jc w:val="both"/>
        <w:rPr/>
      </w:pPr>
      <w:r>
        <w:rPr>
          <w:b/>
          <w:sz w:val="24"/>
        </w:rPr>
        <w:t xml:space="preserve">IoT Sensor Networks: </w:t>
      </w:r>
      <w:r>
        <w:rPr>
          <w:sz w:val="24"/>
        </w:rPr>
        <w:t>Functioning as autonomous wireless nodes in large-scale mesh sensor networks for comprehensive environmental data collection.</w:t>
      </w:r>
    </w:p>
    <w:p>
      <w:pPr>
        <w:pStyle w:val="Normal"/>
        <w:jc w:val="both"/>
        <w:rPr/>
      </w:pPr>
      <w:r>
        <w:rPr>
          <w:b/>
          <w:sz w:val="24"/>
        </w:rPr>
        <w:t xml:space="preserve">Portable Personal Monitors: </w:t>
      </w:r>
      <w:r>
        <w:rPr>
          <w:sz w:val="24"/>
        </w:rPr>
        <w:t>Wearable or pocket-sized personal air quality devices for individuals with respiratory conditions or health-conscious users.</w:t>
      </w:r>
    </w:p>
    <w:p>
      <w:pPr>
        <w:pStyle w:val="Normal"/>
        <w:rPr/>
      </w:pPr>
      <w:r>
        <w:rPr/>
      </w:r>
      <w:r>
        <w:br w:type="page"/>
      </w:r>
    </w:p>
    <w:p>
      <w:pPr>
        <w:pStyle w:val="Heading1"/>
        <w:rPr/>
      </w:pPr>
      <w:r>
        <w:rPr/>
        <w:t>11. Bill of Materials</w:t>
      </w:r>
    </w:p>
    <w:p>
      <w:pPr>
        <w:pStyle w:val="Normal"/>
        <w:spacing w:before="0" w:after="120"/>
        <w:jc w:val="both"/>
        <w:rPr/>
      </w:pPr>
      <w:r>
        <w:rPr>
          <w:b w:val="false"/>
          <w:i w:val="false"/>
          <w:color w:val="000000"/>
          <w:sz w:val="24"/>
        </w:rPr>
        <w:t>Table 2 presents the complete inventory of electronic components required for the assembly of the Battery-Powered ESP32 Air Quality Monitoring PCB.</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SI No.</w:t>
            </w:r>
          </w:p>
        </w:tc>
        <w:tc>
          <w:tcPr>
            <w:tcW w:w="234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Component</w:t>
            </w:r>
          </w:p>
        </w:tc>
        <w:tc>
          <w:tcPr>
            <w:tcW w:w="234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Description</w:t>
            </w:r>
          </w:p>
        </w:tc>
        <w:tc>
          <w:tcPr>
            <w:tcW w:w="2339"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Qty</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ESP32-WROOM-32</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Wi-Fi/BLE Microcontroller Module (Castellated)</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ADS1115</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16-bit I²C ADC (MSOP-10)</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3</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MT3608</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2A Step-Up Boost Converter IC (SOT-23-6)</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4</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AMS1117-3.3</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3.3V LDO Voltage Regulator (SOT-223)</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5</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SI2301</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P-Channel MOSFET (SOT-23)</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6</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2N7002</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N-Channel MOSFET (SOT-23)</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7</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22µH Inductor</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SMD Shielded Power Inductor</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8</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SS14 Schottky Diode</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1A 40V Schottky Rectifier (SMA)</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9</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10µF Capacitor</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Electrolytic/Tantalum Decoupling (SMD)</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4</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10</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22µF Capacitor</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Ceramic Output Filter (0805)</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11</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100nF Capacitor</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Ceramic Bypass (0805)</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6</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12</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22pF Capacitor</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Ceramic Crystal Load (0603)</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13</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10kΩ Resistor</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Pull-up/Pull-down Logic (0805)</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6</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14</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4.7kΩ Resistor</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I²C Bus Pull-up (0805)</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15</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1kΩ Resistor</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LED Current Limiting (0805)</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16</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100kΩ Resistor</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Voltage Divider / Feedback (0805)</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17</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200kΩ Resistor</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Boost Converter Feedback (0805)</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18</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LED (Green)</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Power Indicator (0603 SMD)</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19</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LED (Blue)</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Status / Wi-Fi Indicator (0603 SMD)</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20</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Tactile Switch</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6×6mm SMD Power Button</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21</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JST PH 2-Pin</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Battery Connector (Right Angle, THT)</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22</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Micro USB Type-B</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USB Connector (Power/Charging, SMD)</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23</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Pin Header 1×6</w:t>
            </w:r>
          </w:p>
        </w:tc>
        <w:tc>
          <w:tcPr>
            <w:tcW w:w="234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Programming / UART Header (2.54mm, THT)</w:t>
            </w:r>
          </w:p>
        </w:tc>
        <w:tc>
          <w:tcPr>
            <w:tcW w:w="233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r>
        <w:trPr/>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24</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Pin Header 1×4</w:t>
            </w:r>
          </w:p>
        </w:tc>
        <w:tc>
          <w:tcPr>
            <w:tcW w:w="234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Analog Sensor Interface (2.54mm, THT)</w:t>
            </w:r>
          </w:p>
        </w:tc>
        <w:tc>
          <w:tcPr>
            <w:tcW w:w="233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1</w:t>
            </w:r>
          </w:p>
        </w:tc>
      </w:tr>
    </w:tbl>
    <w:p>
      <w:pPr>
        <w:pStyle w:val="Normal"/>
        <w:rPr/>
      </w:pPr>
      <w:r>
        <w:rPr/>
      </w:r>
    </w:p>
    <w:p>
      <w:pPr>
        <w:pStyle w:val="Normal"/>
        <w:jc w:val="center"/>
        <w:rPr/>
      </w:pPr>
      <w:r>
        <w:rPr>
          <w:b/>
          <w:color w:val="1A237E"/>
          <w:sz w:val="22"/>
        </w:rPr>
        <w:t>Table 2: Bill of Materials</w:t>
      </w:r>
    </w:p>
    <w:p>
      <w:pPr>
        <w:pStyle w:val="Normal"/>
        <w:rPr/>
      </w:pPr>
      <w:r>
        <w:rPr/>
      </w:r>
      <w:r>
        <w:br w:type="page"/>
      </w:r>
    </w:p>
    <w:p>
      <w:pPr>
        <w:pStyle w:val="Heading1"/>
        <w:rPr/>
      </w:pPr>
      <w:r>
        <w:rPr/>
        <w:t>12. Design Specifications</w:t>
      </w:r>
    </w:p>
    <w:p>
      <w:pPr>
        <w:pStyle w:val="Normal"/>
        <w:spacing w:before="0" w:after="120"/>
        <w:jc w:val="both"/>
        <w:rPr/>
      </w:pPr>
      <w:r>
        <w:rPr>
          <w:b w:val="false"/>
          <w:i w:val="false"/>
          <w:color w:val="000000"/>
          <w:sz w:val="24"/>
        </w:rPr>
        <w:t>The core technical parameters of the finalized PCB design are consolidated in Table 1 below.</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Parameter</w:t>
            </w:r>
          </w:p>
        </w:tc>
        <w:tc>
          <w:tcPr>
            <w:tcW w:w="4679" w:type="dxa"/>
            <w:tcBorders/>
            <w:shd w:fill="1A237E"/>
          </w:tcPr>
          <w:p>
            <w:pPr>
              <w:pStyle w:val="Normal"/>
              <w:widowControl/>
              <w:spacing w:before="0" w:after="120"/>
              <w:jc w:val="center"/>
              <w:rPr>
                <w:rFonts w:eastAsia="ＭＳ 明朝" w:cs=""/>
                <w:kern w:val="0"/>
                <w:szCs w:val="22"/>
                <w:lang w:val="en-US" w:eastAsia="en-US" w:bidi="ar-SA"/>
              </w:rPr>
            </w:pPr>
            <w:r>
              <w:rPr>
                <w:rFonts w:eastAsia="ＭＳ 明朝" w:cs=""/>
                <w:b/>
                <w:color w:val="FFFFFF"/>
                <w:kern w:val="0"/>
                <w:sz w:val="22"/>
                <w:szCs w:val="22"/>
                <w:lang w:val="en-US" w:eastAsia="en-US" w:bidi="ar-SA"/>
              </w:rPr>
              <w:t>Specification</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Supply Voltage (Battery)</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3.7V DC Nominal (Li-ion / Li-Po, Single Cell)</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Boosted Intermediate Bus Voltage</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5.0V DC (via MT3608)</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Logic / Regulated Voltage</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3.3V DC (via AMS1117-3.3)</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Primary Controller</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ESP32-WROOM-32 (Dual-core Xtensa LX6, 240 MHz)</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Analog-to-Digital Converter</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ADS1115 (16-bit Delta-Sigma, I²C Interface)</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Communication Protocols</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I²C (400 kHz), Wi-Fi 802.11 b/g/n, BLE v4.2</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PCB Architecture</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2-Layer FR4, 1.6mm Thickness, 1oz (35µm) Copper</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Board Dimensions</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 xml:space="preserve">≈ 60 mm × 40 mm</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Surface Finish</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HASL (Hot Air Solder Leveling)</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Design Software</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eSim v2.5 / KiCad (Eeschema + Pcbnew)</w:t>
            </w:r>
          </w:p>
        </w:tc>
      </w:tr>
      <w:tr>
        <w:trPr/>
        <w:tc>
          <w:tcPr>
            <w:tcW w:w="4680"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Power Management</w:t>
            </w:r>
          </w:p>
        </w:tc>
        <w:tc>
          <w:tcPr>
            <w:tcW w:w="4679" w:type="dxa"/>
            <w:tcBorders/>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Solid-state Soft Latch + MT3608 Boost + AMS1117 LDO</w:t>
            </w:r>
          </w:p>
        </w:tc>
      </w:tr>
      <w:tr>
        <w:trPr/>
        <w:tc>
          <w:tcPr>
            <w:tcW w:w="4680"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Operating Principle</w:t>
            </w:r>
          </w:p>
        </w:tc>
        <w:tc>
          <w:tcPr>
            <w:tcW w:w="4679" w:type="dxa"/>
            <w:tcBorders/>
            <w:shd w:fill="F5F5F5"/>
          </w:tcPr>
          <w:p>
            <w:pPr>
              <w:pStyle w:val="Normal"/>
              <w:widowControl/>
              <w:spacing w:before="0" w:after="120"/>
              <w:jc w:val="left"/>
              <w:rPr>
                <w:rFonts w:eastAsia="ＭＳ 明朝" w:cs=""/>
                <w:kern w:val="0"/>
                <w:szCs w:val="22"/>
                <w:lang w:val="en-US" w:eastAsia="en-US" w:bidi="ar-SA"/>
              </w:rPr>
            </w:pPr>
            <w:r>
              <w:rPr>
                <w:rFonts w:eastAsia="ＭＳ 明朝" w:cs=""/>
                <w:kern w:val="0"/>
                <w:sz w:val="22"/>
                <w:szCs w:val="22"/>
                <w:lang w:val="en-US" w:eastAsia="en-US" w:bidi="ar-SA"/>
              </w:rPr>
              <w:t>Analog Sensor → 16-bit ADC → ESP32 Processing → Wireless Payload</w:t>
            </w:r>
          </w:p>
        </w:tc>
      </w:tr>
    </w:tbl>
    <w:p>
      <w:pPr>
        <w:pStyle w:val="Normal"/>
        <w:rPr/>
      </w:pPr>
      <w:r>
        <w:rPr/>
      </w:r>
    </w:p>
    <w:p>
      <w:pPr>
        <w:pStyle w:val="Normal"/>
        <w:jc w:val="center"/>
        <w:rPr/>
      </w:pPr>
      <w:r>
        <w:rPr>
          <w:b/>
          <w:color w:val="1A237E"/>
          <w:sz w:val="22"/>
        </w:rPr>
        <w:t>Table 1: Design Specifications</w:t>
      </w:r>
    </w:p>
    <w:p>
      <w:pPr>
        <w:pStyle w:val="Normal"/>
        <w:rPr/>
      </w:pPr>
      <w:r>
        <w:rPr/>
      </w:r>
      <w:r>
        <w:br w:type="page"/>
      </w:r>
    </w:p>
    <w:p>
      <w:pPr>
        <w:pStyle w:val="Heading1"/>
        <w:rPr/>
      </w:pPr>
      <w:r>
        <w:rPr/>
        <w:t>13. Results</w:t>
      </w:r>
    </w:p>
    <w:p>
      <w:pPr>
        <w:pStyle w:val="Normal"/>
        <w:spacing w:before="0" w:after="120"/>
        <w:jc w:val="both"/>
        <w:rPr/>
      </w:pPr>
      <w:r>
        <w:rPr>
          <w:b w:val="false"/>
          <w:i w:val="false"/>
          <w:color w:val="000000"/>
          <w:sz w:val="24"/>
        </w:rPr>
        <w:t>This section presents the visual culmination of the PCB design process, including schematic captures, precise copper layer renders, photorealistic 3D mechanical visualizations, and programmatic design verification reports. All images should be inserted from the actual eSim/KiCad project files.</w:t>
      </w:r>
    </w:p>
    <w:p>
      <w:pPr>
        <w:pStyle w:val="Heading2"/>
        <w:rPr/>
      </w:pPr>
      <w:r>
        <w:rPr/>
        <w:t>13.1 Circuit Schematic</w:t>
      </w:r>
    </w:p>
    <w:p>
      <w:pPr>
        <w:pStyle w:val="Normal"/>
        <w:spacing w:before="0" w:after="120"/>
        <w:jc w:val="both"/>
        <w:rPr/>
      </w:pPr>
      <w:r>
        <w:rPr>
          <w:b w:val="false"/>
          <w:i w:val="false"/>
          <w:color w:val="000000"/>
          <w:sz w:val="24"/>
        </w:rPr>
        <w:t>The complete circuit schematic, drafted in eSim/KiCad Eeschema, illustrates the logical interconnections between the battery power input, soft latching circuit, boost converter, LDO regulator, ESP32 microcontroller, ADS1115 ADC, sensor interface headers, status LEDs, and programming connector. Hierarchical structuring with global net labels ensures the design is c</w:t>
      </w:r>
      <w:r>
        <w:drawing>
          <wp:anchor behindDoc="0" distT="0" distB="0" distL="0" distR="0" simplePos="0" locked="0" layoutInCell="0" allowOverlap="1" relativeHeight="2">
            <wp:simplePos x="0" y="0"/>
            <wp:positionH relativeFrom="column">
              <wp:posOffset>68580</wp:posOffset>
            </wp:positionH>
            <wp:positionV relativeFrom="paragraph">
              <wp:posOffset>1562100</wp:posOffset>
            </wp:positionV>
            <wp:extent cx="5806440" cy="36664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06440" cy="3666490"/>
                    </a:xfrm>
                    <a:prstGeom prst="rect">
                      <a:avLst/>
                    </a:prstGeom>
                  </pic:spPr>
                </pic:pic>
              </a:graphicData>
            </a:graphic>
          </wp:anchor>
        </w:drawing>
      </w:r>
      <w:r>
        <w:rPr>
          <w:b w:val="false"/>
          <w:i w:val="false"/>
          <w:color w:val="000000"/>
          <w:sz w:val="24"/>
        </w:rPr>
        <w:t>omprehensible and electrically verified.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spacing w:before="0" w:after="120"/>
              <w:rPr/>
            </w:pPr>
            <w:r>
              <w:rPr/>
            </w:r>
          </w:p>
        </w:tc>
      </w:tr>
    </w:tbl>
    <w:p>
      <w:pPr>
        <w:pStyle w:val="Normal"/>
        <w:spacing w:before="0" w:after="360"/>
        <w:jc w:val="center"/>
        <w:rPr/>
      </w:pPr>
      <w:r>
        <w:rPr>
          <w:b/>
          <w:color w:val="1A237E"/>
          <w:sz w:val="22"/>
        </w:rPr>
        <w:t>Figure 1: Schematic Image</w:t>
      </w:r>
    </w:p>
    <w:p>
      <w:pPr>
        <w:pStyle w:val="Heading2"/>
        <w:rPr/>
      </w:pPr>
      <w:r>
        <w:rPr/>
        <w:t>13.2 PCB Layout — All Layers View</w:t>
      </w:r>
    </w:p>
    <w:p>
      <w:pPr>
        <w:pStyle w:val="Normal"/>
        <w:spacing w:before="0" w:after="120"/>
        <w:jc w:val="both"/>
        <w:rPr/>
      </w:pPr>
      <w:r>
        <w:rPr>
          <w:b w:val="false"/>
          <w:i w:val="false"/>
          <w:color w:val="000000"/>
          <w:sz w:val="24"/>
        </w:rPr>
        <w:t>The composite PCB layout view displays both front and back copper layers, silkscreen markings, solder mask boundaries, and board edge cuts overlaid together. This consolidated view confirms the compact 60×40mm footprint and the strategic physical segregation of the noisy power conversion section from the sensitive analog acquisition area.</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rPr/>
            </w:pPr>
            <w:r>
              <w:rPr/>
              <w:drawing>
                <wp:anchor behindDoc="0" distT="0" distB="0" distL="0" distR="0" simplePos="0" locked="0" layoutInCell="0" allowOverlap="1" relativeHeight="3">
                  <wp:simplePos x="0" y="0"/>
                  <wp:positionH relativeFrom="column">
                    <wp:posOffset>2922270</wp:posOffset>
                  </wp:positionH>
                  <wp:positionV relativeFrom="paragraph">
                    <wp:posOffset>38100</wp:posOffset>
                  </wp:positionV>
                  <wp:extent cx="2653665" cy="270383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2653665" cy="2703830"/>
                          </a:xfrm>
                          <a:prstGeom prst="rect">
                            <a:avLst/>
                          </a:prstGeom>
                        </pic:spPr>
                      </pic:pic>
                    </a:graphicData>
                  </a:graphic>
                </wp:anchor>
              </w:drawing>
              <w:drawing>
                <wp:anchor behindDoc="0" distT="0" distB="0" distL="0" distR="0" simplePos="0" locked="0" layoutInCell="0" allowOverlap="1" relativeHeight="5">
                  <wp:simplePos x="0" y="0"/>
                  <wp:positionH relativeFrom="column">
                    <wp:posOffset>-34290</wp:posOffset>
                  </wp:positionH>
                  <wp:positionV relativeFrom="paragraph">
                    <wp:posOffset>76200</wp:posOffset>
                  </wp:positionV>
                  <wp:extent cx="2871470" cy="264668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2871470" cy="2646680"/>
                          </a:xfrm>
                          <a:prstGeom prst="rect">
                            <a:avLst/>
                          </a:prstGeom>
                        </pic:spPr>
                      </pic:pic>
                    </a:graphicData>
                  </a:graphic>
                </wp:anchor>
              </w:drawing>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spacing w:before="0" w:after="120"/>
              <w:jc w:val="center"/>
              <w:rPr/>
            </w:pPr>
            <w:r>
              <w:rPr/>
            </w:r>
          </w:p>
        </w:tc>
      </w:tr>
    </w:tbl>
    <w:p>
      <w:pPr>
        <w:pStyle w:val="Normal"/>
        <w:spacing w:before="0" w:after="360"/>
        <w:jc w:val="center"/>
        <w:rPr/>
      </w:pPr>
      <w:r>
        <w:rPr>
          <w:b/>
          <w:color w:val="1A237E"/>
          <w:sz w:val="22"/>
        </w:rPr>
        <w:t>Figure 2: PCB Layout (All Layers) Image</w:t>
      </w:r>
    </w:p>
    <w:p>
      <w:pPr>
        <w:pStyle w:val="Heading2"/>
        <w:rPr/>
      </w:pPr>
      <w:r>
        <w:rPr/>
        <w:t>13.3 Front Copper Layer (F.Cu)</w:t>
      </w:r>
    </w:p>
    <w:p>
      <w:pPr>
        <w:pStyle w:val="Normal"/>
        <w:spacing w:before="0" w:after="120"/>
        <w:jc w:val="both"/>
        <w:rPr/>
      </w:pPr>
      <w:r>
        <w:rPr>
          <w:b w:val="false"/>
          <w:i w:val="false"/>
          <w:color w:val="000000"/>
          <w:sz w:val="24"/>
        </w:rPr>
        <w:t>The Front Copper (F.Cu) layer accommodates all surface-mount components and handles the majority of high-density signal routing around the ESP32 and ADS1115 ICs. A comprehensive ground copper pour is implemented across all unoccupied regions to provide localized return paths and thermal dissipation.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rPr/>
            </w:pPr>
            <w:r>
              <w:rPr/>
            </w:r>
          </w:p>
          <w:p>
            <w:pPr>
              <w:pStyle w:val="Normal"/>
              <w:widowControl w:val="false"/>
              <w:jc w:val="center"/>
              <w:rPr/>
            </w:pPr>
            <w:r>
              <w:rPr/>
            </w:r>
          </w:p>
          <w:p>
            <w:pPr>
              <w:pStyle w:val="Normal"/>
              <w:widowControl w:val="false"/>
              <w:jc w:val="center"/>
              <w:rPr/>
            </w:pPr>
            <w:r>
              <w:rPr/>
              <w:drawing>
                <wp:anchor behindDoc="0" distT="0" distB="0" distL="0" distR="0" simplePos="0" locked="0" layoutInCell="0" allowOverlap="1" relativeHeight="4">
                  <wp:simplePos x="0" y="0"/>
                  <wp:positionH relativeFrom="column">
                    <wp:posOffset>58420</wp:posOffset>
                  </wp:positionH>
                  <wp:positionV relativeFrom="paragraph">
                    <wp:posOffset>57150</wp:posOffset>
                  </wp:positionV>
                  <wp:extent cx="5282565" cy="270383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282565" cy="2703830"/>
                          </a:xfrm>
                          <a:prstGeom prst="rect">
                            <a:avLst/>
                          </a:prstGeom>
                        </pic:spPr>
                      </pic:pic>
                    </a:graphicData>
                  </a:graphic>
                </wp:anchor>
              </w:drawing>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spacing w:before="0" w:after="120"/>
              <w:jc w:val="center"/>
              <w:rPr/>
            </w:pPr>
            <w:r>
              <w:rPr/>
            </w:r>
          </w:p>
        </w:tc>
      </w:tr>
    </w:tbl>
    <w:p>
      <w:pPr>
        <w:pStyle w:val="Normal"/>
        <w:spacing w:before="0" w:after="360"/>
        <w:jc w:val="center"/>
        <w:rPr/>
      </w:pPr>
      <w:r>
        <w:rPr>
          <w:b/>
          <w:color w:val="1A237E"/>
          <w:sz w:val="22"/>
        </w:rPr>
        <w:t>Figure 3: Front Copper Layer Image</w:t>
      </w:r>
    </w:p>
    <w:p>
      <w:pPr>
        <w:pStyle w:val="Normal"/>
        <w:rPr/>
      </w:pPr>
      <w:r>
        <w:rPr/>
      </w:r>
      <w:r>
        <w:br w:type="page"/>
      </w:r>
    </w:p>
    <w:p>
      <w:pPr>
        <w:pStyle w:val="Heading2"/>
        <w:rPr/>
      </w:pPr>
      <w:r>
        <w:rPr/>
        <w:t>13.4 Back Copper Layer (B.Cu)</w:t>
      </w:r>
    </w:p>
    <w:p>
      <w:pPr>
        <w:pStyle w:val="Normal"/>
        <w:spacing w:before="0" w:after="120"/>
        <w:jc w:val="both"/>
        <w:rPr/>
      </w:pPr>
      <w:r>
        <w:rPr>
          <w:b w:val="false"/>
          <w:i w:val="false"/>
          <w:color w:val="000000"/>
          <w:sz w:val="24"/>
        </w:rPr>
        <w:t>The Back Copper (B.Cu) layer acts primarily as a continuous, unbroken ground plane. Minimal supplementary trace routing is present on this layer, significantly reducing electromagnetic interference and providing an excellent, low-impedance return current path for all signals routed on the front layer.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jc w:val="center"/>
              <w:rPr>
                <w:rFonts w:ascii="Calibri" w:hAnsi="Calibri"/>
                <w:b/>
                <w:b/>
                <w:color w:val="888888"/>
                <w:sz w:val="36"/>
              </w:rPr>
            </w:pPr>
            <w:r>
              <w:rPr/>
              <w:drawing>
                <wp:anchor behindDoc="0" distT="0" distB="0" distL="0" distR="0" simplePos="0" locked="0" layoutInCell="0" allowOverlap="1" relativeHeight="6">
                  <wp:simplePos x="0" y="0"/>
                  <wp:positionH relativeFrom="column">
                    <wp:posOffset>480695</wp:posOffset>
                  </wp:positionH>
                  <wp:positionV relativeFrom="paragraph">
                    <wp:posOffset>8890</wp:posOffset>
                  </wp:positionV>
                  <wp:extent cx="4769485" cy="26466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769485" cy="2646680"/>
                          </a:xfrm>
                          <a:prstGeom prst="rect">
                            <a:avLst/>
                          </a:prstGeom>
                        </pic:spPr>
                      </pic:pic>
                    </a:graphicData>
                  </a:graphic>
                </wp:anchor>
              </w:drawing>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jc w:val="center"/>
              <w:rPr/>
            </w:pPr>
            <w:r>
              <w:rPr/>
            </w:r>
          </w:p>
          <w:p>
            <w:pPr>
              <w:pStyle w:val="Normal"/>
              <w:widowControl w:val="false"/>
              <w:spacing w:before="0" w:after="120"/>
              <w:jc w:val="center"/>
              <w:rPr/>
            </w:pPr>
            <w:r>
              <w:rPr/>
            </w:r>
          </w:p>
        </w:tc>
      </w:tr>
    </w:tbl>
    <w:p>
      <w:pPr>
        <w:pStyle w:val="Normal"/>
        <w:spacing w:before="0" w:after="360"/>
        <w:jc w:val="center"/>
        <w:rPr/>
      </w:pPr>
      <w:r>
        <w:rPr>
          <w:b/>
          <w:color w:val="1A237E"/>
          <w:sz w:val="22"/>
        </w:rPr>
        <w:t>Figure 4: Back Copper Layer Image</w:t>
      </w:r>
    </w:p>
    <w:p>
      <w:pPr>
        <w:pStyle w:val="Heading2"/>
        <w:rPr/>
      </w:pPr>
      <w:r>
        <w:rPr/>
        <w:t>13.5 3D PCB Model — Front View</w:t>
      </w:r>
    </w:p>
    <w:p>
      <w:pPr>
        <w:pStyle w:val="Normal"/>
        <w:spacing w:before="0" w:after="120"/>
        <w:jc w:val="both"/>
        <w:rPr/>
      </w:pPr>
      <w:r>
        <w:rPr>
          <w:b w:val="false"/>
          <w:i w:val="false"/>
          <w:color w:val="000000"/>
          <w:sz w:val="24"/>
        </w:rPr>
        <w:t>The 3D front view, generated by KiCad's integrated raytracing 3D viewer, provides a photorealistic visualization of the assembled board. This view allows for precise mechanical verification of component clearances, connector accessibility (battery, sensors, USB), and ensures no vertical collisions would occur within the final enclosure.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rPr>
                <w:rFonts w:ascii="Calibri" w:hAnsi="Calibri"/>
                <w:b/>
                <w:b/>
                <w:color w:val="888888"/>
                <w:sz w:val="36"/>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06440" cy="569595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806440" cy="5695950"/>
                          </a:xfrm>
                          <a:prstGeom prst="rect">
                            <a:avLst/>
                          </a:prstGeom>
                        </pic:spPr>
                      </pic:pic>
                    </a:graphicData>
                  </a:graphic>
                </wp:anchor>
              </w:drawing>
            </w:r>
          </w:p>
          <w:p>
            <w:pPr>
              <w:pStyle w:val="Normal"/>
              <w:widowControl w:val="false"/>
              <w:jc w:val="center"/>
              <w:rPr/>
            </w:pPr>
            <w:r>
              <w:rPr/>
            </w:r>
          </w:p>
          <w:p>
            <w:pPr>
              <w:pStyle w:val="Normal"/>
              <w:widowControl w:val="false"/>
              <w:jc w:val="center"/>
              <w:rPr/>
            </w:pPr>
            <w:r>
              <w:rPr/>
            </w:r>
          </w:p>
          <w:p>
            <w:pPr>
              <w:pStyle w:val="Normal"/>
              <w:widowControl w:val="false"/>
              <w:spacing w:before="0" w:after="120"/>
              <w:jc w:val="center"/>
              <w:rPr/>
            </w:pPr>
            <w:r>
              <w:rPr/>
            </w:r>
          </w:p>
        </w:tc>
      </w:tr>
    </w:tbl>
    <w:p>
      <w:pPr>
        <w:pStyle w:val="Normal"/>
        <w:spacing w:before="0" w:after="360"/>
        <w:jc w:val="center"/>
        <w:rPr/>
      </w:pPr>
      <w:r>
        <w:rPr>
          <w:b/>
          <w:color w:val="1A237E"/>
          <w:sz w:val="22"/>
        </w:rPr>
        <w:t>Figure 5: 3D PCB Front View Image</w:t>
      </w:r>
    </w:p>
    <w:p>
      <w:pPr>
        <w:pStyle w:val="Normal"/>
        <w:rPr/>
      </w:pPr>
      <w:r>
        <w:rPr/>
      </w:r>
      <w:r>
        <w:br w:type="page"/>
      </w:r>
    </w:p>
    <w:p>
      <w:pPr>
        <w:pStyle w:val="Heading2"/>
        <w:rPr/>
      </w:pPr>
      <w:r>
        <w:rPr/>
        <w:t>13.6 3D PCB Model — Back View</w:t>
      </w:r>
    </w:p>
    <w:p>
      <w:pPr>
        <w:pStyle w:val="Normal"/>
        <w:spacing w:before="0" w:after="120"/>
        <w:jc w:val="both"/>
        <w:rPr/>
      </w:pPr>
      <w:r>
        <w:rPr>
          <w:b w:val="false"/>
          <w:i w:val="false"/>
          <w:color w:val="000000"/>
          <w:sz w:val="24"/>
        </w:rPr>
        <w:t>The 3D back view highlights the via stitching arrays connecting the top and bottom ground planes, the clean and mostly unpopulated bottom surface, and the through-hole connector pin protrusions. It confirms proper alignment of all mechanical mounting features and connector assemblies.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spacing w:before="0" w:after="120"/>
              <w:rPr>
                <w:rFonts w:ascii="Calibri" w:hAnsi="Calibri"/>
                <w:b/>
                <w:b/>
                <w:color w:val="888888"/>
                <w:sz w:val="36"/>
              </w:rPr>
            </w:pPr>
            <w:r>
              <w:rPr/>
              <w:drawing>
                <wp:anchor behindDoc="0" distT="0" distB="0" distL="0" distR="0" simplePos="0" locked="0" layoutInCell="0" allowOverlap="1" relativeHeight="8">
                  <wp:simplePos x="0" y="0"/>
                  <wp:positionH relativeFrom="column">
                    <wp:posOffset>0</wp:posOffset>
                  </wp:positionH>
                  <wp:positionV relativeFrom="paragraph">
                    <wp:posOffset>67310</wp:posOffset>
                  </wp:positionV>
                  <wp:extent cx="5806440" cy="326898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806440" cy="3268980"/>
                          </a:xfrm>
                          <a:prstGeom prst="rect">
                            <a:avLst/>
                          </a:prstGeom>
                        </pic:spPr>
                      </pic:pic>
                    </a:graphicData>
                  </a:graphic>
                </wp:anchor>
              </w:drawing>
            </w:r>
          </w:p>
        </w:tc>
      </w:tr>
    </w:tbl>
    <w:p>
      <w:pPr>
        <w:pStyle w:val="Normal"/>
        <w:spacing w:before="0" w:after="360"/>
        <w:jc w:val="center"/>
        <w:rPr/>
      </w:pPr>
      <w:r>
        <w:rPr>
          <w:b/>
          <w:color w:val="1A237E"/>
          <w:sz w:val="22"/>
        </w:rPr>
        <w:t>Figure 6: 3D PCB Back View Image</w:t>
      </w:r>
    </w:p>
    <w:p>
      <w:pPr>
        <w:pStyle w:val="Heading2"/>
        <w:rPr/>
      </w:pPr>
      <w:r>
        <w:rPr/>
        <w:t>13.7 Electrical Rule Check (ERC) Results</w:t>
      </w:r>
    </w:p>
    <w:p>
      <w:pPr>
        <w:pStyle w:val="Normal"/>
        <w:spacing w:before="0" w:after="120"/>
        <w:jc w:val="both"/>
        <w:rPr/>
      </w:pPr>
      <w:r>
        <w:rPr>
          <w:b w:val="false"/>
          <w:i w:val="false"/>
          <w:color w:val="000000"/>
          <w:sz w:val="24"/>
        </w:rPr>
        <w:t>The Electrical Rule Check (ERC) was executed on the completed schematic to verify its logical and electrical correctness. The ERC algorithm validates the absence of unconnected component pins, short-circuited power outputs, missing power flags, and conflicting net assignments. The results below confirm a clean pass with zero errors and zero warnings, verifying the foundational integrity of the circuit design.</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spacing w:before="0" w:after="120"/>
              <w:rPr/>
            </w:pPr>
            <w:r>
              <w:rPr/>
              <w:drawing>
                <wp:anchor behindDoc="0" distT="0" distB="0" distL="0" distR="0" simplePos="0" locked="0" layoutInCell="0" allowOverlap="1" relativeHeight="9">
                  <wp:simplePos x="0" y="0"/>
                  <wp:positionH relativeFrom="column">
                    <wp:posOffset>-29845</wp:posOffset>
                  </wp:positionH>
                  <wp:positionV relativeFrom="paragraph">
                    <wp:posOffset>41910</wp:posOffset>
                  </wp:positionV>
                  <wp:extent cx="5806440" cy="286512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806440" cy="2865120"/>
                          </a:xfrm>
                          <a:prstGeom prst="rect">
                            <a:avLst/>
                          </a:prstGeom>
                        </pic:spPr>
                      </pic:pic>
                    </a:graphicData>
                  </a:graphic>
                </wp:anchor>
              </w:drawing>
            </w:r>
          </w:p>
        </w:tc>
      </w:tr>
    </w:tbl>
    <w:p>
      <w:pPr>
        <w:pStyle w:val="Normal"/>
        <w:spacing w:before="0" w:after="360"/>
        <w:jc w:val="center"/>
        <w:rPr/>
      </w:pPr>
      <w:r>
        <w:rPr>
          <w:b/>
          <w:color w:val="1A237E"/>
          <w:sz w:val="22"/>
        </w:rPr>
        <w:t>Figure 7: ERC Screenshot</w:t>
      </w:r>
    </w:p>
    <w:p>
      <w:pPr>
        <w:pStyle w:val="Normal"/>
        <w:rPr/>
      </w:pPr>
      <w:r>
        <w:rPr/>
      </w:r>
      <w:r>
        <w:br w:type="page"/>
      </w:r>
    </w:p>
    <w:p>
      <w:pPr>
        <w:pStyle w:val="Heading2"/>
        <w:rPr/>
      </w:pPr>
      <w:r>
        <w:rPr/>
        <w:t>13.8 Design Rule Check (DRC) Results</w:t>
      </w:r>
    </w:p>
    <w:p>
      <w:pPr>
        <w:pStyle w:val="Normal"/>
        <w:spacing w:before="0" w:after="120"/>
        <w:jc w:val="both"/>
        <w:rPr/>
      </w:pPr>
      <w:r>
        <w:rPr>
          <w:b w:val="false"/>
          <w:i w:val="false"/>
          <w:color w:val="000000"/>
          <w:sz w:val="24"/>
        </w:rPr>
        <w:t>The Design Rule Check (DRC) was performed on the completed PCB layout to validate the physical design against the manufacturer's fabrication capabilities and electrical clearance requirements. The DRC algorithm verifies compliance with minimum trace width specifications, minimum copper clearance between adjacent nets, pad-to-pad spacings, via drill sizes, annular ring dimensions, and copper-to-board-edge keepout distances. The results below demonstrate a clean pass with zero errors, confirming that the PCB layout is production-ready.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dashed" w:sz="12" w:space="0" w:color="999999"/>
              <w:left w:val="dashed" w:sz="12" w:space="0" w:color="999999"/>
              <w:bottom w:val="dashed" w:sz="12" w:space="0" w:color="999999"/>
              <w:right w:val="dashed" w:sz="12" w:space="0" w:color="999999"/>
            </w:tcBorders>
            <w:shd w:fill="F0F0F0"/>
          </w:tcPr>
          <w:p>
            <w:pPr>
              <w:pStyle w:val="Normal"/>
              <w:widowControl w:val="false"/>
              <w:spacing w:before="0" w:after="120"/>
              <w:rPr/>
            </w:pPr>
            <w:r>
              <w:rPr/>
              <w:drawing>
                <wp:anchor behindDoc="0" distT="0" distB="0" distL="0" distR="0" simplePos="0" locked="0" layoutInCell="0" allowOverlap="1" relativeHeight="10">
                  <wp:simplePos x="0" y="0"/>
                  <wp:positionH relativeFrom="column">
                    <wp:posOffset>116840</wp:posOffset>
                  </wp:positionH>
                  <wp:positionV relativeFrom="paragraph">
                    <wp:posOffset>-88265</wp:posOffset>
                  </wp:positionV>
                  <wp:extent cx="5806440" cy="381508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806440" cy="3815080"/>
                          </a:xfrm>
                          <a:prstGeom prst="rect">
                            <a:avLst/>
                          </a:prstGeom>
                        </pic:spPr>
                      </pic:pic>
                    </a:graphicData>
                  </a:graphic>
                </wp:anchor>
              </w:drawing>
            </w:r>
          </w:p>
        </w:tc>
      </w:tr>
    </w:tbl>
    <w:p>
      <w:pPr>
        <w:pStyle w:val="Normal"/>
        <w:spacing w:before="0" w:after="360"/>
        <w:jc w:val="center"/>
        <w:rPr/>
      </w:pPr>
      <w:r>
        <w:rPr>
          <w:b/>
          <w:color w:val="1A237E"/>
          <w:sz w:val="22"/>
        </w:rPr>
        <w:t>Figure 8: DRC Screenshot</w:t>
      </w:r>
    </w:p>
    <w:p>
      <w:pPr>
        <w:pStyle w:val="Normal"/>
        <w:rPr/>
      </w:pPr>
      <w:r>
        <w:rPr/>
      </w:r>
      <w:r>
        <w:br w:type="page"/>
      </w:r>
    </w:p>
    <w:p>
      <w:pPr>
        <w:pStyle w:val="Heading1"/>
        <w:rPr/>
      </w:pPr>
      <w:r>
        <w:rPr/>
        <w:t>14. Conclusion</w:t>
      </w:r>
    </w:p>
    <w:p>
      <w:pPr>
        <w:pStyle w:val="Normal"/>
        <w:spacing w:before="0" w:after="120"/>
        <w:jc w:val="both"/>
        <w:rPr/>
      </w:pPr>
      <w:r>
        <w:rPr>
          <w:b w:val="false"/>
          <w:i w:val="false"/>
          <w:color w:val="000000"/>
          <w:sz w:val="24"/>
        </w:rPr>
        <w:t>This project successfully presents the comprehensive design and engineering of a battery-powered ESP32-based Air Quality Monitoring PCB, from initial concept through to a fabrication-ready hardware design. Through the utilization of the FOSSEE eSim electronic design automation toolkit and its integrated KiCad environment, a robust and modular hardware platform was developed to address the growing societal need for decentralized, portable, and affordable environmental sensing solutions.</w:t>
      </w:r>
    </w:p>
    <w:p>
      <w:pPr>
        <w:pStyle w:val="Normal"/>
        <w:spacing w:before="0" w:after="120"/>
        <w:jc w:val="both"/>
        <w:rPr/>
      </w:pPr>
      <w:r>
        <w:rPr>
          <w:b w:val="false"/>
          <w:i w:val="false"/>
          <w:color w:val="000000"/>
          <w:sz w:val="24"/>
        </w:rPr>
        <w:t>A major technical achievement of this design is the implementation of an energy-efficient power management architecture. The custom solid-state soft power latching circuit, based on P-channel MOSFET switching, guarantees absolute zero quiescent current draw during the powered-off state—a performance characteristic that dramatically extends the shelf life and operational longevity of the rechargeable lithium battery beyond what is achievable with conventional microcontroller deep-sleep modes alone. The combination of the MT3608 boost converter and AMS1117-3.3 LDO regulator provides stable, noise-free power to the sensitive analog and digital subsystems across the entire battery discharge curve.</w:t>
      </w:r>
    </w:p>
    <w:p>
      <w:pPr>
        <w:pStyle w:val="Normal"/>
        <w:spacing w:before="0" w:after="120"/>
        <w:jc w:val="both"/>
        <w:rPr/>
      </w:pPr>
      <w:r>
        <w:rPr>
          <w:b w:val="false"/>
          <w:i w:val="false"/>
          <w:color w:val="000000"/>
          <w:sz w:val="24"/>
        </w:rPr>
        <w:t>The integration of the ESP32-WROOM-32 module with the ADS1115 16-bit delta-sigma ADC ensures that the system can deliver high-precision environmental measurements with microvolt-level resolution, while simultaneously providing the Wi-Fi and BLE wireless connectivity essential for modern IoT data pipelines. The physical PCB layout was meticulously optimized for a compact 60×40mm two-layer form factor, with strict adherence to electromagnetic compatibility guidelines, validated through zero-error Electrical Rule Check (ERC) and Design Rule Check (DRC) reports.</w:t>
      </w:r>
    </w:p>
    <w:p>
      <w:pPr>
        <w:pStyle w:val="Normal"/>
        <w:spacing w:before="0" w:after="120"/>
        <w:jc w:val="both"/>
        <w:rPr/>
      </w:pPr>
      <w:r>
        <w:rPr>
          <w:b w:val="false"/>
          <w:i w:val="false"/>
          <w:color w:val="000000"/>
          <w:sz w:val="24"/>
        </w:rPr>
        <w:t>Ultimately, this open-source hardware design provides a highly reliable, cost-effective, and scalable foundation for advanced environmental research, smart home automation, industrial compliance monitoring, and localized air quality assessment networks. The project demonstrates the practical viability of the FOSSEE eSim toolchain for developing production-grade embedded hardware designs within an entirely open-source ecosystem.</w:t>
      </w:r>
    </w:p>
    <w:p>
      <w:pPr>
        <w:pStyle w:val="Heading1"/>
        <w:rPr/>
      </w:pPr>
      <w:r>
        <w:rPr/>
        <w:t>15. Future Scope</w:t>
      </w:r>
    </w:p>
    <w:p>
      <w:pPr>
        <w:pStyle w:val="Normal"/>
        <w:spacing w:before="0" w:after="120"/>
        <w:jc w:val="both"/>
        <w:rPr/>
      </w:pPr>
      <w:r>
        <w:rPr>
          <w:b w:val="false"/>
          <w:i w:val="false"/>
          <w:color w:val="000000"/>
          <w:sz w:val="24"/>
        </w:rPr>
        <w:t>While the current iteration provides a highly functional and validated baseline design, the hardware platform is explicitly architected to support extensive future enhancements and feature expansions:</w:t>
      </w:r>
    </w:p>
    <w:p>
      <w:pPr>
        <w:pStyle w:val="Normal"/>
        <w:jc w:val="both"/>
        <w:rPr/>
      </w:pPr>
      <w:r>
        <w:rPr>
          <w:b/>
          <w:sz w:val="24"/>
        </w:rPr>
        <w:t xml:space="preserve">Cloud Platform Integration: </w:t>
      </w:r>
      <w:r>
        <w:rPr>
          <w:sz w:val="24"/>
        </w:rPr>
        <w:t>Extending the ESP32 firmware to securely interface with enterprise-grade IoT cloud architectures such as AWS IoT Core, Google Cloud IoT, Microsoft Azure IoT Hub, or open-source alternatives like ThingSpeak and InfluxDB. This would enable global data aggregation, long-term historical trend analysis, and real-time alerting through MQTT or HTTPS protocols.</w:t>
      </w:r>
    </w:p>
    <w:p>
      <w:pPr>
        <w:pStyle w:val="Normal"/>
        <w:jc w:val="both"/>
        <w:rPr/>
      </w:pPr>
      <w:r>
        <w:rPr>
          <w:b/>
          <w:sz w:val="24"/>
        </w:rPr>
        <w:t xml:space="preserve">Mobile Application Development: </w:t>
      </w:r>
      <w:r>
        <w:rPr>
          <w:sz w:val="24"/>
        </w:rPr>
        <w:t>Creating a dedicated companion mobile application using cross-platform frameworks such as Flutter or React Native. The app would provide real-time sensor data visualization, historical trend graphs, push notification alerts for hazardous air quality levels, and device configuration via BLE.</w:t>
      </w:r>
    </w:p>
    <w:p>
      <w:pPr>
        <w:pStyle w:val="Normal"/>
        <w:jc w:val="both"/>
        <w:rPr/>
      </w:pPr>
      <w:r>
        <w:rPr>
          <w:b/>
          <w:sz w:val="24"/>
        </w:rPr>
        <w:t xml:space="preserve">Expanded Sensor Arrays: </w:t>
      </w:r>
      <w:r>
        <w:rPr>
          <w:sz w:val="24"/>
        </w:rPr>
        <w:t>Designing modular daughterboards or utilizing the remaining ADC channels to interface with specialized sensors including the PMS5003/PMS7003 for PM2.5/PM10 particulate matter measurement, MH-Z19B NDIR CO₂ sensor, BME680 for temperature/humidity/pressure/VOC, and electrochemical gas sensors for ozone and nitrogen dioxide.</w:t>
      </w:r>
    </w:p>
    <w:p>
      <w:pPr>
        <w:pStyle w:val="Normal"/>
        <w:jc w:val="both"/>
        <w:rPr/>
      </w:pPr>
      <w:r>
        <w:rPr>
          <w:b/>
          <w:sz w:val="24"/>
        </w:rPr>
        <w:t xml:space="preserve">Battery &amp; Power Optimization: </w:t>
      </w:r>
      <w:r>
        <w:rPr>
          <w:sz w:val="24"/>
        </w:rPr>
        <w:t>Upgrading the power management circuitry to include a dedicated TP4056 or CN3791 lithium battery charge controller IC with an external solar panel input (6V, 1W), enabling indefinite, maintenance-free deployment in remote or off-grid monitoring locations. Firmware-level deep sleep scheduling with configurable wake intervals would further extend battery life.</w:t>
      </w:r>
    </w:p>
    <w:p>
      <w:pPr>
        <w:pStyle w:val="Normal"/>
        <w:jc w:val="both"/>
        <w:rPr/>
      </w:pPr>
      <w:r>
        <w:rPr>
          <w:b/>
          <w:sz w:val="24"/>
        </w:rPr>
        <w:t xml:space="preserve">AI/ML-Based Prediction: </w:t>
      </w:r>
      <w:r>
        <w:rPr>
          <w:sz w:val="24"/>
        </w:rPr>
        <w:t>Leveraging the ESP32's dual-core processing capability to run lightweight TinyML inference models (using TensorFlow Lite Micro). This could enable on-device anomaly detection, predictive air quality forecasting based on temporal sensor patterns, and intelligent sensor fusion—all without requiring constant cloud connectivity.</w:t>
      </w:r>
    </w:p>
    <w:p>
      <w:pPr>
        <w:pStyle w:val="Normal"/>
        <w:jc w:val="both"/>
        <w:rPr/>
      </w:pPr>
      <w:r>
        <w:rPr>
          <w:b/>
          <w:sz w:val="24"/>
        </w:rPr>
        <w:t xml:space="preserve">Remote Monitoring Dashboard: </w:t>
      </w:r>
      <w:r>
        <w:rPr>
          <w:sz w:val="24"/>
        </w:rPr>
        <w:t>Developing a web-based dashboard using Grafana or a custom Node.js application for remote fleet management, device health monitoring, firmware version tracking, and aggregated data visualization across multiple deployed sensor nodes.</w:t>
      </w:r>
    </w:p>
    <w:p>
      <w:pPr>
        <w:pStyle w:val="Normal"/>
        <w:jc w:val="both"/>
        <w:rPr/>
      </w:pPr>
      <w:r>
        <w:rPr>
          <w:b/>
          <w:sz w:val="24"/>
        </w:rPr>
        <w:t xml:space="preserve">On-Board Data Logging: </w:t>
      </w:r>
      <w:r>
        <w:rPr>
          <w:sz w:val="24"/>
        </w:rPr>
        <w:t>Integrating a MicroSD card socket connected via the ESP32's SPI bus to provide a fail-safe local data repository. This ensures continuous data capture even during prolonged Wi-Fi network outages, with automatic synchronization to the cloud upon reconnection.</w:t>
      </w:r>
    </w:p>
    <w:p>
      <w:pPr>
        <w:pStyle w:val="Normal"/>
        <w:jc w:val="both"/>
        <w:rPr/>
      </w:pPr>
      <w:r>
        <w:rPr>
          <w:b/>
          <w:sz w:val="24"/>
        </w:rPr>
        <w:t xml:space="preserve">OTA Firmware Updates: </w:t>
      </w:r>
      <w:r>
        <w:rPr>
          <w:sz w:val="24"/>
        </w:rPr>
        <w:t>Implementing Over-The-Air (OTA) firmware update capabilities via the ESP32's built-in OTA partition scheme, allowing remote deployment of bug fixes, calibration updates, and new features to all fielded devices without physical access.</w:t>
      </w:r>
    </w:p>
    <w:p>
      <w:pPr>
        <w:pStyle w:val="Normal"/>
        <w:rPr/>
      </w:pPr>
      <w:r>
        <w:rPr/>
      </w:r>
      <w:r>
        <w:br w:type="page"/>
      </w:r>
    </w:p>
    <w:p>
      <w:pPr>
        <w:pStyle w:val="Heading1"/>
        <w:rPr/>
      </w:pPr>
      <w:r>
        <w:rPr/>
        <w:t>16. References</w:t>
      </w:r>
    </w:p>
    <w:p>
      <w:pPr>
        <w:pStyle w:val="Normal"/>
        <w:spacing w:before="0" w:after="120"/>
        <w:ind w:left="720" w:hanging="720"/>
        <w:jc w:val="both"/>
        <w:rPr/>
      </w:pPr>
      <w:r>
        <w:rPr>
          <w:sz w:val="22"/>
        </w:rPr>
        <w:t>[1]  Espressif Systems, "ESP32 Technical Reference Manual," Version 5.0, 2023. [Online]. Available: https://www.espressif.com/en/products/socs/esp32</w:t>
      </w:r>
    </w:p>
    <w:p>
      <w:pPr>
        <w:pStyle w:val="Normal"/>
        <w:spacing w:before="0" w:after="120"/>
        <w:ind w:left="720" w:hanging="720"/>
        <w:jc w:val="both"/>
        <w:rPr/>
      </w:pPr>
      <w:r>
        <w:rPr>
          <w:sz w:val="22"/>
        </w:rPr>
        <w:t>[2]  Texas Instruments, "ADS1115 Ultra-Small, Low-Power, I²C-Compatible, 860-SPS, 16-Bit Analog-to-Digital Converter with Internal Reference," Datasheet SBAS444D, Rev. D, 2018.</w:t>
      </w:r>
    </w:p>
    <w:p>
      <w:pPr>
        <w:pStyle w:val="Normal"/>
        <w:spacing w:before="0" w:after="120"/>
        <w:ind w:left="720" w:hanging="720"/>
        <w:jc w:val="both"/>
        <w:rPr/>
      </w:pPr>
      <w:r>
        <w:rPr>
          <w:sz w:val="22"/>
        </w:rPr>
        <w:t>[3]  FOSSEE Project, IIT Bombay, "eSim — Electronic Circuit Simulation," 2024. [Online]. Available: https://esim.fossee.in/</w:t>
      </w:r>
    </w:p>
    <w:p>
      <w:pPr>
        <w:pStyle w:val="Normal"/>
        <w:spacing w:before="0" w:after="120"/>
        <w:ind w:left="720" w:hanging="720"/>
        <w:jc w:val="both"/>
        <w:rPr/>
      </w:pPr>
      <w:r>
        <w:rPr>
          <w:sz w:val="22"/>
        </w:rPr>
        <w:t>[4]  KiCad EDA, "KiCad — A Cross Platform and Open Source Electronics Design Automation Suite," Version 7.0, 2024. [Online]. Available: https://www.kicad.org/</w:t>
      </w:r>
    </w:p>
    <w:p>
      <w:pPr>
        <w:pStyle w:val="Normal"/>
        <w:spacing w:before="0" w:after="120"/>
        <w:ind w:left="720" w:hanging="720"/>
        <w:jc w:val="both"/>
        <w:rPr/>
      </w:pPr>
      <w:r>
        <w:rPr>
          <w:sz w:val="22"/>
        </w:rPr>
        <w:t>[5]  Aeroqual Ltd., "Air Quality Monitoring: A Comprehensive Guide to Sensors and Methods," Technical White Paper, 2023.</w:t>
      </w:r>
    </w:p>
    <w:p>
      <w:pPr>
        <w:pStyle w:val="Normal"/>
        <w:spacing w:before="0" w:after="120"/>
        <w:ind w:left="720" w:hanging="720"/>
        <w:jc w:val="both"/>
        <w:rPr/>
      </w:pPr>
      <w:r>
        <w:rPr>
          <w:sz w:val="22"/>
        </w:rPr>
        <w:t>[6]  R. Madhavan and P. Ramachandran, "Design of Low-Power IoT Sensor Nodes for Environmental Monitoring," IEEE Sensors Journal, vol. 22, no. 8, pp. 7890–7901, April 2022.</w:t>
      </w:r>
    </w:p>
    <w:p>
      <w:pPr>
        <w:pStyle w:val="Normal"/>
        <w:spacing w:before="0" w:after="120"/>
        <w:ind w:left="720" w:hanging="720"/>
        <w:jc w:val="both"/>
        <w:rPr/>
      </w:pPr>
      <w:r>
        <w:rPr>
          <w:sz w:val="22"/>
        </w:rPr>
        <w:t>[7]  C. Madhusudhan, "Embedded Systems Architecture: A Comprehensive Guide for Engineers and Programmers," 2nd ed., Packt Publishing, 2023.</w:t>
      </w:r>
    </w:p>
    <w:p>
      <w:pPr>
        <w:pStyle w:val="Normal"/>
        <w:spacing w:before="0" w:after="120"/>
        <w:ind w:left="720" w:hanging="720"/>
        <w:jc w:val="both"/>
        <w:rPr/>
      </w:pPr>
      <w:r>
        <w:rPr>
          <w:sz w:val="22"/>
        </w:rPr>
        <w:t>[8]  H. W. Ott, "Electromagnetic Compatibility Engineering," John Wiley &amp; Sons, Inc., 2009.</w:t>
      </w:r>
    </w:p>
    <w:p>
      <w:pPr>
        <w:pStyle w:val="Normal"/>
        <w:spacing w:before="0" w:after="120"/>
        <w:ind w:left="720" w:hanging="720"/>
        <w:jc w:val="both"/>
        <w:rPr/>
      </w:pPr>
      <w:r>
        <w:rPr>
          <w:sz w:val="22"/>
        </w:rPr>
        <w:t>[9]  Microchip Technology, "AN2714 — PCB Design Guidelines for Reduced EMI," Application Note DS00002714A, 2018.</w:t>
      </w:r>
    </w:p>
    <w:p>
      <w:pPr>
        <w:pStyle w:val="Normal"/>
        <w:spacing w:before="0" w:after="120"/>
        <w:ind w:left="720" w:hanging="720"/>
        <w:jc w:val="both"/>
        <w:rPr/>
      </w:pPr>
      <w:r>
        <w:rPr>
          <w:sz w:val="22"/>
        </w:rPr>
        <w:t>[10] S. Monk, "Programming Arduino: Getting Started with Sketches," 3rd ed., McGraw-Hill Education, 2022.</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999999"/>
        <w:sz w:val="18"/>
      </w:rPr>
      <w:t xml:space="preserve">FOSSEE eSim PCB Design Project  |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color w:val="999999"/>
        <w:sz w:val="18"/>
      </w:rPr>
      <w:t>Battery-Powered ESP32 Air Quality Monitoring System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left"/>
    </w:pPr>
    <w:rPr>
      <w:rFonts w:ascii="Calibri" w:hAnsi="Calibri"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ＭＳ ゴシック" w:cs="" w:asciiTheme="majorHAnsi" w:cstheme="majorBidi" w:eastAsiaTheme="majorEastAsia" w:hAnsiTheme="majorHAnsi"/>
      <w:b/>
      <w:bCs/>
      <w:color w:val="1A237E"/>
      <w:sz w:val="48"/>
      <w:szCs w:val="28"/>
    </w:rPr>
  </w:style>
  <w:style w:type="paragraph" w:styleId="Heading2">
    <w:name w:val="Heading 2"/>
    <w:basedOn w:val="Normal"/>
    <w:next w:val="Normal"/>
    <w:link w:val="Heading2Char"/>
    <w:uiPriority w:val="9"/>
    <w:unhideWhenUsed/>
    <w:qFormat/>
    <w:rsid w:val="00fc693f"/>
    <w:pPr>
      <w:keepNext w:val="true"/>
      <w:keepLines/>
      <w:spacing w:before="360" w:after="160"/>
      <w:outlineLvl w:val="1"/>
    </w:pPr>
    <w:rPr>
      <w:rFonts w:ascii="Calibri" w:hAnsi="Calibri" w:eastAsia="ＭＳ ゴシック" w:cs="" w:asciiTheme="majorHAnsi" w:cstheme="majorBidi" w:eastAsiaTheme="majorEastAsia" w:hAnsiTheme="majorHAnsi"/>
      <w:b/>
      <w:bCs/>
      <w:color w:val="1A237E"/>
      <w:sz w:val="32"/>
      <w:szCs w:val="26"/>
    </w:rPr>
  </w:style>
  <w:style w:type="paragraph" w:styleId="Heading3">
    <w:name w:val="Heading 3"/>
    <w:basedOn w:val="Normal"/>
    <w:next w:val="Normal"/>
    <w:link w:val="Heading3Char"/>
    <w:uiPriority w:val="9"/>
    <w:unhideWhenUsed/>
    <w:qFormat/>
    <w:rsid w:val="00fc693f"/>
    <w:pPr>
      <w:keepNext w:val="true"/>
      <w:keepLines/>
      <w:spacing w:before="360" w:after="160"/>
      <w:outlineLvl w:val="2"/>
    </w:pPr>
    <w:rPr>
      <w:rFonts w:ascii="Calibri" w:hAnsi="Calibri" w:eastAsia="ＭＳ ゴシック" w:cs="" w:asciiTheme="majorHAnsi" w:cstheme="majorBidi" w:eastAsiaTheme="majorEastAsia" w:hAnsiTheme="majorHAnsi"/>
      <w:b/>
      <w:bCs/>
      <w:color w:val="1A237E"/>
      <w:sz w:val="28"/>
    </w:rPr>
  </w:style>
  <w:style w:type="paragraph" w:styleId="Heading4">
    <w:name w:val="Heading 4"/>
    <w:basedOn w:val="Normal"/>
    <w:next w:val="Normal"/>
    <w:link w:val="Heading4Char"/>
    <w:uiPriority w:val="9"/>
    <w:semiHidden/>
    <w:unhideWhenUsed/>
    <w:qFormat/>
    <w:rsid w:val="00fc693f"/>
    <w:pPr>
      <w:keepNext w:val="true"/>
      <w:keepLines/>
      <w:spacing w:before="360" w:after="160"/>
      <w:outlineLvl w:val="3"/>
    </w:pPr>
    <w:rPr>
      <w:rFonts w:ascii="Calibri" w:hAnsi="Calibri" w:eastAsia="ＭＳ ゴシック" w:cs="" w:asciiTheme="majorHAnsi" w:cstheme="majorBidi" w:eastAsiaTheme="majorEastAsia" w:hAnsiTheme="majorHAnsi"/>
      <w:b/>
      <w:bCs/>
      <w:i/>
      <w:iCs/>
      <w:color w:val="1A237E"/>
      <w:sz w:val="26"/>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51</Pages>
  <Words>6187</Words>
  <Characters>38192</Characters>
  <CharactersWithSpaces>44001</CharactersWithSpaces>
  <Paragraphs>422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2026-08-24T00:22:02Z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