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Calibrage ~5 000 signes (Le Monde, pages Idées ; le chapô est rédigé par la rédaction ; titre proposé, la rédaction le met entre guillemets). Les passages entre crochets sont à la main de M. Carrez. 3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ne survivra ni au rabot ni au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La pièce nouvelle au dossier est lourde. Dans un rapport publié en novembre 2025 avec l'Institut des politiques publiques, la Cour des comptes évalue le coût réel du dispositif à 5,5 milliards d'euros pour 2024, contre 800 millions affichés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été multipliée par plus de quatre en quatre ans. Des montages logent dans l'exonération de la trésorerie ou de l'immobilier sans lien avec l'activité. L'avantage moyen des foyers les mieux servis approche trente millions d'euros. Qui veut sauver la transmission doit commencer par combattre ces dérives.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pourtant d'où vient ce régime. Dès 1994, la Commission européenne constatait que des milliers d'entreprises disparaissaient chaque année en Europe, avec leurs emplois, faute d'avoir surmonté le passage d'une génération à l'autre, et désignait le droit fiscal parmi les causes. La France taxait alors la transmission en ligne directe jusqu'à 40 %, pour un actif détenu en titres et sans liquidités. Moins d'une entreprise sur cinq restait familiale, contre une sur deux en Allemagne et près de deux sur trois en Italie. Le socle du régime est né en 1999 d'un amendement de Didier Migaud, rapporteur général socialiste, avant d'être étendu en 2003. La transmission de l'outil de travail n'a jamais été une cause partisane.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loi de finances pour 2026 vient de durcir l'exercice, avec un engagement porté à huit ans au minimum et l'exclusion explicite des actifs étrangers à l'exploitation. Ces règles ont trois mois d'existence. La rigueur commanderait de les laisser produire leurs effets, et de les mesurer, avant d'en écrire de nouvelles.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L'objection d'équité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Nous la prenons au sérieux. Le rabot uniforme y répond mal. Un plafonnement brutal frapperait d'abord les entreprises moyennes, dont les héritiers n'ont ni la trésorerie pour payer ni l'ingénierie pour s'organiser, quand les très grands patrimoines disposent du temps, des conseils et de la mobilité nécessaires pour s'adapter. L'Allemagne a choisi une autre voie, une exonération de l'outil de travail qui atteint 100 %, en contrepartie d'engagements contrôlés de maintien de l'emploi. Voilà le débat qui vaut d'être ouvert, des contreparties réelles plutôt qu'un taux et un plafond.</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[L'un de nous répète depuis vingt ans que derrière chaque niche fiscale aboie un chien.] Le Dutreil ne fait pas exception, et la réponse tient en une méthode, évaluer, cibler, stabiliser. Or l'instabilité est devenue la règle. Un dirigeant qui signe un pacte aujourd'hui s'engage jusqu'en 2034 ; sur cette durée, il traversera huit lois de finances, plusieurs doctrines administratives et une jurisprudence mouvante jusque sur la notion de holding animatrice. Des transmissions se reportent, des réorganisations se figent. On exige des familles un engagement de huit ans que l'État se montre incapable de tenir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Trois décisions, un mot chacune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clause de grand-père, d'abord : tout pacte reste régi, pendant toute sa durée, par les règles en vigueur au jour de sa signature. C'est la contrepartie loyale d'un engagement de huit ans, et son coût budgétaire est nul. Le 75/0, ensuite : 75 % d'exonération, sans plafond, pour l'entreprise réellement transmise et dirigée, zéro pour la trésorerie de placement, l'immobilier de jouissance et les actifs de confort. Ce ciblage rapporterait davantage qu'une baisse de taux et répond à l'objection d'équité par la structure même du régime. Le rendez-vous triennal, enfin : une évaluation publique et indépendante tous les trois ans, seule occasion de retoucher le dispositif. Le travail de la Cour et de l'Institut des politiques publiques prouve que l'appareil statistique existe. Il reste à en faire une institution.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budget vit à l'année. Une transmission se prépare sur une décennie. La campagne présidentielle placera les droits de succession au centre du débat, entre promesses de suppression et projets de taxation renforcée. Le pacte Dutreil mérite d'échapper à ce balancier. Qu'il redevienne ce que son nom promet depuis vingt-trois ans, un pacte, c'est-à-dire une parole tenue des deux côtés.</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2026-09-03T11:56:04.787Z</dcterms:created>
  <dcterms:modified xsi:type="dcterms:W3CDTF">2026-09-03T11:56:04.787Z</dcterms:modified>
</cp:coreProperties>
</file>

<file path=docProps/custom.xml><?xml version="1.0" encoding="utf-8"?>
<Properties xmlns="http://schemas.openxmlformats.org/officeDocument/2006/custom-properties" xmlns:vt="http://schemas.openxmlformats.org/officeDocument/2006/docPropsVTypes"/>
</file>