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left"/>
      </w:pPr>
      <w:r>
        <w:rPr>
          <w:rFonts w:ascii="Times New Roman" w:cs="Times New Roman" w:eastAsia="Times New Roman" w:hAnsi="Times New Roman"/>
          <w:b/>
          <w:bCs/>
          <w:i w:val="false"/>
          <w:iCs w:val="false"/>
          <w:sz w:val="28"/>
          <w:szCs w:val="28"/>
        </w:rPr>
        <w:t xml:space="preserve">Pacte Dutreil : ni rabot ni statu quo</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Le 30 septembre, le projet de loi de finances pour 2027 sera présenté en Conseil des ministres. Le pacte Dutreil, cette exonération de 75 % des droits de mutation qui permet de transmettre une entreprise familiale sans la démanteler pour payer l'impôt, y affrontera son procès annuel. Dans un rapport publié en novembre 2025 avec l'Institut des politiques publiques, la Cour des comptes évalue la dépense fiscale à 5,5 milliards d'euros pour 2024, très au-dessus des 800 millions retenus jusque-là dans les documents budgétaires, et constate que 1 % des bénéficiaires capte 65 % de l'avantage.</w:t>
      </w:r>
    </w:p>
    <w:p>
      <w:pPr>
        <w:spacing w:after="200" w:before="160" w:line="360"/>
        <w:jc w:val="left"/>
      </w:pPr>
      <w:r>
        <w:rPr>
          <w:rFonts w:ascii="Times New Roman" w:cs="Times New Roman" w:eastAsia="Times New Roman" w:hAnsi="Times New Roman"/>
          <w:b/>
          <w:bCs/>
          <w:i w:val="false"/>
          <w:iCs w:val="false"/>
          <w:sz w:val="24"/>
          <w:szCs w:val="24"/>
        </w:rPr>
        <w:t xml:space="preserve">Ce que la Cour documente</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Nous connaissons ce dispositif de l'intérieur. L'un de nous fut co-rapporteur de la loi du 1er août 2003 qui l'a créé ; l'autre le met en œuvre chaque semaine, pour des entreprises moyennes comme pour des groupes familiaux. Ce que la Cour documente est exact. La dépense fiscale a plus que quadruplé en quatre ans. Des montages logent dans l'exonération de la trésorerie ou de l'immobilier sans lien avec l'activité. Selon ce même rapport, l'avantage moyen des 1 % de bénéficiaires les mieux servis approche trente millions d'euros. Ces montages doivent sortir du régime. Il y survivra très bien.</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Rappelons d'où vient ce régime. En 1994, le laboratoire UPSA, fleuron familial d'Agen, passait sous pavillon américain cinq ans après la mort de son dirigeant, droits de succession et ISF aidant. La France taxait alors la transmission en ligne directe jusqu'à 40 %. Selon les rapports parlementaires de l'époque, moins d'une entreprise sur cinq restait familiale, contre une sur deux en Allemagne. Yvon Gattaz et les entreprises familiales défendent alors l'idée d'un pacte d'actionnaires. Didier Migaud, rapporteur général socialiste, la fait entrer dans la loi de finances pour 2000 par amendement, avec un abattement de 50 % sur les successions en échange d'un engagement collectif de conservation. Le dispositif fut d'abord connu comme le pacte « Gattaz-Migaud ». La loi Dutreil du 1er août 2003 l'étend aux donations. La loi PME du 2 août 2005 porte l'abattement à 75 %. Le dispositif a été créé sous un gouvernement de gauche, puis étendu par la droite. Nicolas Sarkozy l'a assoupli, François Hollande l'a maintenu intact, et il a encore été simplifié en 2019. Depuis 1999, quatre présidents se sont succédé sans jamais le remettre en cause. L'idée s'était imposée à tous.</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L'ordre de grandeur mérite d'être posé. Au barème en vigueur, pour une entreprise valorisée vingt millions d'euros et un enfant repreneur, les droits au décès, sans pacte, atteignent de l'ordre de huit millions d'euros. Avec un pacte, ils retombent autour de deux millions. Peu d'héritiers disposent de huit millions d'euros immédiatement mobilisables. Ils empruntent, ponctionnent la trésorerie de l'entreprise, ou vendent. La loi de finances du 19 février 2026 a d'ailleurs durci l'exercice. L'engagement est porté à huit ans au total, et la fraction de valeur correspondant notamment aux résidences, yachts ou œuvres d'art étrangers à l'exploitation sort désormais de l'assiette exonérée. Ces règles ont quelques mois. Personne n'en a mesuré les effets. En écrire de nouvelles dès cet automne, c'est légiférer à l'aveugle.</w:t>
      </w:r>
    </w:p>
    <w:p>
      <w:pPr>
        <w:spacing w:after="200" w:before="160" w:line="360"/>
        <w:jc w:val="left"/>
      </w:pPr>
      <w:r>
        <w:rPr>
          <w:rFonts w:ascii="Times New Roman" w:cs="Times New Roman" w:eastAsia="Times New Roman" w:hAnsi="Times New Roman"/>
          <w:b/>
          <w:bCs/>
          <w:i w:val="false"/>
          <w:iCs w:val="false"/>
          <w:sz w:val="24"/>
          <w:szCs w:val="24"/>
        </w:rPr>
        <w:t xml:space="preserve">La question de l'équité</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Reste l'objection d'équité, et elle pèse. Une exonération dont 1 % des bénéficiaires capte les deux tiers interroge le consentement à l'impôt, au moment où chacun est appelé à l'effort. Le rabot uniforme y répond mal. Un plafonnement brutal frapperait d'abord les entreprises moyennes, dont les héritiers n'ont ni la trésorerie pour payer ni l'ingénierie pour s'organiser, quand les très grands patrimoines ont du temps et des conseils pour s'adapter. L'Allemagne exonère l'outil de travail jusqu'à 100 %, contre des engagements contrôlés de maintien de l'emploi. Nous aimerions que l'automne budgétaire porte sur ce genre de contreparties. Il portera, sauf surprise, sur le taux.</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Puis il y a l'instabilité. Un pacte signé aujourd'hui court jusqu'en 2034 ; d'ici là, huit lois de finances, des doctrines qui bougent, les contours encore discutés de la holding animatrice, cette société de tête dont dépend l'accès au régime pour des milliers de groupes familiaux. Des transmissions se reportent, des réorganisations se figent. L'État demande aux familles de tenir huit ans. La règle fiscale, elle, ne tient pas huit mois.</w:t>
      </w:r>
    </w:p>
    <w:p>
      <w:pPr>
        <w:spacing w:after="200" w:before="160" w:line="360"/>
        <w:jc w:val="left"/>
      </w:pPr>
      <w:r>
        <w:rPr>
          <w:rFonts w:ascii="Times New Roman" w:cs="Times New Roman" w:eastAsia="Times New Roman" w:hAnsi="Times New Roman"/>
          <w:b/>
          <w:bCs/>
          <w:i w:val="false"/>
          <w:iCs w:val="false"/>
          <w:sz w:val="24"/>
          <w:szCs w:val="24"/>
        </w:rPr>
        <w:t xml:space="preserve">Ce que nous proposons</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Il ne faut ni raboter ni sanctuariser. Le rabot frapperait à côté. Le statu quo laisserait prospérer ce que la Cour documente. D'abord, ce que les fiscalistes appellent une clause de grand-père. Un pacte signé est un contrat, et un contrat oblige les deux parties. Les familles tiennent huit ans ; l'État doit tenir les règles en vigueur au jour de la signature, jusqu'au terme, pour tous les pactes en cours. Son coût budgétaire est nul. Aux pactes nouveaux, la loi fixera les conditions qu'elle voudra, et le taux de 75 % sera maintenu. Ensuite, achever le ciblage. Les biens de confort viennent de sortir de l'assiette. La trésorerie de placement et l'immobilier de rapport y restent. Le même mécanisme, étendu à ces actifs, donnerait au régime sa forme aboutie, 75 % sans plafond pour l'outil professionnel réellement transmis et dirigé, au besoin assorti d'engagements sur l'emploi, rien pour le reste. Ce ciblage rapporterait davantage qu'une baisse de taux, et il répond à la question d'équité par la structure même du régime. Enfin une évaluation publique et indépendante tous les trois ans, seule occasion de retoucher le dispositif. La matière statistique existe, le travail de la Cour et de l'Institut des politiques publiques vient de le montrer. Il manque le rendez-vous.</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La campagne présidentielle promet déjà tout et son contraire sur les successions. Ce que demande le pacte Dutreil tient en peu de mots. Il lui faut des règles fermes sur ce qu'il couvre, et dix ans de calme.</w:t>
      </w:r>
    </w:p>
    <w:p>
      <w:pPr>
        <w:spacing w:after="200" w:before="0" w:line="360"/>
        <w:jc w:val="left"/>
      </w:pPr>
      <w:r>
        <w:rPr>
          <w:rFonts w:ascii="Times New Roman" w:cs="Times New Roman" w:eastAsia="Times New Roman" w:hAnsi="Times New Roman"/>
          <w:b w:val="false"/>
          <w:bCs w:val="false"/>
          <w:i/>
          <w:iCs/>
          <w:sz w:val="24"/>
          <w:szCs w:val="24"/>
        </w:rPr>
        <w:t xml:space="preserve">Gilles Carrez, ancien rapporteur général du budget, ancien président de la commission des finances de l'Assemblée nationale, et François Ouairy, avocat fiscaliste associé (BENSAID Avocats)</w:t>
      </w:r>
    </w:p>
    <w:p>
      <w:r>
        <w:br w:type="page"/>
      </w:r>
    </w:p>
    <w:p>
      <w:pPr>
        <w:spacing w:after="200" w:before="0" w:line="360"/>
        <w:jc w:val="left"/>
      </w:pPr>
      <w:r>
        <w:rPr>
          <w:rFonts w:ascii="Times New Roman" w:cs="Times New Roman" w:eastAsia="Times New Roman" w:hAnsi="Times New Roman"/>
          <w:b w:val="false"/>
          <w:bCs w:val="false"/>
          <w:i/>
          <w:iCs/>
          <w:sz w:val="20"/>
          <w:szCs w:val="20"/>
        </w:rPr>
        <w:t xml:space="preserve">Annexe, hors texte, non destinée à la publication</w:t>
      </w:r>
    </w:p>
    <w:p>
      <w:pPr>
        <w:spacing w:after="200" w:before="120" w:line="360"/>
        <w:jc w:val="left"/>
      </w:pPr>
      <w:r>
        <w:rPr>
          <w:rFonts w:ascii="Times New Roman" w:cs="Times New Roman" w:eastAsia="Times New Roman" w:hAnsi="Times New Roman"/>
          <w:b/>
          <w:bCs/>
          <w:i w:val="false"/>
          <w:iCs w:val="false"/>
          <w:sz w:val="24"/>
          <w:szCs w:val="24"/>
        </w:rPr>
        <w:t xml:space="preserve">Sources des données chiffrées</w:t>
      </w:r>
    </w:p>
    <w:p>
      <w:pPr>
        <w:spacing w:after="140" w:before="0" w:line="280"/>
        <w:jc w:val="left"/>
      </w:pPr>
      <w:r>
        <w:rPr>
          <w:rFonts w:ascii="Times New Roman" w:cs="Times New Roman" w:eastAsia="Times New Roman" w:hAnsi="Times New Roman"/>
          <w:b w:val="false"/>
          <w:bCs w:val="false"/>
          <w:i w:val="false"/>
          <w:iCs w:val="false"/>
          <w:sz w:val="20"/>
          <w:szCs w:val="20"/>
        </w:rPr>
        <w:t xml:space="preserve">- Coût et concentration du dispositif, rapport de la Cour des comptes réalisé avec l'Institut des politiques publiques, 18 novembre 2025. Il retient 5,5 milliards d'euros en 2024 contre 1,2 milliard en 2020, face aux 800 millions inscrits au projet de loi de finances pour 2025. Il établit que 1 % des bénéficiaires capte 65 % de l'avantage, pour un avantage moyen proche de trente millions d'euros.</w:t>
      </w:r>
    </w:p>
    <w:p>
      <w:pPr>
        <w:spacing w:after="140" w:before="0" w:line="280"/>
        <w:jc w:val="left"/>
      </w:pPr>
      <w:r>
        <w:rPr>
          <w:rFonts w:ascii="Times New Roman" w:cs="Times New Roman" w:eastAsia="Times New Roman" w:hAnsi="Times New Roman"/>
          <w:b w:val="false"/>
          <w:bCs w:val="false"/>
          <w:i w:val="false"/>
          <w:iCs w:val="false"/>
          <w:sz w:val="20"/>
          <w:szCs w:val="20"/>
        </w:rPr>
        <w:t xml:space="preserve">- Taux marginal de 40 % en ligne directe avant 2011, article 777 du code général des impôts, le taux de 45 % résultant de la loi de finances rectificative du 29 juillet 2011.</w:t>
      </w:r>
    </w:p>
    <w:p>
      <w:pPr>
        <w:spacing w:after="140" w:before="0" w:line="280"/>
        <w:jc w:val="left"/>
      </w:pPr>
      <w:r>
        <w:rPr>
          <w:rFonts w:ascii="Times New Roman" w:cs="Times New Roman" w:eastAsia="Times New Roman" w:hAnsi="Times New Roman"/>
          <w:b w:val="false"/>
          <w:bCs w:val="false"/>
          <w:i w:val="false"/>
          <w:iCs w:val="false"/>
          <w:sz w:val="20"/>
          <w:szCs w:val="20"/>
        </w:rPr>
        <w:t xml:space="preserve">- Exemple chiffré sur une entreprise valorisée vingt millions d'euros, application du barème de l'article 777 et de l'abattement de l'article 779 du même code, transmission au décès au profit d'un enfant unique.</w:t>
      </w:r>
    </w:p>
    <w:p>
      <w:pPr>
        <w:spacing w:after="140" w:before="0" w:line="280"/>
        <w:jc w:val="left"/>
      </w:pPr>
      <w:r>
        <w:rPr>
          <w:rFonts w:ascii="Times New Roman" w:cs="Times New Roman" w:eastAsia="Times New Roman" w:hAnsi="Times New Roman"/>
          <w:b w:val="false"/>
          <w:bCs w:val="false"/>
          <w:i w:val="false"/>
          <w:iCs w:val="false"/>
          <w:sz w:val="20"/>
          <w:szCs w:val="20"/>
        </w:rPr>
        <w:t xml:space="preserve">- Origine du régime, article 11 de la loi de finances pour 2000 du 30 décembre 1999, créant les articles 789 A et 789 B du code général des impôts, sur amendement de Didier Migaud, alors rapporteur général.</w:t>
      </w:r>
    </w:p>
    <w:p>
      <w:pPr>
        <w:spacing w:after="140" w:before="0" w:line="280"/>
        <w:jc w:val="left"/>
      </w:pPr>
      <w:r>
        <w:rPr>
          <w:rFonts w:ascii="Times New Roman" w:cs="Times New Roman" w:eastAsia="Times New Roman" w:hAnsi="Times New Roman"/>
          <w:b w:val="false"/>
          <w:bCs w:val="false"/>
          <w:i w:val="false"/>
          <w:iCs w:val="false"/>
          <w:sz w:val="20"/>
          <w:szCs w:val="20"/>
        </w:rPr>
        <w:t xml:space="preserve">- Appellation « Gattaz-Migaud », rapport du Sénat n° 381 de juin 2005 sur le projet de loi en faveur des petites et moyennes entreprises.</w:t>
      </w:r>
    </w:p>
    <w:p>
      <w:pPr>
        <w:spacing w:after="140" w:before="0" w:line="280"/>
        <w:jc w:val="left"/>
      </w:pPr>
      <w:r>
        <w:rPr>
          <w:rFonts w:ascii="Times New Roman" w:cs="Times New Roman" w:eastAsia="Times New Roman" w:hAnsi="Times New Roman"/>
          <w:b w:val="false"/>
          <w:bCs w:val="false"/>
          <w:i w:val="false"/>
          <w:iCs w:val="false"/>
          <w:sz w:val="20"/>
          <w:szCs w:val="20"/>
        </w:rPr>
        <w:t xml:space="preserve">- Extension aux donations, article 43 de la loi du 1er août 2003, codifié à l'article 787 B du code général des impôts. Relèvement de l'abattement à 75 %, article 28 de la loi du 2 août 2005 en faveur des petites et moyennes entreprises.</w:t>
      </w:r>
    </w:p>
    <w:p>
      <w:pPr>
        <w:spacing w:after="140" w:before="0" w:line="280"/>
        <w:jc w:val="left"/>
      </w:pPr>
      <w:r>
        <w:rPr>
          <w:rFonts w:ascii="Times New Roman" w:cs="Times New Roman" w:eastAsia="Times New Roman" w:hAnsi="Times New Roman"/>
          <w:b w:val="false"/>
          <w:bCs w:val="false"/>
          <w:i w:val="false"/>
          <w:iCs w:val="false"/>
          <w:sz w:val="20"/>
          <w:szCs w:val="20"/>
        </w:rPr>
        <w:t xml:space="preserve">- Assouplissements et simplifications ultérieurs, article 12 de la loi de finances rectificative du 29 juillet 2011 et article 40 de la loi de finances pour 2019.</w:t>
      </w:r>
    </w:p>
    <w:p>
      <w:pPr>
        <w:spacing w:after="140" w:before="0" w:line="280"/>
        <w:jc w:val="left"/>
      </w:pPr>
      <w:r>
        <w:rPr>
          <w:rFonts w:ascii="Times New Roman" w:cs="Times New Roman" w:eastAsia="Times New Roman" w:hAnsi="Times New Roman"/>
          <w:b w:val="false"/>
          <w:bCs w:val="false"/>
          <w:i w:val="false"/>
          <w:iCs w:val="false"/>
          <w:sz w:val="20"/>
          <w:szCs w:val="20"/>
        </w:rPr>
        <w:t xml:space="preserve">- Durcissement de 2026, loi de finances du 19 février 2026. L'engagement individuel est porté à six ans, qui s'ajoutent aux deux années de l'engagement collectif. La fraction de valeur représentative des biens étrangers à l'exploitation est exclue, article 787 B dans sa version en vigueur.</w:t>
      </w:r>
    </w:p>
    <w:p>
      <w:pPr>
        <w:spacing w:after="140" w:before="0" w:line="280"/>
        <w:jc w:val="left"/>
      </w:pPr>
      <w:r>
        <w:rPr>
          <w:rFonts w:ascii="Times New Roman" w:cs="Times New Roman" w:eastAsia="Times New Roman" w:hAnsi="Times New Roman"/>
          <w:b w:val="false"/>
          <w:bCs w:val="false"/>
          <w:i w:val="false"/>
          <w:iCs w:val="false"/>
          <w:sz w:val="20"/>
          <w:szCs w:val="20"/>
        </w:rPr>
        <w:t xml:space="preserve">- Régime allemand, paragraphes 13a et 13b de l'Erbschaftsteuergesetz, exonération de 85 % ou de 100 % sous condition de maintien de la masse salariale.</w:t>
      </w:r>
    </w:p>
    <w:p>
      <w:pPr>
        <w:spacing w:after="140" w:before="0" w:line="280"/>
        <w:jc w:val="left"/>
      </w:pPr>
      <w:r>
        <w:rPr>
          <w:rFonts w:ascii="Times New Roman" w:cs="Times New Roman" w:eastAsia="Times New Roman" w:hAnsi="Times New Roman"/>
          <w:b w:val="false"/>
          <w:bCs w:val="false"/>
          <w:i w:val="false"/>
          <w:iCs w:val="false"/>
          <w:sz w:val="20"/>
          <w:szCs w:val="20"/>
        </w:rPr>
        <w:t xml:space="preserve">- Cession du laboratoire UPSA au groupe Bristol-Myers Squibb en 1994, cinq ans après le décès de son dirigeant.</w:t>
      </w:r>
    </w:p>
    <w:p>
      <w:pPr>
        <w:spacing w:after="140" w:before="0" w:line="280"/>
        <w:jc w:val="left"/>
      </w:pPr>
      <w:r>
        <w:rPr>
          <w:rFonts w:ascii="Times New Roman" w:cs="Times New Roman" w:eastAsia="Times New Roman" w:hAnsi="Times New Roman"/>
          <w:b w:val="false"/>
          <w:bCs w:val="false"/>
          <w:i w:val="false"/>
          <w:iCs w:val="false"/>
          <w:sz w:val="20"/>
          <w:szCs w:val="20"/>
        </w:rPr>
        <w:t xml:space="preserve">- Part des entreprises transmises dans le cercle familial en France, en Allemagne et en Italie. Sources, rapports parlementaires de 2003 sur le projet de loi pour l'initiative économique et recommandation 94/1069/CE de la Commission européenne du 7 décembre 1994.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Pacte Dutreil : ni rabot ni statu quo</dc:title>
  <dc:creator>François Ouairy</dc:creator>
  <dc:description>Tribune de Gilles Carrez et François Ouairy</dc:description>
  <cp:lastModifiedBy>François Ouairy</cp:lastModifiedBy>
  <cp:revision>1</cp:revision>
  <dcterms:created xsi:type="dcterms:W3CDTF">2026-09-08T10:54:10.634Z</dcterms:created>
  <dcterms:modified xsi:type="dcterms:W3CDTF">2026-09-08T10:54:10.655Z</dcterms:modified>
</cp:coreProperties>
</file>

<file path=docProps/custom.xml><?xml version="1.0" encoding="utf-8"?>
<Properties xmlns="http://schemas.openxmlformats.org/officeDocument/2006/custom-properties" xmlns:vt="http://schemas.openxmlformats.org/officeDocument/2006/docPropsVTypes"/>
</file>