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Calibrage ~4 000 signes (Les Échos, Le Cercle). Les passages entre crochets sont à la main de M. Carrez. Version 3 du 3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Le pacte Dutreil exige huit ans des familles. L'État, lui, ne tient pas huit mois.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arrive en Conseil des ministres. Comme chaque automne depuis vingt ans, le pacte Dutreil, cette exonération de 75 % des droits qui permet de transmettre une entreprise familiale sans la vendre pour payer l'impôt, servira de cible. Cette année, les artilleurs disposent d'une munition neuve. La Cour des comptes évalue désormais le coût réel du dispositif à 5,5 milliards d'euros pour 2024, très loin des 800 millions affichés dans les documents budgétaires, et concentré sur une poignée de très grandes transmissions. Le plafonnement de l'avantage figure déjà dans les amendements qui circulent.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Ces chiffres méritent mieux qu'un haussement d'épaules. [L'un de nous fut co-rapporteur de la loi de 2003 qui a créé ce dispositif ; l'autre le met en œuvre chaque semaine, pour des entreprises de toutes tailles.] Ce que la Cour documente est exact. La dépense a plus que quadruplé en quatre ans. Des montages logent dans l'exonération de la trésorerie ou de l'immobilier qui n'ont rien à voir avec l'activité. L'avantage moyen des foyers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le pacte. Dès 1994, la Commission européenne constatait que des milliers d'entreprises disparaissaient chaque année en Europe, avec leurs emplois, faute d'avoir passé le cap d'une génération, et désignait le droit fiscal parmi les causes. La France taxait alors la transmission en ligne directe jusqu'à 40 %, et à peine une entreprise sur cinq restait familiale, contre plus d'une sur deux en Allemagne. Concrètement, pour une entreprise valorisée vingt millions d'euros et un enfant repreneur, les droits sans pacte sont de l'ordre de huit millions d'euros. Avec un pacte, autour de deux. Personne n'a huit millions sur un compte courant. On emprunte, on ponctionne la trésorerie, ou on vend. Le régime existe pour fermer cette impasse, en échange d'années de conservation des titres et de direction effective.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loi de finances pour 2026 vient encore de durcir l'exercice. Engagement porté à huit ans au minimum, exclusion explicite des actifs étrangers à l'exploitation. Ces règles ont trois mois. Laissons-les produire leurs effets avant d'en écrire d'autres.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vrai problème est plus bête. Les règles ne tiennent pas en place. Un pacte signé aujourd'hui court jusqu'en 2034 ; d'ici là, huit lois de finances, des doctrines administratives qui bougent, une jurisprudence qui n'a toujours pas fixé ce qu'est une holding animatrice, cette société de tête dont dépend l'accès au régime pour des milliers de groupes familiaux. Chaque automne, un plafond circule, un amendement surgit, une suppression se vote en commission avant de disparaître en séance. Les familles, elles, restent engagées.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Que faire ? D'abord ce que les fiscalistes appellent une clause de grand-père. Les règles en vigueur au jour de la signature valent jusqu'au terme du pacte. Cela ne coûte rien au budget. Ensuite un principe simple, 75/0. L'exonération pleine pour l'entreprise réellement transmise et dirigée, rien pour la trésorerie de placement ni l'immobilier de confort. Ce ciblage rapporterait plus qu'un rabot, qui toucherait d'abord les PME. Et une évaluation publique tous les trois ans, chiffres sur la table, seule occasion de retoucher le régime. Entre deux rendez-vous, qu'on le laisse tranquille.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discussion budgétaire s'ouvre dans quatre semaines. Elle peut corriger les abus et resserrer l'avantage sur l'outil de travail. Elle peut aussi tout remettre en jeu, une fois de plus, pour un rendement incertain. Les chefs d'entreprise trancheront à leur façon, en signant ou en s'abstenant.</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2026-09-03T12:12:28.887Z</dcterms:created>
  <dcterms:modified xsi:type="dcterms:W3CDTF">2026-09-03T12:12:28.887Z</dcterms:modified>
</cp:coreProperties>
</file>

<file path=docProps/custom.xml><?xml version="1.0" encoding="utf-8"?>
<Properties xmlns="http://schemas.openxmlformats.org/officeDocument/2006/custom-properties" xmlns:vt="http://schemas.openxmlformats.org/officeDocument/2006/docPropsVTypes"/>
</file>