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60"/>
        <w:jc w:val="left"/>
      </w:pPr>
      <w:r>
        <w:rPr>
          <w:rFonts w:ascii="Times New Roman" w:cs="Times New Roman" w:eastAsia="Times New Roman" w:hAnsi="Times New Roman"/>
          <w:b w:val="false"/>
          <w:bCs w:val="false"/>
          <w:i/>
          <w:iCs/>
          <w:color w:val="808080"/>
          <w:sz w:val="18"/>
          <w:szCs w:val="18"/>
        </w:rPr>
        <w:t xml:space="preserve">Projet de tribune, cosignature Gilles Carrez / François Ouairy. Format court ~4 000 signes, proposé à La Tribune (rubrique Opinions), utilisable tel quel pour toute rédaction. Les passages entre crochets sont à la main de M. Carrez. Version 5 du 3 septembre 2026.</w:t>
      </w:r>
    </w:p>
    <w:p>
      <w:pPr>
        <w:spacing w:after="200" w:before="0" w:line="360"/>
        <w:jc w:val="left"/>
      </w:pPr>
      <w:r>
        <w:rPr>
          <w:rFonts w:ascii="Times New Roman" w:cs="Times New Roman" w:eastAsia="Times New Roman" w:hAnsi="Times New Roman"/>
          <w:b/>
          <w:bCs/>
          <w:i w:val="false"/>
          <w:iCs w:val="false"/>
          <w:color w:val="000000"/>
          <w:sz w:val="28"/>
          <w:szCs w:val="28"/>
        </w:rPr>
        <w:t xml:space="preserve">Le pacte Dutreil exige huit ans des familles. L'État, lui, ne tient pas huit mois.</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Le 30 septembre, le projet de loi de finances pour 2027 arrive en Conseil des ministres. Comme chaque automne depuis vingt ans, le pacte Dutreil, cette exonération de 75 % des droits qui permet de transmettre une entreprise familiale sans la vendre pour payer l'impôt, servira de cible. Cette année, les artilleurs disposent d'une munition neuve. La Cour des comptes évalue désormais la dépense fiscale à 5,5 milliards d'euros pour 2024, très au-dessus des 800 millions retenus jusque-là dans les documents budgétaires, et concentrée sur une poignée de très grandes transmissions. Le plafonnement de l'avantage figure déjà dans les amendements qui circulent.</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Ces chiffres méritent mieux qu'un haussement d'épaules. [L'un de nous fut co-rapporteur de la loi de 2003 qui a créé ce dispositif ; l'autre le met en œuvre chaque semaine, pour des entreprises de toutes tailles.] Ce que la Cour documente est exact. La dépense a plus que quadruplé en quatre ans. Des montages logent dans l'exonération de la trésorerie ou de l'immobilier qui n'ont rien à voir avec l'activité. L'avantage moyen des 1 % de bénéficiaires les mieux servis approche trente millions d'euros. Ces montages doivent sortir du régime. Il y survivra très bien.</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Rappelons d'où vient le pacte. Dès 1994, la Commission européenne constatait que des milliers d'entreprises disparaissaient chaque année en Europe, avec leurs emplois, faute d'avoir passé le cap d'une génération, et désignait le droit fiscal parmi les causes. La France taxait alors la transmission en ligne directe jusqu'à 40 %, et à peine une entreprise sur cinq restait familiale, contre plus d'une sur deux en Allemagne. Concrètement, pour une entreprise valorisée vingt millions d'euros et un enfant repreneur, les droits sans pacte sont de l'ordre de huit millions d'euros. Avec un pacte, autour de deux. Personne n'a huit millions sur un compte courant. On emprunte, on ponctionne la trésorerie, ou on vend. Le régime existe pour fermer cette impasse, en échange d'années de conservation des titres et de direction effective.</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Le législateur vient encore de durcir l'exercice. Engagement porté à huit ans au total, exclusion de l'assiette des résidences, yachts et autres biens de confort logés dans les sociétés. Ces règles ont quelques mois. Personne n'en a mesuré les effets. En écrire de nouvelles dès cet automne, c'est légiférer à l'aveugle.</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Le vrai problème est plus bête. Les règles ne tiennent pas en place. Un pacte signé aujourd'hui court jusqu'en 2034 ; d'ici là, huit lois de finances, des doctrines administratives qui bougent, les contours encore discutés de la holding animatrice, cette société de tête dont dépend l'accès au régime pour des milliers de groupes familiaux. Chaque automne, un plafond circule, un amendement surgit, une suppression se vote en commission avant de disparaître en séance. Les familles, elles, restent engagées.</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Que faire ? D'abord ce que les fiscalistes appellent une clause de grand-père. Les règles en vigueur au jour de la signature valent jusqu'au terme du pacte. Cela ne coûte rien au budget. Ensuite, achever le ciblage. La loi écarte désormais de l'exonération les résidences, les yachts ou les œuvres d'art logés dans les sociétés. Elle ne dit toujours rien de la trésorerie de placement ni de l'immobilier de rapport. Le même mécanisme, étendu à ces actifs, donnerait au régime sa forme aboutie, 75 % sans plafond pour l'outil professionnel, rien pour le reste. Ce ciblage rapporterait plus qu'un rabot, qui toucherait d'abord les PME. Et une évaluation publique tous les trois ans, chiffres sur la table, seule occasion de retoucher le régime. Entre deux rendez-vous, le régime ne bouge pas.</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La discussion budgétaire s'ouvre dans quatre semaines. Elle peut corriger les abus et resserrer l'avantage sur l'outil de travail. Elle peut aussi tout remettre en jeu, une fois de plus, pour un rendement incertain. Les chefs d'entreprise trancheront à leur façon, en signant ou en s'abstenant.</w:t>
      </w:r>
    </w:p>
    <w:p>
      <w:pPr>
        <w:spacing w:after="200" w:before="0" w:line="360"/>
        <w:jc w:val="left"/>
      </w:pPr>
      <w:r>
        <w:rPr>
          <w:rFonts w:ascii="Times New Roman" w:cs="Times New Roman" w:eastAsia="Times New Roman" w:hAnsi="Times New Roman"/>
          <w:b w:val="false"/>
          <w:bCs w:val="false"/>
          <w:i/>
          <w:iCs/>
          <w:color w:val="000000"/>
          <w:sz w:val="24"/>
          <w:szCs w:val="24"/>
        </w:rPr>
        <w:t xml:space="preserve">Gilles Carrez, ancien rapporteur général du budget, ancien président de la commission des finances de l'Assemblée nationale, et François Ouairy, avocat fiscaliste (BENSAID Avocats)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2026-09-03T14:04:30.373Z</dcterms:created>
  <dcterms:modified xsi:type="dcterms:W3CDTF">2026-09-03T14:04:30.395Z</dcterms:modified>
</cp:coreProperties>
</file>

<file path=docProps/custom.xml><?xml version="1.0" encoding="utf-8"?>
<Properties xmlns="http://schemas.openxmlformats.org/officeDocument/2006/custom-properties" xmlns:vt="http://schemas.openxmlformats.org/officeDocument/2006/docPropsVTypes"/>
</file>