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360"/>
        <w:jc w:val="left"/>
      </w:pPr>
      <w:r>
        <w:rPr>
          <w:rFonts w:ascii="Times New Roman" w:cs="Times New Roman" w:eastAsia="Times New Roman" w:hAnsi="Times New Roman"/>
          <w:b w:val="false"/>
          <w:bCs w:val="false"/>
          <w:i/>
          <w:iCs/>
          <w:color w:val="808080"/>
          <w:sz w:val="18"/>
          <w:szCs w:val="18"/>
        </w:rPr>
        <w:t xml:space="preserve">Projet de tribune, cosignature Gilles Carrez / François Ouairy. Calibrage ~5 000 signes (Le Monde, pages Idées ; le chapô est rédigé par la rédaction ; titre proposé, la rédaction le met entre guillemets). Les passages entre crochets sont à la main de M. Carrez. Version 5 du 3 septembre 2026.</w:t>
      </w:r>
    </w:p>
    <w:p>
      <w:pPr>
        <w:spacing w:after="200" w:before="0" w:line="360"/>
        <w:jc w:val="left"/>
      </w:pPr>
      <w:r>
        <w:rPr>
          <w:rFonts w:ascii="Times New Roman" w:cs="Times New Roman" w:eastAsia="Times New Roman" w:hAnsi="Times New Roman"/>
          <w:b/>
          <w:bCs/>
          <w:i w:val="false"/>
          <w:iCs w:val="false"/>
          <w:color w:val="000000"/>
          <w:sz w:val="28"/>
          <w:szCs w:val="28"/>
        </w:rPr>
        <w:t xml:space="preserve">Le pacte Dutreil ne survivra ni au rabot ni au statu quo</w:t>
      </w:r>
    </w:p>
    <w:p>
      <w:pPr>
        <w:spacing w:after="200" w:before="0" w:line="360"/>
        <w:jc w:val="both"/>
      </w:pPr>
      <w:r>
        <w:rPr>
          <w:rFonts w:ascii="Times New Roman" w:cs="Times New Roman" w:eastAsia="Times New Roman" w:hAnsi="Times New Roman"/>
          <w:b w:val="false"/>
          <w:bCs w:val="false"/>
          <w:i w:val="false"/>
          <w:iCs w:val="false"/>
          <w:color w:val="000000"/>
          <w:sz w:val="24"/>
          <w:szCs w:val="24"/>
        </w:rPr>
        <w:t xml:space="preserve">Le 30 septembre, le projet de loi de finances pour 2027 sera présenté en Conseil des ministres. Le pacte Dutreil, cette exonération de 75 % des droits de mutation qui permet de transmettre une entreprise familiale sans la démanteler pour payer l'impôt, y affrontera son procès annuel. Avec, cette fois, une pièce lourde au dossier. Dans un rapport publié en novembre 2025 avec l'Institut des politiques publiques, la Cour des comptes évalue la dépense fiscale à 5,5 milliards d'euros pour 2024, très au-dessus des 800 millions retenus jusque-là dans les documents budgétaires, et constate que 1 % des bénéficiaires capte 65 % de l'avantage.</w:t>
      </w:r>
    </w:p>
    <w:p>
      <w:pPr>
        <w:spacing w:after="200" w:before="160" w:line="360"/>
        <w:jc w:val="left"/>
      </w:pPr>
      <w:r>
        <w:rPr>
          <w:rFonts w:ascii="Times New Roman" w:cs="Times New Roman" w:eastAsia="Times New Roman" w:hAnsi="Times New Roman"/>
          <w:b/>
          <w:bCs/>
          <w:i w:val="false"/>
          <w:iCs w:val="false"/>
          <w:color w:val="000000"/>
          <w:sz w:val="24"/>
          <w:szCs w:val="24"/>
        </w:rPr>
        <w:t xml:space="preserve">Ce que la Cour documente</w:t>
      </w:r>
    </w:p>
    <w:p>
      <w:pPr>
        <w:spacing w:after="200" w:before="0" w:line="360"/>
        <w:jc w:val="both"/>
      </w:pPr>
      <w:r>
        <w:rPr>
          <w:rFonts w:ascii="Times New Roman" w:cs="Times New Roman" w:eastAsia="Times New Roman" w:hAnsi="Times New Roman"/>
          <w:b w:val="false"/>
          <w:bCs w:val="false"/>
          <w:i w:val="false"/>
          <w:iCs w:val="false"/>
          <w:color w:val="000000"/>
          <w:sz w:val="24"/>
          <w:szCs w:val="24"/>
        </w:rPr>
        <w:t xml:space="preserve">Nous connaissons ce dispositif de l'intérieur. [L'un de nous fut co-rapporteur de la loi du 1er août 2003 qui l'a créé ; l'autre le met en œuvre chaque semaine, pour des entreprises moyennes comme pour des groupes familiaux.] Ce que la Cour documente est exact. La dépense fiscale a plus que quadruplé en quatre ans. Des montages logent dans l'exonération de la trésorerie ou de l'immobilier sans lien avec l'activité. L'avantage moyen des 1 % de bénéficiaires les mieux servis approche trente millions d'euros. Ces montages doivent sortir du régime. Il y survivra très bien.</w:t>
      </w:r>
    </w:p>
    <w:p>
      <w:pPr>
        <w:spacing w:after="200" w:before="0" w:line="360"/>
        <w:jc w:val="both"/>
      </w:pPr>
      <w:r>
        <w:rPr>
          <w:rFonts w:ascii="Times New Roman" w:cs="Times New Roman" w:eastAsia="Times New Roman" w:hAnsi="Times New Roman"/>
          <w:b w:val="false"/>
          <w:bCs w:val="false"/>
          <w:i w:val="false"/>
          <w:iCs w:val="false"/>
          <w:color w:val="000000"/>
          <w:sz w:val="24"/>
          <w:szCs w:val="24"/>
        </w:rPr>
        <w:t xml:space="preserve">Rappelons pourtant d'où vient ce régime. Dès 1994, la Commission européenne constatait que des milliers d'entreprises disparaissaient chaque année en Europe, avec leurs emplois, faute d'avoir passé le cap d'une génération, et désignait le droit fiscal parmi les causes. La France taxait alors la transmission en ligne directe jusqu'à 40 %. Moins d'une entreprise sur cinq restait familiale, contre une sur deux en Allemagne et près de deux sur trois en Italie. L'idée ne vient d'ailleurs d'aucun camp. Le socle du régime est né en 1999 d'un amendement de Didier Migaud, rapporteur général socialiste, avant l'extension de 2003.</w:t>
      </w:r>
    </w:p>
    <w:p>
      <w:pPr>
        <w:spacing w:after="200" w:before="0" w:line="360"/>
        <w:jc w:val="both"/>
      </w:pPr>
      <w:r>
        <w:rPr>
          <w:rFonts w:ascii="Times New Roman" w:cs="Times New Roman" w:eastAsia="Times New Roman" w:hAnsi="Times New Roman"/>
          <w:b w:val="false"/>
          <w:bCs w:val="false"/>
          <w:i w:val="false"/>
          <w:iCs w:val="false"/>
          <w:color w:val="000000"/>
          <w:sz w:val="24"/>
          <w:szCs w:val="24"/>
        </w:rPr>
        <w:t xml:space="preserve">L'ordre de grandeur mérite d'être posé. Pour une entreprise valorisée vingt millions d'euros et un enfant repreneur, les droits sans pacte atteignent de l'ordre de huit millions d'euros. Avec un pacte, autour de deux. Personne n'a huit millions sur un compte courant. On emprunte, on ponctionne la trésorerie de l'entreprise, ou on vend. Le régime existe pour fermer cette impasse, en échange d'années de conservation des titres et de direction effective. Le législateur vient d'ailleurs de durcir l'exercice, engagement porté à huit ans au total et exclusion de l'assiette des résidences, yachts, œuvres d'art et autres biens de confort logés dans les sociétés. Ces règles ont quelques mois. Personne n'en a mesuré les effets. En écrire de nouvelles dès cet automne, c'est légiférer à l'aveugle.</w:t>
      </w:r>
    </w:p>
    <w:p>
      <w:pPr>
        <w:spacing w:after="200" w:before="160" w:line="360"/>
        <w:jc w:val="left"/>
      </w:pPr>
      <w:r>
        <w:rPr>
          <w:rFonts w:ascii="Times New Roman" w:cs="Times New Roman" w:eastAsia="Times New Roman" w:hAnsi="Times New Roman"/>
          <w:b/>
          <w:bCs/>
          <w:i w:val="false"/>
          <w:iCs w:val="false"/>
          <w:color w:val="000000"/>
          <w:sz w:val="24"/>
          <w:szCs w:val="24"/>
        </w:rPr>
        <w:t xml:space="preserve">La question de l'équité</w:t>
      </w:r>
    </w:p>
    <w:p>
      <w:pPr>
        <w:spacing w:after="200" w:before="0" w:line="360"/>
        <w:jc w:val="both"/>
      </w:pPr>
      <w:r>
        <w:rPr>
          <w:rFonts w:ascii="Times New Roman" w:cs="Times New Roman" w:eastAsia="Times New Roman" w:hAnsi="Times New Roman"/>
          <w:b w:val="false"/>
          <w:bCs w:val="false"/>
          <w:i w:val="false"/>
          <w:iCs w:val="false"/>
          <w:color w:val="000000"/>
          <w:sz w:val="24"/>
          <w:szCs w:val="24"/>
        </w:rPr>
        <w:t xml:space="preserve">Reste l'objection d'équité, et elle pèse. Une exonération dont 1 % des bénéficiaires capte les deux tiers interroge le consentement à l'impôt, au moment où chacun est appelé à l'effort. Nous la prenons au sérieux. Le rabot uniforme y répond mal. Un plafonnement brutal frapperait d'abord les entreprises moyennes, dont les héritiers n'ont ni la trésorerie pour payer ni l'ingénierie pour s'organiser, quand les très grands patrimoines ont du temps et des conseils pour s'adapter. L'Allemagne exonère l'outil de travail jusqu'à 100 %, contre des engagements contrôlés de maintien de l'emploi. On aimerait que l'automne budgétaire porte sur ce genre de contreparties. Il portera, sauf surprise, sur le taux.</w:t>
      </w:r>
    </w:p>
    <w:p>
      <w:pPr>
        <w:spacing w:after="200" w:before="0" w:line="360"/>
        <w:jc w:val="both"/>
      </w:pPr>
      <w:r>
        <w:rPr>
          <w:rFonts w:ascii="Times New Roman" w:cs="Times New Roman" w:eastAsia="Times New Roman" w:hAnsi="Times New Roman"/>
          <w:b w:val="false"/>
          <w:bCs w:val="false"/>
          <w:i w:val="false"/>
          <w:iCs w:val="false"/>
          <w:color w:val="000000"/>
          <w:sz w:val="24"/>
          <w:szCs w:val="24"/>
        </w:rPr>
        <w:t xml:space="preserve">Puis il y a l'instabilité, qui ne figure dans aucun rapport. Un pacte signé aujourd'hui court jusqu'en 2034 ; d'ici là, huit lois de finances, des doctrines qui bougent, les contours encore discutés de la holding animatrice, cette société de tête dont dépend l'accès au régime pour des milliers de groupes familiaux. Des transmissions se reportent, des réorganisations se figent. On demande aux familles de tenir huit ans. La règle fiscale, elle, ne tient pas huit mois.</w:t>
      </w:r>
    </w:p>
    <w:p>
      <w:pPr>
        <w:spacing w:after="200" w:before="160" w:line="360"/>
        <w:jc w:val="left"/>
      </w:pPr>
      <w:r>
        <w:rPr>
          <w:rFonts w:ascii="Times New Roman" w:cs="Times New Roman" w:eastAsia="Times New Roman" w:hAnsi="Times New Roman"/>
          <w:b/>
          <w:bCs/>
          <w:i w:val="false"/>
          <w:iCs w:val="false"/>
          <w:color w:val="000000"/>
          <w:sz w:val="24"/>
          <w:szCs w:val="24"/>
        </w:rPr>
        <w:t xml:space="preserve">Ce que nous proposons</w:t>
      </w:r>
    </w:p>
    <w:p>
      <w:pPr>
        <w:spacing w:after="200" w:before="0" w:line="360"/>
        <w:jc w:val="both"/>
      </w:pPr>
      <w:r>
        <w:rPr>
          <w:rFonts w:ascii="Times New Roman" w:cs="Times New Roman" w:eastAsia="Times New Roman" w:hAnsi="Times New Roman"/>
          <w:b w:val="false"/>
          <w:bCs w:val="false"/>
          <w:i w:val="false"/>
          <w:iCs w:val="false"/>
          <w:color w:val="000000"/>
          <w:sz w:val="24"/>
          <w:szCs w:val="24"/>
        </w:rPr>
        <w:t xml:space="preserve">D'abord ce que les fiscalistes appellent une clause de grand-père. Les règles en vigueur au jour de la signature valent jusqu'au terme du pacte, pour tous les pactes en cours. C'est la contrepartie loyale d'un engagement de huit ans, et son coût budgétaire est nul. Ensuite, achever le ciblage. La loi écarte désormais de l'exonération les résidences, les yachts ou les œuvres d'art logés dans les sociétés. Elle ne dit toujours rien de la trésorerie de placement ni de l'immobilier de rapport. Le même mécanisme, étendu à ces actifs, donnerait au régime sa forme aboutie, 75 % sans plafond pour l'outil professionnel réellement transmis et dirigé, au besoin assorti d'engagements sur l'emploi, rien pour le reste. Ce ciblage rapporterait davantage qu'une baisse de taux, et il répond à la question d'équité par la structure même du régime. Enfin une évaluation publique et indépendante tous les trois ans, seule occasion de retoucher le dispositif. La matière statistique existe, le travail de la Cour et de l'Institut des politiques publiques vient de le montrer. Il manque le rendez-vous.</w:t>
      </w:r>
    </w:p>
    <w:p>
      <w:pPr>
        <w:spacing w:after="200" w:before="0" w:line="360"/>
        <w:jc w:val="both"/>
      </w:pPr>
      <w:r>
        <w:rPr>
          <w:rFonts w:ascii="Times New Roman" w:cs="Times New Roman" w:eastAsia="Times New Roman" w:hAnsi="Times New Roman"/>
          <w:b w:val="false"/>
          <w:bCs w:val="false"/>
          <w:i w:val="false"/>
          <w:iCs w:val="false"/>
          <w:color w:val="000000"/>
          <w:sz w:val="24"/>
          <w:szCs w:val="24"/>
        </w:rPr>
        <w:t xml:space="preserve">La campagne présidentielle promet déjà tout et son contraire sur les successions, suppression en ligne directe d'un côté, imposition minimale des hauts patrimoines de l'autre. Ce que demande le pacte Dutreil tient en peu de mots. Des règles fermes sur ce qu'il couvre. Et dix ans de calme.</w:t>
      </w:r>
    </w:p>
    <w:p>
      <w:pPr>
        <w:spacing w:after="200" w:before="0" w:line="360"/>
        <w:jc w:val="left"/>
      </w:pPr>
      <w:r>
        <w:rPr>
          <w:rFonts w:ascii="Times New Roman" w:cs="Times New Roman" w:eastAsia="Times New Roman" w:hAnsi="Times New Roman"/>
          <w:b w:val="false"/>
          <w:bCs w:val="false"/>
          <w:i/>
          <w:iCs/>
          <w:color w:val="000000"/>
          <w:sz w:val="24"/>
          <w:szCs w:val="24"/>
        </w:rPr>
        <w:t xml:space="preserve">Gilles Carrez, ancien rapporteur général du budget, ancien président de la commission des finances de l'Assemblée nationale, et François Ouairy, avocat fiscaliste (BENSAID Avocats)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2026-09-03T14:04:30.502Z</dcterms:created>
  <dcterms:modified xsi:type="dcterms:W3CDTF">2026-09-03T14:04:30.502Z</dcterms:modified>
</cp:coreProperties>
</file>

<file path=docProps/custom.xml><?xml version="1.0" encoding="utf-8"?>
<Properties xmlns="http://schemas.openxmlformats.org/officeDocument/2006/custom-properties" xmlns:vt="http://schemas.openxmlformats.org/officeDocument/2006/docPropsVTypes"/>
</file>