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Selon ce même rapport,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Selon les rapports parlementaires de l'époque, moins d'une entreprise sur cinq restait familiale, contre 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L'ordre de grandeur mérite d'être posé. Au barème en vigueur,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Il ne faut ni raboter ni sanctuariser. Le rabot frapperait à côté.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Pacte Dutreil : ni rabot ni statu quo</dc:title>
  <dc:creator>François Ouairy</dc:creator>
  <dc:description>Tribune de Gilles Carrez et François Ouairy</dc:description>
  <cp:lastModifiedBy>François Ouairy</cp:lastModifiedBy>
  <cp:revision>1</cp:revision>
  <dcterms:created xsi:type="dcterms:W3CDTF">2026-09-08T10:37:53.423Z</dcterms:created>
  <dcterms:modified xsi:type="dcterms:W3CDTF">2026-09-08T10:37:53.438Z</dcterms:modified>
</cp:coreProperties>
</file>

<file path=docProps/custom.xml><?xml version="1.0" encoding="utf-8"?>
<Properties xmlns="http://schemas.openxmlformats.org/officeDocument/2006/custom-properties" xmlns:vt="http://schemas.openxmlformats.org/officeDocument/2006/docPropsVTypes"/>
</file>