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et les entreprises familiales défendent alors l'idée d'un pacte d'actionnaires ; Didier Migaud, rapporteur général socialiste, la fait entrer dans la loi de finances pour 2000 par amendement, avec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loi de finances du 19 février 2026 a encore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Il ne faut ni raboter ni sanctuariser. Le rabot punirait les PME sans fermer un seul montage ;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Les biens de confort viennent de sortir de l'assiette. La trésorerie de placement et l'immobilier de rapport y restent.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2026-09-04T13:57:49.608Z</dcterms:created>
  <dcterms:modified xsi:type="dcterms:W3CDTF">2026-09-04T13:57:49.627Z</dcterms:modified>
</cp:coreProperties>
</file>

<file path=docProps/custom.xml><?xml version="1.0" encoding="utf-8"?>
<Properties xmlns="http://schemas.openxmlformats.org/officeDocument/2006/custom-properties" xmlns:vt="http://schemas.openxmlformats.org/officeDocument/2006/docPropsVTypes"/>
</file>