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60"/>
        <w:jc w:val="left"/>
      </w:pPr>
      <w:r>
        <w:rPr>
          <w:rFonts w:ascii="Times New Roman" w:cs="Times New Roman" w:eastAsia="Times New Roman" w:hAnsi="Times New Roman"/>
          <w:b w:val="false"/>
          <w:bCs w:val="false"/>
          <w:i/>
          <w:iCs/>
          <w:color w:val="808080"/>
          <w:sz w:val="18"/>
          <w:szCs w:val="18"/>
        </w:rPr>
        <w:t xml:space="preserve">Projet de tribune, cosignature Gilles Carrez / François Ouairy. Version longue (le chapô sera rédigé par la rédaction). Les passages entre crochets sont à votre main. Version 10 du 4 septembre 2026.</w:t>
      </w:r>
    </w:p>
    <w:p>
      <w:pPr>
        <w:spacing w:after="200" w:before="0" w:line="360"/>
        <w:jc w:val="left"/>
      </w:pPr>
      <w:r>
        <w:rPr>
          <w:rFonts w:ascii="Times New Roman" w:cs="Times New Roman" w:eastAsia="Times New Roman" w:hAnsi="Times New Roman"/>
          <w:b/>
          <w:bCs/>
          <w:i w:val="false"/>
          <w:iCs w:val="false"/>
          <w:color w:val="000000"/>
          <w:sz w:val="28"/>
          <w:szCs w:val="28"/>
        </w:rPr>
        <w:t xml:space="preserve">Pacte Dutreil : ni rabot ni statu quo</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Le 30 septembre, le projet de loi de finances pour 2027 sera présenté en Conseil des ministres. Le pacte Dutreil, cette exonération de 75 % des droits de mutation qui permet de transmettre une entreprise familiale sans la démanteler pour payer l'impôt, y affrontera son procès annuel. Dans un rapport publié en novembre 2025 avec l'Institut des politiques publiques, la Cour des comptes évalue la dépense fiscale à 5,5 milliards d'euros pour 2024, très au-dessus des 800 millions retenus jusque-là dans les documents budgétaires, et constate que 1 % des bénéficiaires capte 65 % de l'avantage.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la Cour documente</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Nous connaissons ce dispositif de l'intérieur. [L'un de nous fut co-rapporteur de la loi du 1er août 2003 qui l'a créé ; l'autre le met en œuvre chaque semaine, pour des entreprises moyennes comme pour des groupes familiaux.] Ce que la Cour documente est exact. La dépense fiscale a plus que quadruplé en quatre ans. Des montages logent dans l'exonération de la trésorerie ou de l'immobilier sans lien avec l'activité. L'avantage moyen des 1 % de bénéficiaires les mieux servis approche trente millions d'euros. Ces montages doivent sortir du régime. Il y survivra très bien.</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Rappelons d'où vient ce régime. En 1994, le laboratoire UPSA, fleuron familial d'Agen, passait sous pavillon américain cinq ans après la mort de son dirigeant, droits de succession et ISF aidant. La France taxait alors la transmission en ligne directe jusqu'à 40 %, et moins d'une entreprise sur cinq restait familiale, contre une sur deux en Allemagne. Yvon Gattaz et les entreprises familiales défendent alors l'idée d'un pacte d'actionnaires ; Didier Migaud, rapporteur général socialiste, la fait entrer dans la loi de finances pour 2000 par amendement, avec un abattement de 50 % sur les successions en échange d'un engagement collectif de conservation. Le dispositif fut d'abord connu comme le pacte « Gattaz-Migaud ». La loi Dutreil du 1er août 2003 l'étend aux donations. La loi PME du 2 août 2005 porte l'abattement à 75 %. Le dispositif a été créé sous un gouvernement de gauche, puis étendu par la droite. Nicolas Sarkozy l'a assoupli, François Hollande l'a maintenu intact, et il a encore été simplifié en 2019. Depuis 1999, quatre présidents se sont succédé sans jamais le remettre en cause. L'idée s'était imposée à tous.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L'ordre de grandeur mérite d'être posé. Pour une entreprise valorisée vingt millions d'euros et un enfant repreneur, les droits au décès, sans pacte, atteignent de l'ordre de huit millions d'euros. Avec un pacte, ils retombent autour de deux millions. Peu d'héritiers disposent de huit millions d'euros immédiatement mobilisables. Ils empruntent, ponctionnent la trésorerie de l'entreprise, ou vendent. La loi de finances du 19 février 2026 a d'ailleurs durci l'exercice. L'engagement est porté à huit ans au total, et la fraction de valeur correspondant notamment aux résidences, yachts ou œuvres d'art étrangers à l'exploitation sort désormais de l'assiette exonérée. Ces règles ont quelques mois. Personne n'en a mesuré les effets. En écrire de nouvelles dès cet automne, c'est légiférer à l'aveugle.</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La question de l'équité</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Reste l'objection d'équité, et elle pèse. Une exonération dont 1 % des bénéficiaires capte les deux tiers interroge le consentement à l'impôt, au moment où chacun est appelé à l'effort. Le rabot uniforme y répond mal. Un plafonnement brutal frapperait d'abord les entreprises moyennes, dont les héritiers n'ont ni la trésorerie pour payer ni l'ingénierie pour s'organiser, quand les très grands patrimoines ont du temps et des conseils pour s'adapter. L'Allemagne exonère l'outil de travail jusqu'à 100 %, contre des engagements contrôlés de maintien de l'emploi. Nous aimerions que l'automne budgétaire porte sur ce genre de contreparties. Il portera, sauf surprise, sur le taux.</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Puis il y a l'instabilité. Un pacte signé aujourd'hui court jusqu'en 2034 ; d'ici là, huit lois de finances, des doctrines qui bougent, les contours encore discutés de la holding animatrice, cette société de tête dont dépend l'accès au régime pour des milliers de groupes familiaux. Des transmissions se reportent, des réorganisations se figent. L'État demande aux familles de tenir huit ans. La règle fiscale, elle, ne tient pas huit mois.</w:t>
      </w:r>
    </w:p>
    <w:p>
      <w:pPr>
        <w:spacing w:after="200" w:before="160" w:line="360"/>
        <w:jc w:val="left"/>
      </w:pPr>
      <w:r>
        <w:rPr>
          <w:rFonts w:ascii="Times New Roman" w:cs="Times New Roman" w:eastAsia="Times New Roman" w:hAnsi="Times New Roman"/>
          <w:b/>
          <w:bCs/>
          <w:i w:val="false"/>
          <w:iCs w:val="false"/>
          <w:color w:val="000000"/>
          <w:sz w:val="24"/>
          <w:szCs w:val="24"/>
        </w:rPr>
        <w:t xml:space="preserve">Ce que nous proposons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Il ne faut ni raboter ni sanctuariser. Le rabot frapperait à côté ; le statu quo laisserait prospérer ce que la Cour documente. D'abord, ce que les fiscalistes appellent une clause de grand-père. Un pacte signé est un contrat, et un contrat oblige les deux parties. Les familles tiennent huit ans ; l'État doit tenir les règles en vigueur au jour de la signature, jusqu'au terme, pour tous les pactes en cours. Son coût budgétaire est nul. Aux pactes nouveaux, la loi fixera les conditions qu'elle voudra, et le taux de 75 % sera maintenu. Ensuite, achever le ciblage. Les biens de confort viennent de sortir de l'assiette. La trésorerie de placement et l'immobilier de rapport y restent. Le même mécanisme, étendu à ces actifs, donnerait au régime sa forme aboutie, 75 % sans plafond pour l'outil professionnel réellement transmis et dirigé, au besoin assorti d'engagements sur l'emploi, rien pour le reste. Ce ciblage rapporterait davantage qu'une baisse de taux, et il répond à la question d'équité par la structure même du régime. Enfin une évaluation publique et indépendante tous les trois ans, seule occasion de retoucher le dispositif. La matière statistique existe, le travail de la Cour et de l'Institut des politiques publiques vient de le montrer. Il manque le rendez-vous.</w:t>
      </w:r>
    </w:p>
    <w:p>
      <w:pPr>
        <w:spacing w:after="200" w:before="0" w:line="360"/>
        <w:jc w:val="both"/>
      </w:pPr>
      <w:r>
        <w:rPr>
          <w:rFonts w:ascii="Times New Roman" w:cs="Times New Roman" w:eastAsia="Times New Roman" w:hAnsi="Times New Roman"/>
          <w:b w:val="false"/>
          <w:bCs w:val="false"/>
          <w:i w:val="false"/>
          <w:iCs w:val="false"/>
          <w:color w:val="000000"/>
          <w:sz w:val="24"/>
          <w:szCs w:val="24"/>
        </w:rPr>
        <w:t xml:space="preserve">La campagne présidentielle promet déjà tout et son contraire sur les successions. Ce que demande le pacte Dutreil tient en peu de mots. Il lui faut des règles fermes sur ce qu'il couvre, et dix ans de calme.</w:t>
      </w:r>
    </w:p>
    <w:p>
      <w:pPr>
        <w:spacing w:after="200" w:before="0" w:line="360"/>
        <w:jc w:val="left"/>
      </w:pPr>
      <w:r>
        <w:rPr>
          <w:rFonts w:ascii="Times New Roman" w:cs="Times New Roman" w:eastAsia="Times New Roman" w:hAnsi="Times New Roman"/>
          <w:b w:val="false"/>
          <w:bCs w:val="false"/>
          <w:i/>
          <w:iCs/>
          <w:color w:val="000000"/>
          <w:sz w:val="24"/>
          <w:szCs w:val="24"/>
        </w:rPr>
        <w:t xml:space="preserve">Gilles Carrez, ancien rapporteur général du budget, ancien président de la commission des finances de l'Assemblée nationale, et François Ouairy, avocat fiscaliste (BENSAID Avocats)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2026-09-04T13:57:49.703Z</dcterms:created>
  <dcterms:modified xsi:type="dcterms:W3CDTF">2026-09-04T13:57:49.703Z</dcterms:modified>
</cp:coreProperties>
</file>

<file path=docProps/custom.xml><?xml version="1.0" encoding="utf-8"?>
<Properties xmlns="http://schemas.openxmlformats.org/officeDocument/2006/custom-properties" xmlns:vt="http://schemas.openxmlformats.org/officeDocument/2006/docPropsVTypes"/>
</file>