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bCs/>
          <w:i w:val="false"/>
          <w:iCs w:val="false"/>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Rappelons d'où vient le pacte. En 1994, le laboratoire UPSA, fleuron familial d'Agen, passait sous pavillon américain cinq ans après la mort de son dirigeant, droits de succession et ISF aidant. La France taxait alors la ligne directe jusqu'à 40 %, et à peine une entreprise sur cinq restait familiale, contre plus d'une sur deux en Allemagne. Yvon Gattaz et les entreprises familiales défendent alors l'idée d'un pacte d'actionnaires. Didier Migaud, rapporteur général socialiste, la fait entrer dans la loi de finances pour 2000 par amendement, avec un abattement de 50 % sur les successions en échange d'un engagement de conservation. La loi Dutreil de 2003 l'étend aux donations, la loi PME du 2 août 2005 porte l'abattement à 75 %. Le dispositif a été créé sous un gouvernement de gauche, puis étendu et porté à 75 % par la droite. Personne ne l'a remis en cause depuis. Concrètement, pour une entreprise valorisée vingt millions d'euros et un enfant repreneur, les droits au décès, sans pacte, sont de l'ordre de huit millions d'euros. Avec un pacte, ils retombent autour de deux millions. Personne n'a huit millions sur un compte courant. Les héritiers empruntent, ponctionnent la trésorerie, ou vendent.</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La loi de finances du 19 février 2026 a encore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 L'État leur demande de tenir huit ans ; la règle fiscale ne tient pas huit mois.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Que faire ? Il ne faut ni raboter ni sanctuariser. Le rabot punirait les PME sans fermer un seul montage. Le statu quo laisserait prospérer ce que la Cour documente. D'abord, ce que les fiscalistes appellent une clause de grand-père. Un pacte signé est un contrat, et un contrat oblige les deux parties. Les familles tiennent huit ans ; l'État tient les règles en vigueur au jour de la signature, jusqu'au terme. Cela ne coûte rien au budget. Pour les pactes nouveaux, la loi fixe ses conditions et le taux de 75 % est maintenu. Ensuite, achever le ciblage. Les biens de confort viennent de sortir de l'assiette. La trésorerie de placement et l'immobilier de rapport y restent. Le même mécanisme, étendu à ces actifs, donnerait au régime sa forme aboutie, 75 % sans plafond pour l'outil professionnel, rien pour le reste. Ce ciblage rapporterait plus qu'un rabot.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sz w:val="24"/>
          <w:szCs w:val="24"/>
        </w:rPr>
        <w:t xml:space="preserve">Gilles Carrez, ancien rapporteur général du budget, ancien président de la commission des finances de l'Assemblée nationale, et François Ouairy, avocat fiscaliste associé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2026-09-04T14:54:34.394Z</dcterms:created>
  <dcterms:modified xsi:type="dcterms:W3CDTF">2026-09-04T14:54:34.394Z</dcterms:modified>
</cp:coreProperties>
</file>

<file path=docProps/custom.xml><?xml version="1.0" encoding="utf-8"?>
<Properties xmlns="http://schemas.openxmlformats.org/officeDocument/2006/custom-properties" xmlns:vt="http://schemas.openxmlformats.org/officeDocument/2006/docPropsVTypes"/>
</file>