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Version courte. Les passages entre crochets sont à votre main. Version 10 du 4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arrive en Conseil des ministres. Comme chaque automne depuis vingt ans, le pacte Dutreil, cette exonération de 75 % des droits qui permet de transmettre une entreprise familiale sans la vendre pour payer l'impôt, servira de cible. Cette année, les artilleurs disposent d'une munition neuve. La Cour des comptes évalue désormais la dépense fiscale à 5,5 milliards d'euros pour 2024, très au-dessus des 800 millions retenus jusque-là dans les documents budgétaires, et concentrée sur une poignée de très grandes transmissions. Le plafonnement de l'avantage figure déjà dans les amendements qui circulent.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Ces chiffres méritent mieux qu'un haussement d'épaules. [L'un de nous fut co-rapporteur de la loi de 2003 qui a créé ce dispositif ; l'autre le met en œuvre chaque semaine, pour des entreprises de toutes tailles.] Ce que la Cour documente est exact. La dépense a plus que quadruplé en quatre ans. Des montages logent dans l'exonération de la trésorerie ou de l'immobilier qui n'ont rien à voir avec l'activité. Selon ce même rapport,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le pacte. En 1994, le laboratoire UPSA, fleuron familial d'Agen, passait sous pavillon américain cinq ans après la mort de son dirigeant, droits de succession et ISF aidant. La France taxait alors la ligne directe jusqu'à 40 %. Selon les rapports parlementaires de l'époque, à peine une entreprise sur cinq restait familiale, contre plus d'une sur deux en Allemagne. Yvon Gattaz et les entreprises familiales défendent alors l'idée d'un pacte d'actionnaires. Didier Migaud, rapporteur général socialiste, la fait entrer dans la loi de finances pour 2000 par amendement, avec un abattement de 50 % sur les successions en échange d'un engagement de conservation. La loi Dutreil de 2003 l'étend aux donations, la loi PME du 2 août 2005 porte l'abattement à 75 %. Le dispositif a été créé sous un gouvernement de gauche, puis étendu et porté à 75 % par la droite. Personne ne l'a remis en cause depuis. Concrètement, au barème en vigueur, pour une entreprise valorisée vingt millions d'euros et un enfant repreneur, les droits au décès, sans pacte, sont de l'ordre de huit millions d'euros. Avec un pacte, ils retombent autour de deux millions. Personne n'a huit millions sur un compte courant. Les héritiers empruntent, ponctionnent la trésorerie, ou vendent.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loi de finances du 19 février 2026 a encore durci l'exercice. L'engagement est porté à huit ans au total, et la fraction de valeur correspondant notamment aux résidences, yachts ou œuvres d'art étrangers à l'exploitation sort désormais de l'assiette exonérée. Ces règles ont quelques mois. Personne n'en a mesuré les effets. En écrire de nouvelles dès cet automne, c'est légiférer à l'aveugle.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vrai problème est plus bête. Les règles ne tiennent pas en place. Un pacte signé aujourd'hui court jusqu'en 2034 ; d'ici là, huit lois de finances, des doctrines administratives qui bougent, les contours encore discutés de la holding animatrice, cette société de tête dont dépend l'accès au régime pour des milliers de groupes familiaux. Chaque automne, un plafond circule, un amendement surgit, une suppression se vote en commission avant de disparaître en séance. Les familles, elles, restent engagées. L'État leur demande de tenir huit ans ; la règle fiscale ne tient pas huit mois.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Que faire ? Il ne faut ni raboter ni sanctuariser. Le rabot punirait les PME sans fermer un seul montage. Le statu quo laisserait prospérer ce que la Cour documente. D'abord, ce que les fiscalistes appellent une clause de grand-père. Un pacte signé est un contrat, et un contrat oblige les deux parties. Les familles tiennent huit ans ; l'État tient les règles en vigueur au jour de la signature, jusqu'au terme. Cela ne coûte rien au budget. Pour les pactes nouveaux, la loi fixe ses conditions et le taux de 75 % est maintenu. Ensuite, achever le ciblage. Les biens de confort viennent de sortir de l'assiette. La trésorerie de placement et l'immobilier de rapport y restent. Le même mécanisme, étendu à ces actifs, donnerait au régime sa forme aboutie, 75 % sans plafond pour l'outil professionnel, rien pour le reste. Ce ciblage rapporterait plus qu'un rabot. Et une évaluation publique tous les trois ans, chiffres sur la table, seule occasion de retoucher le régime. Entre deux rendez-vous, le régime ne bouge pas.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discussion budgétaire s'ouvre dans quatre semaines. Elle peut corriger les abus et resserrer l'avantage sur l'outil de travail. Elle peut aussi tout remettre en jeu, une fois de plus, pour un rendement incertain. Les chefs d'entreprise trancheront à leur façon, en signant ou en s'abstenant.</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associé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2026-09-08T10:07:01.682Z</dcterms:created>
  <dcterms:modified xsi:type="dcterms:W3CDTF">2026-09-08T10:07:01.682Z</dcterms:modified>
</cp:coreProperties>
</file>

<file path=docProps/custom.xml><?xml version="1.0" encoding="utf-8"?>
<Properties xmlns="http://schemas.openxmlformats.org/officeDocument/2006/custom-properties" xmlns:vt="http://schemas.openxmlformats.org/officeDocument/2006/docPropsVTypes"/>
</file>