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60"/>
        <w:jc w:val="left"/>
      </w:pPr>
      <w:r>
        <w:rPr>
          <w:rFonts w:ascii="Times New Roman" w:cs="Times New Roman" w:eastAsia="Times New Roman" w:hAnsi="Times New Roman"/>
          <w:b/>
          <w:bCs/>
          <w:i w:val="false"/>
          <w:iCs w:val="false"/>
          <w:sz w:val="28"/>
          <w:szCs w:val="28"/>
        </w:rPr>
        <w:t xml:space="preserve">Pacte Dutreil : ni rabot ni statu quo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Le 30 septembre, le projet de loi de finances pour 2027 arrive en Conseil des ministres. Comme chaque automne depuis vingt ans, le pacte Dutreil, cette exonération de 75 % des droits qui permet de transmettre une entreprise familiale sans la vendre pour payer l'impôt, servira de cible. Cette année, les artilleurs disposent d'une munition neuve. La Cour des comptes évalue désormais la dépense fiscale à 5,5 milliards d'euros pour 2024, très au-dessus des 800 millions retenus jusque-là dans les documents budgétaires, et concentrée sur une poignée de très grandes transmissions. Le plafonnement de l'avantage figure déjà dans les amendements qui circulent.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Ces chiffres méritent mieux qu'un haussement d'épaules. L'un de nous fut co-rapporteur de la loi de 2003 qui a créé ce dispositif ; l'autre le met en œuvre chaque semaine, pour des entreprises de toutes tailles. Ce que la Cour documente est exact. La dépense a plus que quadruplé en quatre ans. Des montages logent dans l'exonération de la trésorerie ou de l'immobilier qui n'ont rien à voir avec l'activité. Selon ce même rapport, l'avantage moyen des 1 % de bénéficiaires les mieux servis approche trente millions d'euros. Ces montages doivent sortir du régime. Il y survivra très bien.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Rappelons d'où vient le pacte. En 1994, le laboratoire UPSA, fleuron familial d'Agen, passait sous pavillon américain cinq ans après la mort de son dirigeant, droits de succession et ISF aidant. La France taxait alors la ligne directe jusqu'à 40 %. Selon les rapports parlementaires de l'époque, à peine une entreprise sur cinq restait familiale, contre plus d'une sur deux en Allemagne. Yvon Gattaz et les entreprises familiales défendent alors l'idée d'un pacte d'actionnaires. Didier Migaud, rapporteur général socialiste, la fait entrer dans la loi de finances pour 2000 par amendement, avec un abattement de 50 % sur les successions en échange d'un engagement de conservation. La loi Dutreil de 2003 l'étend aux donations, la loi PME du 2 août 2005 porte l'abattement à 75 %. Le dispositif a été créé sous un gouvernement de gauche, puis étendu et porté à 75 % par la droite. Personne ne l'a remis en cause depuis. Concrètement, au barème en vigueur, pour une entreprise valorisée vingt millions d'euros et un enfant repreneur, les droits au décès, sans pacte, sont de l'ordre de huit millions d'euros. Avec un pacte, ils retombent autour de deux millions. Personne n'a huit millions sur un compte courant. Les héritiers empruntent, ponctionnent la trésorerie, ou vendent.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La loi de finances du 19 février 2026 a encore durci l'exercice. L'engagement est porté à huit ans au total, et la fraction de valeur correspondant notamment aux résidences, yachts ou œuvres d'art étrangers à l'exploitation sort désormais de l'assiette exonérée. Ces règles ont quelques mois. Personne n'en a mesuré les effets. En écrire de nouvelles dès cet automne, c'est légiférer à l'aveugle.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Le vrai problème est plus bête. Les règles ne tiennent pas en place. Un pacte signé aujourd'hui court jusqu'en 2034 ; d'ici là, huit lois de finances, des doctrines administratives qui bougent, les contours encore discutés de la holding animatrice, cette société de tête dont dépend l'accès au régime pour des milliers de groupes familiaux. Chaque automne, un plafond circule, un amendement surgit, une suppression se vote en commission avant de disparaître en séance. Les familles, elles, restent engagées. L'État leur demande de tenir huit ans ; la règle fiscale ne tient pas huit mois.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Que faire ? Il ne faut ni raboter ni sanctuariser. Le rabot punirait les PME sans fermer un seul montage. Le statu quo laisserait prospérer ce que la Cour documente. D'abord, ce que les fiscalistes appellent une clause de grand-père. Un pacte signé est un contrat, et un contrat oblige les deux parties. Les familles tiennent huit ans ; l'État tient les règles en vigueur au jour de la signature, jusqu'au terme. Cela ne coûte rien au budget. Pour les pactes nouveaux, la loi fixe ses conditions et le taux de 75 % est maintenu. Ensuite, achever le ciblage. Les biens de confort viennent de sortir de l'assiette. La trésorerie de placement et l'immobilier de rapport y restent. Le même mécanisme, étendu à ces actifs, donnerait au régime sa forme aboutie, 75 % sans plafond pour l'outil professionnel, rien pour le reste. Ce ciblage rapporterait plus qu'un rabot. Et une évaluation publique tous les trois ans, chiffres sur la table, seule occasion de retoucher le régime. Entre deux rendez-vous, le régime ne bouge pas.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La discussion budgétaire s'ouvre dans quatre semaines. Elle peut corriger les abus et resserrer l'avantage sur l'outil de travail. Elle peut aussi tout remettre en jeu, une fois de plus, pour un rendement incertain. Les chefs d'entreprise trancheront à leur façon, en signant ou en s'abstenant.</w:t>
      </w:r>
    </w:p>
    <w:p>
      <w:pPr>
        <w:spacing w:after="200" w:before="0" w:line="360"/>
        <w:jc w:val="left"/>
      </w:pPr>
      <w:r>
        <w:rPr>
          <w:rFonts w:ascii="Times New Roman" w:cs="Times New Roman" w:eastAsia="Times New Roman" w:hAnsi="Times New Roman"/>
          <w:b w:val="false"/>
          <w:bCs w:val="false"/>
          <w:i/>
          <w:iCs/>
          <w:sz w:val="24"/>
          <w:szCs w:val="24"/>
        </w:rPr>
        <w:t xml:space="preserve">Gilles Carrez, ancien rapporteur général du budget, ancien président de la commission des finances de l'Assemblée nationale, et François Ouairy, avocat fiscaliste associé (BENSAID Avocats)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2026-09-08T10:07:01.825Z</dcterms:created>
  <dcterms:modified xsi:type="dcterms:W3CDTF">2026-09-08T10:07:01.825Z</dcterms:modified>
</cp:coreProperties>
</file>

<file path=docProps/custom.xml><?xml version="1.0" encoding="utf-8"?>
<Properties xmlns="http://schemas.openxmlformats.org/officeDocument/2006/custom-properties" xmlns:vt="http://schemas.openxmlformats.org/officeDocument/2006/docPropsVTypes"/>
</file>