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courte ~4 500 signes. Les passages entre crochets sont à votre main. Version 8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la dépense fiscale à 5,5 milliards d'euros pour 2024, très au-dessus des 800 millions retenus jusque-là dans les documents budgétaires, et concentrée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Ces chiffres méritent mieux qu'un haussement d'épaules. [L'un de nous fut co-rapporteur de la loi de 2003 qui a créé ce dispositif ; l'autre le met en œuvre chaque semaine, pour des entreprises de toutes tailles.] Ce que la Cour documente est exact. La dépense a plus que quadruplé en quatre ans. Des montages logent dans l'exonération de la trésorerie ou de l'immobilier qui n'ont rien à voir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le pacte. En 1994, le laboratoire UPSA, fleuron familial d'Agen, passait sous pavillon américain cinq ans après la mort de son dirigeant, droits de succession et ISF aidant. La France taxait alors la ligne directe jusqu'à 40 %, et à peine une entreprise sur cinq restait familiale, contre plus d'une sur deux en Allemagne. Yvon Gattaz conçoit alors le pacte d'actionnaires ; Didier Migaud, rapporteur général socialiste, l'inscrit dans la loi de finances pour 2000, un abattement de 50 % sur les successions en échange d'un engagement de conservation. La loi Dutreil de 2003 l'étend aux donations, la loi PME du 2 août 2005 porte l'abattement à 75 %. Créé sous un gouvernement de gauche, étendu et porté à 75 % par la droite, jamais remis en cause depuis. Concrètement, pour une entreprise valorisée vingt millions d'euros et un enfant repreneur, les droits au décès, sans pacte, sont de l'ordre de huit millions d'euros. Avec un pacte, autour de deux. Personne n'a huit millions sur un compte courant. On emprunte, on ponctionne la trésorerie, ou on vend.</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législateur vient encore de durcir l'exercice. Engagement porté à huit ans au total, exclusion de l'assiette des résidences, yachts et autres biens de confort logés dans les sociétés. Ces règles ont quelques mois. Personne n'en a mesuré les effets. En écrire de nouvelles dès cet automne, c'est légiférer à l'aveugle.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vrai problème est plus bête. Les règles ne tiennent pas en place. Un pacte signé aujourd'hui court jusqu'en 2034 ; d'ici là, huit lois de finances, des doctrines administratives qui bougent, les contours encore discutés de la holding animatrice, cette société de tête dont dépend l'accès au régime pour des milliers de groupes familiaux. Chaque automne, un plafond circule, un amendement surgit, une suppression se vote en commission avant de disparaître en séance. Les familles, elles, restent engagées. On leur demande de tenir huit ans ; la règle fiscale ne tient pas huit mois.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Que faire ? Ni rabot, ni statu quo. Le premier punirait les PME sans fermer un seul montage, le second laisserait prospérer ce que la Cour documente. D'abord, ce que les fiscalistes appellent une clause de grand-père. Un pacte signé est un contrat, et un contrat oblige les deux parties. Les familles tiennent huit ans ; l'État tient les règles en vigueur au jour de la signature, jusqu'au terme. Cela ne coûte rien au budget. Pour les pactes nouveaux, la loi fixe ses conditions, taux de 75 % maintenu. Ensuite, achever le ciblage. La loi écarte désormais de l'exonération les résidences, les yachts ou les œuvres d'art logés dans les sociétés. Elle ne dit toujours rien de la trésorerie de placement ni de l'immobilier de rapport. Le même mécanisme, étendu à ces actifs, donnerait au régime sa forme aboutie, 75 % sans plafond pour l'outil professionnel, rien pour le reste. Ce ciblage rapporterait plus qu'un rabot. Et une évaluation publique tous les trois ans, chiffres sur la table, seule occasion de retoucher le régime. Entre deux rendez-vous, le régime ne bouge pas.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discussion budgétaire s'ouvre dans quatre semaines. Elle peut corriger les abus et resserrer l'avantage sur l'outil de travail. Elle peut aussi tout remettre en jeu, une fois de plus, pour un rendement incertain. Les chefs d'entreprise trancheront à leur façon, en signant ou en s'abstenant.</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2026-09-04T11:57:28.744Z</dcterms:created>
  <dcterms:modified xsi:type="dcterms:W3CDTF">2026-09-04T11:57:28.744Z</dcterms:modified>
</cp:coreProperties>
</file>

<file path=docProps/custom.xml><?xml version="1.0" encoding="utf-8"?>
<Properties xmlns="http://schemas.openxmlformats.org/officeDocument/2006/custom-properties" xmlns:vt="http://schemas.openxmlformats.org/officeDocument/2006/docPropsVTypes"/>
</file>