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left"/>
      </w:pPr>
      <w:r>
        <w:rPr>
          <w:rFonts w:ascii="Times New Roman" w:cs="Times New Roman" w:eastAsia="Times New Roman" w:hAnsi="Times New Roman"/>
          <w:b/>
          <w:bCs/>
          <w:i w:val="false"/>
          <w:iCs w:val="false"/>
          <w:sz w:val="28"/>
          <w:szCs w:val="28"/>
        </w:rPr>
        <w:t xml:space="preserve">Pacte Dutreil : ni rabot ni statu quo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Le 30 septembre, le projet de loi de finances pour 2027 sera présenté en Conseil des ministres. Le pacte Dutreil, cette exonération de 75 % des droits de mutation qui permet de transmettre une entreprise familiale sans la démanteler pour payer l'impôt, y affrontera son procès annuel. Dans un rapport publié en novembre 2025 avec l'Institut des politiques publiques, la Cour des comptes évalue la dépense fiscale à 5,5 milliards d'euros pour 2024, très au-dessus des 800 millions retenus jusque-là dans les documents budgétaires, et constate que 1 % des bénéficiaires capte 65 % de l'avantage.</w:t>
      </w:r>
    </w:p>
    <w:p>
      <w:pPr>
        <w:spacing w:after="200" w:before="160" w:line="360"/>
        <w:jc w:val="left"/>
      </w:pPr>
      <w:r>
        <w:rPr>
          <w:rFonts w:ascii="Times New Roman" w:cs="Times New Roman" w:eastAsia="Times New Roman" w:hAnsi="Times New Roman"/>
          <w:b/>
          <w:bCs/>
          <w:i w:val="false"/>
          <w:iCs w:val="false"/>
          <w:sz w:val="24"/>
          <w:szCs w:val="24"/>
        </w:rPr>
        <w:t xml:space="preserve">Ce que la Cour documente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Nous connaissons ce dispositif de l'intérieur. L'un de nous fut co-rapporteur de la loi du 1er août 2003 qui l'a créé ; l'autre le met en œuvre chaque semaine, pour des entreprises moyennes comme pour des groupes familiaux. Ce que la Cour documente est exact. La dépense fiscale a plus que quadruplé en quatre ans. Des montages logent dans l'exonération de la trésorerie ou de l'immobilier sans lien avec l'activité. L'avantage moyen des 1 % de bénéficiaires les mieux servis approche trente millions d'euros. Ces montages doivent sortir du régime. Il y survivra très bien.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Rappelons d'où vient ce régime. En 1994, le laboratoire UPSA, fleuron familial d'Agen, passait sous pavillon américain cinq ans après la mort de son dirigeant, droits de succession et ISF aidant. La France taxait alors la transmission en ligne directe jusqu'à 40 %. Selon les rapports parlementaires de l'époque, moins d'une entreprise sur cinq restait familiale, contre une sur deux en Allemagne. Yvon Gattaz et les entreprises familiales défendent alors l'idée d'un pacte d'actionnaires. Didier Migaud, rapporteur général socialiste, la fait entrer dans la loi de finances pour 2000 par amendement, avec un abattement de 50 % sur les successions en échange d'un engagement collectif de conservation. Le dispositif fut d'abord connu comme le pacte « Gattaz-Migaud ». La loi Dutreil du 1er août 2003 l'étend aux donations. La loi PME du 2 août 2005 porte l'abattement à 75 %. Le dispositif a été créé sous un gouvernement de gauche, puis étendu par la droite. Nicolas Sarkozy l'a assoupli, François Hollande l'a maintenu intact, et il a encore été simplifié en 2019. Depuis 1999, quatre présidents se sont succédé sans jamais le remettre en cause. L'idée s'était imposée à tous.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L'ordre de grandeur mérite d'être posé. Au barème en vigueur, pour une entreprise valorisée vingt millions d'euros et un enfant repreneur, les droits au décès, sans pacte, atteignent de l'ordre de huit millions d'euros. Avec un pacte, ils retombent autour de deux millions. Peu d'héritiers disposent de huit millions d'euros immédiatement mobilisables. Ils empruntent, ponctionnent la trésorerie de l'entreprise, ou vendent. La loi de finances du 19 février 2026 a d'ailleurs durci l'exercice. L'engagement est porté à huit ans au total, et la fraction de valeur correspondant notamment aux résidences, yachts ou œuvres d'art étrangers à l'exploitation sort désormais de l'assiette exonérée. Ces règles ont quelques mois. Personne n'en a mesuré les effets. En écrire de nouvelles dès cet automne, c'est légiférer à l'aveugle.</w:t>
      </w:r>
    </w:p>
    <w:p>
      <w:pPr>
        <w:spacing w:after="200" w:before="160" w:line="360"/>
        <w:jc w:val="left"/>
      </w:pPr>
      <w:r>
        <w:rPr>
          <w:rFonts w:ascii="Times New Roman" w:cs="Times New Roman" w:eastAsia="Times New Roman" w:hAnsi="Times New Roman"/>
          <w:b/>
          <w:bCs/>
          <w:i w:val="false"/>
          <w:iCs w:val="false"/>
          <w:sz w:val="24"/>
          <w:szCs w:val="24"/>
        </w:rPr>
        <w:t xml:space="preserve">La question de l'équité</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Reste l'objection d'équité, et elle pèse. Une exonération dont 1 % des bénéficiaires capte les deux tiers interroge le consentement à l'impôt, au moment où chacun est appelé à l'effort. Le rabot uniforme y répond mal. Un plafonnement brutal frapperait d'abord les entreprises moyennes, dont les héritiers n'ont ni la trésorerie pour payer ni l'ingénierie pour s'organiser, quand les très grands patrimoines ont du temps et des conseils pour s'adapter. L'Allemagne exonère l'outil de travail jusqu'à 100 %, contre des engagements contrôlés de maintien de l'emploi. Nous aimerions que l'automne budgétaire porte sur ce genre de contreparties. Il portera, sauf surprise, sur le taux.</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Puis il y a l'instabilité. Un pacte signé aujourd'hui court jusqu'en 2034 ; d'ici là, huit lois de finances, des doctrines qui bougent, les contours encore discutés de la holding animatrice, cette société de tête dont dépend l'accès au régime pour des milliers de groupes familiaux. Des transmissions se reportent, des réorganisations se figent. L'État demande aux familles de tenir huit ans. La règle fiscale, elle, ne tient pas huit mois.</w:t>
      </w:r>
    </w:p>
    <w:p>
      <w:pPr>
        <w:spacing w:after="200" w:before="160" w:line="360"/>
        <w:jc w:val="left"/>
      </w:pPr>
      <w:r>
        <w:rPr>
          <w:rFonts w:ascii="Times New Roman" w:cs="Times New Roman" w:eastAsia="Times New Roman" w:hAnsi="Times New Roman"/>
          <w:b/>
          <w:bCs/>
          <w:i w:val="false"/>
          <w:iCs w:val="false"/>
          <w:sz w:val="24"/>
          <w:szCs w:val="24"/>
        </w:rPr>
        <w:t xml:space="preserve">Ce que nous proposons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Il ne faut ni raboter ni sanctuariser. Le rabot frapperait à côté. Le statu quo laisserait prospérer ce que la Cour documente. D'abord, ce que les fiscalistes appellent une clause de grand-père. Un pacte signé est un contrat, et un contrat oblige les deux parties. Les familles tiennent huit ans ; l'État doit tenir les règles en vigueur au jour de la signature, jusqu'au terme, pour tous les pactes en cours. Son coût budgétaire est nul. Aux pactes nouveaux, la loi fixera les conditions qu'elle voudra, et le taux de 75 % sera maintenu. Ensuite, achever le ciblage. Les biens de confort viennent de sortir de l'assiette. La trésorerie de placement et l'immobilier de rapport y restent. Le même mécanisme, étendu à ces actifs, donnerait au régime sa forme aboutie, 75 % sans plafond pour l'outil professionnel réellement transmis et dirigé, au besoin assorti d'engagements sur l'emploi, rien pour le reste. Ce ciblage rapporterait davantage qu'une baisse de taux, et il répond à la question d'équité par la structure même du régime. Enfin une évaluation publique et indépendante tous les trois ans, seule occasion de retoucher le dispositif. La matière statistique existe, le travail de la Cour et de l'Institut des politiques publiques vient de le montrer. Il manque le rendez-vous.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campagne présidentielle promet déjà tout et son contraire sur les successions. Ce que demande le pacte Dutreil tient en peu de mots. Il lui faut des règles fermes sur ce qu'il couvre, et dix ans de calme.</w:t>
      </w:r>
    </w:p>
    <w:p>
      <w:pPr>
        <w:spacing w:after="200" w:before="0" w:line="360"/>
        <w:jc w:val="left"/>
      </w:pPr>
      <w:r>
        <w:rPr>
          <w:rFonts w:ascii="Times New Roman" w:cs="Times New Roman" w:eastAsia="Times New Roman" w:hAnsi="Times New Roman"/>
          <w:b w:val="false"/>
          <w:bCs w:val="false"/>
          <w:i/>
          <w:iCs/>
          <w:sz w:val="24"/>
          <w:szCs w:val="24"/>
        </w:rPr>
        <w:t xml:space="preserve">Gilles Carrez, ancien rapporteur général du budget, ancien président de la commission des finances de l'Assemblée nationale, et François Ouairy, avocat fiscaliste associé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2026-09-08T09:26:21.490Z</dcterms:created>
  <dcterms:modified xsi:type="dcterms:W3CDTF">2026-09-08T09:26:21.490Z</dcterms:modified>
</cp:coreProperties>
</file>

<file path=docProps/custom.xml><?xml version="1.0" encoding="utf-8"?>
<Properties xmlns="http://schemas.openxmlformats.org/officeDocument/2006/custom-properties" xmlns:vt="http://schemas.openxmlformats.org/officeDocument/2006/docPropsVTypes"/>
</file>