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bCs/>
          <w:i w:val="false"/>
          <w:iCs w:val="false"/>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30 septembre, le projet de loi de finances pour 2027 arrive en Conseil des ministres. Comme chaque automne depuis vingt ans, le pacte Dutreil, cette exonération de 75 % des droits qui permet de transmettre une entreprise familiale sans la vendre pour payer l'impôt, servira de cible. Cette année, les artilleurs disposent d'une munition neuve. La Cour des comptes évalue désormais la dépense fiscale à 5,5 milliards d'euros pour 2024, très au-dessus des 800 millions retenus jusque-là dans les documents budgétaires, et concentrée sur une poignée de très grandes transmissions. Le plafonnement de l'avantage figure déjà dans les amendements qui circulent.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Ces chiffres méritent mieux qu'un haussement d'épaules. L'un de nous fut co-rapporteur de la loi de 2003 qui a créé ce dispositif ; l'autre le met en œuvre chaque semaine, pour des entreprises de toutes tailles. Ce que la Cour documente est exact. La dépense a plus que quadruplé en quatre ans. Des montages logent dans l'exonération de la trésorerie ou de l'immobilier qui n'ont rien à voir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Rappelons d'où vient le pacte. En 1994, le laboratoire UPSA, fleuron familial d'Agen, passait sous pavillon américain cinq ans après la mort de son dirigeant, droits de succession et ISF aidant. La France taxait alors la ligne directe jusqu'à 40 %. Selon les rapports parlementaires de l'époque, à peine une entreprise sur cinq restait familiale, contre plus d'une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de conservation. La loi Dutreil de 2003 l'étend aux donations, la loi PME du 2 août 2005 porte l'abattement à 75 %. Le dispositif a été créé sous un gouvernement de gauche, puis étendu et porté à 75 % par la droite. Personne ne l'a remis en cause depuis. Concrètement, au barème en vigueur, pour une entreprise valorisée vingt millions d'euros et un enfant repreneur, les droits au décès, sans pacte, sont de l'ordre de huit millions d'euros. Avec un pacte, ils retombent autour de deux millions. Personne n'a huit millions sur un compte courant. Les héritiers empruntent, ponctionnent la trésorerie, ou vendent.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loi de finances du 19 février 2026 a encore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vrai problème est plus bête. Les règles ne tiennent pas en place. Un pacte signé aujourd'hui court jusqu'en 2034 ; d'ici là, huit lois de finances, des doctrines administratives qui bougent, les contours encore discutés de la holding animatrice, cette société de tête dont dépend l'accès au régime pour des milliers de groupes familiaux. Chaque automne, un plafond circule, un amendement surgit, une suppression se vote en commission avant de disparaître en séance. Les familles, elles, restent engagées. L'État leur demande de tenir huit ans ; la règle fiscale ne tient pas huit mois.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Que faire ? Il ne faut ni raboter ni sanctuariser. Le rabot punirait les PME sans fermer un seul montage. Le statu quo laisserait prospérer ce que la Cour documente. D'abord, ce que les fiscalistes appellent une clause de grand-père. Un pacte signé est un contrat, et un contrat oblige les deux parties. Les familles tiennent huit ans ; l'État tient les règles en vigueur au jour de la signature, jusqu'au terme. Cela ne coûte rien au budget. Pour les pactes nouveaux, la loi fixe ses conditions et le taux de 75 % est maintenu. Ensuite, achever le ciblage. Les biens de confort viennent de sortir de l'assiette. La trésorerie de placement et l'immobilier de rapport y restent. Le même mécanisme, étendu à ces actifs, donnerait au régime sa forme aboutie, 75 % sans plafond pour l'outil professionnel, rien pour le reste. Ce ciblage rapporterait plus qu'un rabot. Et une évaluation publique tous les trois ans, chiffres sur la table, seule occasion de retoucher le régime. Entre deux rendez-vous, le régime ne bouge pas.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discussion budgétaire s'ouvre dans quatre semaines. Elle peut corriger les abus et resserrer l'avantage sur l'outil de travail. Elle peut aussi tout remettre en jeu, une fois de plus, pour un rendement incertain. Les chefs d'entreprise trancheront à leur façon, en signant ou en s'abstenant.</w:t>
      </w:r>
    </w:p>
    <w:p>
      <w:pPr>
        <w:spacing w:after="200" w:before="0" w:line="360"/>
        <w:jc w:val="left"/>
      </w:pPr>
      <w:r>
        <w:rPr>
          <w:rFonts w:ascii="Times New Roman" w:cs="Times New Roman" w:eastAsia="Times New Roman" w:hAnsi="Times New Roman"/>
          <w:b w:val="false"/>
          <w:bCs w:val="false"/>
          <w:i/>
          <w:iCs/>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2026-09-08T09:26:21.584Z</dcterms:created>
  <dcterms:modified xsi:type="dcterms:W3CDTF">2026-09-08T09:26:21.584Z</dcterms:modified>
</cp:coreProperties>
</file>

<file path=docProps/custom.xml><?xml version="1.0" encoding="utf-8"?>
<Properties xmlns="http://schemas.openxmlformats.org/officeDocument/2006/custom-properties" xmlns:vt="http://schemas.openxmlformats.org/officeDocument/2006/docPropsVTypes"/>
</file>