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left"/>
      </w:pPr>
      <w:r>
        <w:rPr>
          <w:rFonts w:ascii="Times New Roman" w:cs="Times New Roman" w:eastAsia="Times New Roman" w:hAnsi="Times New Roman"/>
          <w:b w:val="false"/>
          <w:bCs w:val="false"/>
          <w:i/>
          <w:iCs/>
          <w:color w:val="808080"/>
          <w:sz w:val="18"/>
          <w:szCs w:val="18"/>
        </w:rPr>
        <w:t xml:space="preserve">Projet de tribune, cosignature Gilles Carrez / François Ouairy. Version longue (le chapô sera rédigé par la rédaction). Les passages entre crochets sont à votre main. Version 10 du 4 septembre 2026.</w:t>
      </w:r>
    </w:p>
    <w:p>
      <w:pPr>
        <w:spacing w:after="200" w:before="0" w:line="360"/>
        <w:jc w:val="left"/>
      </w:pPr>
      <w:r>
        <w:rPr>
          <w:rFonts w:ascii="Times New Roman" w:cs="Times New Roman" w:eastAsia="Times New Roman" w:hAnsi="Times New Roman"/>
          <w:b/>
          <w:bCs/>
          <w:i w:val="false"/>
          <w:iCs w:val="false"/>
          <w:color w:val="000000"/>
          <w:sz w:val="28"/>
          <w:szCs w:val="28"/>
        </w:rPr>
        <w:t xml:space="preserve">Pacte Dutreil : ni rabot ni statu quo</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Le 30 septembre, le projet de loi de finances pour 2027 sera présenté en Conseil des ministres. Le pacte Dutreil, cette exonération de 75 % des droits de mutation qui permet de transmettre une entreprise familiale sans la démanteler pour payer l'impôt, y affrontera son procès annuel. Dans un rapport publié en novembre 2025 avec l'Institut des politiques publiques, la Cour des comptes évalue la dépense fiscale à 5,5 milliards d'euros pour 2024, très au-dessus des 800 millions retenus jusque-là dans les documents budgétaires, et constate que 1 % des bénéficiaires capte 65 % de l'avantage.</w:t>
      </w:r>
    </w:p>
    <w:p>
      <w:pPr>
        <w:spacing w:after="200" w:before="160" w:line="360"/>
        <w:jc w:val="left"/>
      </w:pPr>
      <w:r>
        <w:rPr>
          <w:rFonts w:ascii="Times New Roman" w:cs="Times New Roman" w:eastAsia="Times New Roman" w:hAnsi="Times New Roman"/>
          <w:b/>
          <w:bCs/>
          <w:i w:val="false"/>
          <w:iCs w:val="false"/>
          <w:color w:val="000000"/>
          <w:sz w:val="24"/>
          <w:szCs w:val="24"/>
        </w:rPr>
        <w:t xml:space="preserve">Ce que la Cour documente</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Nous connaissons ce dispositif de l'intérieur. [L'un de nous fut co-rapporteur de la loi du 1er août 2003 qui l'a créé ; l'autre le met en œuvre chaque semaine, pour des entreprises moyennes comme pour des groupes familiaux.] Ce que la Cour documente est exact. La dépense fiscale a plus que quadruplé en quatre ans. Des montages logent dans l'exonération de la trésorerie ou de l'immobilier sans lien avec l'activité. L'avantage moyen des 1 % de bénéficiaires les mieux servis approche trente millions d'euros. Ces montages doivent sortir du régime. Il y survivra très bien.</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Rappelons d'où vient ce régime. En 1994, le laboratoire UPSA, fleuron familial d'Agen, passait sous pavillon américain cinq ans après la mort de son dirigeant, droits de succession et ISF aidant. La France taxait alors la transmission en ligne directe jusqu'à 40 %. Selon les rapports parlementaires de l'époque, moins d'une entreprise sur cinq restait familiale, contre une sur deux en Allemagne. Yvon Gattaz et les entreprises familiales défendent alors l'idée d'un pacte d'actionnaires. Didier Migaud, rapporteur général socialiste, la fait entrer dans la loi de finances pour 2000 par amendement, avec un abattement de 50 % sur les successions en échange d'un engagement collectif de conservation. Le dispositif fut d'abord connu comme le pacte « Gattaz-Migaud ». La loi Dutreil du 1er août 2003 l'étend aux donations. La loi PME du 2 août 2005 porte l'abattement à 75 %. Le dispositif a été créé sous un gouvernement de gauche, puis étendu par la droite. Nicolas Sarkozy l'a assoupli, François Hollande l'a maintenu intact, et il a encore été simplifié en 2019. Depuis 1999, quatre présidents se sont succédé sans jamais le remettre en cause. L'idée s'était imposée à tous.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L'ordre de grandeur mérite d'être posé. Au barème en vigueur, pour une entreprise valorisée vingt millions d'euros et un enfant repreneur, les droits au décès, sans pacte, atteignent de l'ordre de huit millions d'euros. Avec un pacte, ils retombent autour de deux millions. Peu d'héritiers disposent de huit millions d'euros immédiatement mobilisables. Ils empruntent, ponctionnent la trésorerie de l'entreprise, ou vendent. La loi de finances du 19 février 2026 a d'ailleurs durci l'exercice. L'engagement est porté à huit ans au total, et la fraction de valeur correspondant notamment aux résidences, yachts ou œuvres d'art étrangers à l'exploitation sort désormais de l'assiette exonérée. Ces règles ont quelques mois. Personne n'en a mesuré les effets. En écrire de nouvelles dès cet automne, c'est légiférer à l'aveugle.</w:t>
      </w:r>
    </w:p>
    <w:p>
      <w:pPr>
        <w:spacing w:after="200" w:before="160" w:line="360"/>
        <w:jc w:val="left"/>
      </w:pPr>
      <w:r>
        <w:rPr>
          <w:rFonts w:ascii="Times New Roman" w:cs="Times New Roman" w:eastAsia="Times New Roman" w:hAnsi="Times New Roman"/>
          <w:b/>
          <w:bCs/>
          <w:i w:val="false"/>
          <w:iCs w:val="false"/>
          <w:color w:val="000000"/>
          <w:sz w:val="24"/>
          <w:szCs w:val="24"/>
        </w:rPr>
        <w:t xml:space="preserve">La question de l'équité</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Reste l'objection d'équité, et elle pèse. Une exonération dont 1 % des bénéficiaires capte les deux tiers interroge le consentement à l'impôt, au moment où chacun est appelé à l'effort. Le rabot uniforme y répond mal. Un plafonnement brutal frapperait d'abord les entreprises moyennes, dont les héritiers n'ont ni la trésorerie pour payer ni l'ingénierie pour s'organiser, quand les très grands patrimoines ont du temps et des conseils pour s'adapter. L'Allemagne exonère l'outil de travail jusqu'à 100 %, contre des engagements contrôlés de maintien de l'emploi. Nous aimerions que l'automne budgétaire porte sur ce genre de contreparties. Il portera, sauf surprise, sur le taux.</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Puis il y a l'instabilité. Un pacte signé aujourd'hui court jusqu'en 2034 ; d'ici là, huit lois de finances, des doctrines qui bougent, les contours encore discutés de la holding animatrice, cette société de tête dont dépend l'accès au régime pour des milliers de groupes familiaux. Des transmissions se reportent, des réorganisations se figent. L'État demande aux familles de tenir huit ans. La règle fiscale, elle, ne tient pas huit mois.</w:t>
      </w:r>
    </w:p>
    <w:p>
      <w:pPr>
        <w:spacing w:after="200" w:before="160" w:line="360"/>
        <w:jc w:val="left"/>
      </w:pPr>
      <w:r>
        <w:rPr>
          <w:rFonts w:ascii="Times New Roman" w:cs="Times New Roman" w:eastAsia="Times New Roman" w:hAnsi="Times New Roman"/>
          <w:b/>
          <w:bCs/>
          <w:i w:val="false"/>
          <w:iCs w:val="false"/>
          <w:color w:val="000000"/>
          <w:sz w:val="24"/>
          <w:szCs w:val="24"/>
        </w:rPr>
        <w:t xml:space="preserve">Ce que nous proposons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Il ne faut ni raboter ni sanctuariser. Le rabot frapperait à côté. Le statu quo laisserait prospérer ce que la Cour documente. D'abord, ce que les fiscalistes appellent une clause de grand-père. Un pacte signé est un contrat, et un contrat oblige les deux parties. Les familles tiennent huit ans ; l'État doit tenir les règles en vigueur au jour de la signature, jusqu'au terme, pour tous les pactes en cours. Son coût budgétaire est nul. Aux pactes nouveaux, la loi fixera les conditions qu'elle voudra, et le taux de 75 % sera maintenu. Ensuite, achever le ciblage. Les biens de confort viennent de sortir de l'assiette. La trésorerie de placement et l'immobilier de rapport y restent. Le même mécanisme, étendu à ces actifs, donnerait au régime sa forme aboutie, 75 % sans plafond pour l'outil professionnel réellement transmis et dirigé, au besoin assorti d'engagements sur l'emploi, rien pour le reste. Ce ciblage rapporterait davantage qu'une baisse de taux, et il répond à la question d'équité par la structure même du régime. Enfin une évaluation publique et indépendante tous les trois ans, seule occasion de retoucher le dispositif. La matière statistique existe, le travail de la Cour et de l'Institut des politiques publiques vient de le montrer. Il manque le rendez-vous.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La campagne présidentielle promet déjà tout et son contraire sur les successions. Ce que demande le pacte Dutreil tient en peu de mots. Il lui faut des règles fermes sur ce qu'il couvre, et dix ans de calme.</w:t>
      </w:r>
    </w:p>
    <w:p>
      <w:pPr>
        <w:spacing w:after="200" w:before="0" w:line="360"/>
        <w:jc w:val="left"/>
      </w:pPr>
      <w:r>
        <w:rPr>
          <w:rFonts w:ascii="Times New Roman" w:cs="Times New Roman" w:eastAsia="Times New Roman" w:hAnsi="Times New Roman"/>
          <w:b w:val="false"/>
          <w:bCs w:val="false"/>
          <w:i/>
          <w:iCs/>
          <w:color w:val="000000"/>
          <w:sz w:val="24"/>
          <w:szCs w:val="24"/>
        </w:rPr>
        <w:t xml:space="preserve">Gilles Carrez, ancien rapporteur général du budget, ancien président de la commission des finances de l'Assemblée nationale, et François Ouairy, avocat fiscaliste associé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2026-09-08T09:26:21.575Z</dcterms:created>
  <dcterms:modified xsi:type="dcterms:W3CDTF">2026-09-08T09:26:21.575Z</dcterms:modified>
</cp:coreProperties>
</file>

<file path=docProps/custom.xml><?xml version="1.0" encoding="utf-8"?>
<Properties xmlns="http://schemas.openxmlformats.org/officeDocument/2006/custom-properties" xmlns:vt="http://schemas.openxmlformats.org/officeDocument/2006/docPropsVTypes"/>
</file>