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longue ~5 500 signes (le chapô sera rédigé par la rédaction). Les passages entre crochets sont à votre main. Version 9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et moins d'une entreprise sur cinq restait familiale, contre une sur deux en Allemagne. Yvon Gattaz et les entreprises familiales conçoivent alors le pacte d'actionnaires ; Didier Migaud, rapporteur général socialiste, l'inscrit dans la loi de finances pour 2000, un abattement de 50 % sur les successions en échange d'un engagement collectif de conservation.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au décès, sans pacte, atteignent de l'ordre de huit millions d'euros. Avec un pacte, ils retombent autour de deux millions. Personne n'a huit millions sur un compte courant. Les héritiers empruntent, ponctionnent la trésorerie de l'entreprise, ou vendent. Le législateur vient d'ailleurs de durcir l'exercice. L'engagement est porté à huit ans au total, et les résidences, yachts ou œuvres d'art logés dans les sociétés sortent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On aimerait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Il ne faut ni raboter ni sanctuariser. Le rabot frapperait à côté ;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2026-09-04T13:16:22.495Z</dcterms:created>
  <dcterms:modified xsi:type="dcterms:W3CDTF">2026-09-04T13:16:22.495Z</dcterms:modified>
</cp:coreProperties>
</file>

<file path=docProps/custom.xml><?xml version="1.0" encoding="utf-8"?>
<Properties xmlns="http://schemas.openxmlformats.org/officeDocument/2006/custom-properties" xmlns:vt="http://schemas.openxmlformats.org/officeDocument/2006/docPropsVTypes"/>
</file>