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left"/>
      </w:pPr>
      <w:r>
        <w:rPr>
          <w:rFonts w:ascii="Times New Roman" w:cs="Times New Roman" w:eastAsia="Times New Roman" w:hAnsi="Times New Roman"/>
          <w:b w:val="false"/>
          <w:bCs w:val="false"/>
          <w:i/>
          <w:iCs/>
          <w:color w:val="808080"/>
          <w:sz w:val="18"/>
          <w:szCs w:val="18"/>
        </w:rPr>
        <w:t xml:space="preserve">Projet de tribune, cosignature Gilles Carrez / François Ouairy. Calibrage ~4 000 signes (Les Échos, Le Cercle). 3 septembre 2026.</w:t>
      </w:r>
    </w:p>
    <w:p>
      <w:pPr>
        <w:spacing w:after="200" w:line="360"/>
        <w:jc w:val="left"/>
      </w:pPr>
      <w:r>
        <w:rPr>
          <w:rFonts w:ascii="Times New Roman" w:cs="Times New Roman" w:eastAsia="Times New Roman" w:hAnsi="Times New Roman"/>
          <w:b/>
          <w:bCs/>
          <w:i w:val="false"/>
          <w:iCs w:val="false"/>
          <w:color w:val="000000"/>
          <w:sz w:val="28"/>
          <w:szCs w:val="28"/>
        </w:rPr>
        <w:t xml:space="preserve">Le pacte Dutreil exige huit ans des familles. L'État, lui, ne tient pas huit mois.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Le 30 septembre, le projet de loi de finances pour 2027 arrive en Conseil des ministres. Comme chaque automne depuis vingt ans, le pacte Dutreil, cette exonération de 75 % des droits qui permet de transmettre une entreprise familiale sans la vendre pour payer l'impôt, servira de cible. Cette année, les artilleurs disposent d'une munition neuve. La Cour des comptes évalue désormais le coût réel du dispositif à 5,5 milliards d'euros pour 2024, très loin des 800 millions affichés dans les documents budgétaires, et concentré sur une poignée de très grandes transmissions. Le plafonnement de l'avantage figure déjà dans les amendements qui circulent.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Ces chiffres méritent mieux qu'un haussement d'épaules. L'un de nous a défendu ce dispositif dès l'origine. L'autre le met en œuvre chaque semaine, pour des entreprises de toutes tailles. Nous n'avons aucun intérêt à nier ce que la Cour documente : une dépense fiscale multipliée par plus de quatre en quatre ans, des montages qui logent dans l'exonération de la trésorerie ou de l'immobilier étrangers à l'activité, un avantage très concentré. Qui veut sauver la transmission doit commencer par combattre ces dérives.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Rappelons pourquoi ce pacte existe. En France, à peine une entreprise sur cinq est transmise dans le cercle familial, contre plus d'une sur deux en Allemagne. Avant 2003, la mort du fondateur emportait trop souvent l'entreprise. Pour payer des droits assis sur une valeur qu'ils ne détenaient qu'en titres, les héritiers vendaient, à un concurrent ou à un fonds, et l'ancrage local disparaissait avec eux. Le pacte a corrigé cela, sous une condition exigeante : conserver les titres et diriger l'entreprise pendant des années. La loi de finances pour 2026 vient encore de durcir l'exercice, avec un engagement porté à huit ans au minimum et l'exclusion explicite des actifs étrangers à l'exploitation. Ces règles ont trois mois. Laissons-les produire leurs effets avant d'en écrire d'autres.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La maladie française se loge ailleurs, dans l'instabilité. Un dirigeant qui signe un pacte aujourd'hui s'engage jusqu'en 2034. Sur cette période, il traversera huit lois de finances, autant de doctrines administratives et une jurisprudence mouvante jusque sur des notions aussi centrales que la holding animatrice. Au contentieux, des redressements lourds se jouent sur des définitions que la loi n'a jamais arrêtées. Chaque automne, un plafond circule, un amendement surgit, une suppression se vote en commission avant de disparaître en séance. Les familles, elles, restent engagées. On demande aux familles un engagement de huit ans que l'État se montre incapable de tenir huit mois. L'insécurité juridique décourage la transmission plus sûrement que l'impôt.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Trois décisions mettraient fin à ce désordre. Garantir d'abord à chaque pacte les règles en vigueur au jour de sa signature, pour toute sa durée. Un engagement de long terme le commande, et cela ne coûte rien au budget. Un rescrit renforcé et une doctrine publiée en temps utile compléteraient cette garantie pour les situations complexes. Cibler ensuite, plutôt que raboter : 75 % d'exonération sans plafond pour l'outil productif réellement transmis et dirigé, et rien pour ce qui s'en éloigne. Ce ciblage assumé rapporterait davantage qu'une baisse de taux, qui frapperait d'abord les PME. Évaluer enfin, publiquement, tous les trois ans. On ne pilote pas cinq milliards de dépense fiscale à coups d'amendements nocturnes.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Le budget vit à l'année. Une transmission se prépare sur une décennie. Si le PLF 2027 veut vraiment servir les finances publiques, qu'il fasse du Dutreil ce que son nom promet depuis vingt-trois ans : un pacte, c'est-à-dire une parole tenue des deux côtés.</w:t>
      </w:r>
    </w:p>
    <w:p>
      <w:pPr>
        <w:spacing w:after="200" w:line="360"/>
        <w:jc w:val="left"/>
      </w:pPr>
      <w:r>
        <w:rPr>
          <w:rFonts w:ascii="Times New Roman" w:cs="Times New Roman" w:eastAsia="Times New Roman" w:hAnsi="Times New Roman"/>
          <w:b w:val="false"/>
          <w:bCs w:val="false"/>
          <w:i/>
          <w:iCs/>
          <w:color w:val="000000"/>
          <w:sz w:val="24"/>
          <w:szCs w:val="24"/>
        </w:rPr>
        <w:t xml:space="preserve">Gilles Carrez, ancien rapporteur général du budget, ancien président de la commission des finances de l'Assemblée nationale, et François Ouairy, avocat fiscaliste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2026-09-03T11:29:18.420Z</dcterms:created>
  <dcterms:modified xsi:type="dcterms:W3CDTF">2026-09-03T11:29:18.420Z</dcterms:modified>
</cp:coreProperties>
</file>

<file path=docProps/custom.xml><?xml version="1.0" encoding="utf-8"?>
<Properties xmlns="http://schemas.openxmlformats.org/officeDocument/2006/custom-properties" xmlns:vt="http://schemas.openxmlformats.org/officeDocument/2006/docPropsVTypes"/>
</file>