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2200275" cy="533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60" w:lineRule="auto"/>
        <w:ind w:left="2160" w:firstLine="0"/>
        <w:rPr/>
      </w:pPr>
      <w:bookmarkStart w:colFirst="0" w:colLast="0" w:name="_xod399n5lfn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360" w:lineRule="auto"/>
        <w:ind w:left="-283.46456692913375" w:firstLine="0"/>
        <w:jc w:val="center"/>
        <w:rPr/>
      </w:pPr>
      <w:bookmarkStart w:colFirst="0" w:colLast="0" w:name="_kxyzhbc9yub3" w:id="1"/>
      <w:bookmarkEnd w:id="1"/>
      <w:r w:rsidDel="00000000" w:rsidR="00000000" w:rsidRPr="00000000">
        <w:rPr>
          <w:rtl w:val="0"/>
        </w:rPr>
        <w:t xml:space="preserve">Diseño de interfaces WEB</w:t>
        <w:br w:type="textWrapping"/>
        <w:t xml:space="preserve">Entrega tareas unidad 04.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dt>
      <w:sdtPr>
        <w:id w:val="168899832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lt2evu8ctwz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responsivo en Figma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jsnlxv7ult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p92shoioko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Tienda: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1gplo1eukt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Enlace figma: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lv8urjm7y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Estructura HTML de las páginas.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ql03xallr6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Estilos básicos con CSS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drc8dwihsh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responsive con CSS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Autor: Juan Cruz Garrido Suso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Fecha 7/3/2024</w:t>
      </w:r>
    </w:p>
    <w:p w:rsidR="00000000" w:rsidDel="00000000" w:rsidP="00000000" w:rsidRDefault="00000000" w:rsidRPr="00000000" w14:paraId="00000028">
      <w:pPr>
        <w:pStyle w:val="Heading1"/>
        <w:spacing w:before="200" w:line="276" w:lineRule="auto"/>
        <w:rPr/>
      </w:pPr>
      <w:bookmarkStart w:colFirst="0" w:colLast="0" w:name="_35p6iz23uphp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200" w:line="276" w:lineRule="auto"/>
        <w:rPr/>
      </w:pPr>
      <w:bookmarkStart w:colFirst="0" w:colLast="0" w:name="_2lt2evu8ctwz" w:id="3"/>
      <w:bookmarkEnd w:id="3"/>
      <w:r w:rsidDel="00000000" w:rsidR="00000000" w:rsidRPr="00000000">
        <w:rPr>
          <w:rtl w:val="0"/>
        </w:rPr>
        <w:t xml:space="preserve">Diseño responsivo en Figma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 responsividad se ha implementado en figma para las secciones índice y tienda.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 ha hecho a tres tamaños: escritorio, tableta y móvil.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6jsnlxv7ultg" w:id="4"/>
      <w:bookmarkEnd w:id="4"/>
      <w:r w:rsidDel="00000000" w:rsidR="00000000" w:rsidRPr="00000000">
        <w:rPr>
          <w:rtl w:val="0"/>
        </w:rPr>
        <w:t xml:space="preserve">Indice: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Menu</w:t>
      </w:r>
      <w:r w:rsidDel="00000000" w:rsidR="00000000" w:rsidRPr="00000000">
        <w:rPr>
          <w:rtl w:val="0"/>
        </w:rPr>
        <w:t xml:space="preserve">: Para el menú, se ha escogido desplegarlo en formato escritorio y usar menú hamburguesa para el formato tablet y móvil.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Secciones Nuestros productos y Nuestros talleres: </w:t>
      </w:r>
      <w:r w:rsidDel="00000000" w:rsidR="00000000" w:rsidRPr="00000000">
        <w:rPr>
          <w:rtl w:val="0"/>
        </w:rPr>
        <w:t xml:space="preserve">En este caso se ha mantenido la visita en cuadrícula para los formatos grandes y en columna simple para móvil.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Formulario de contacto:</w:t>
      </w:r>
      <w:r w:rsidDel="00000000" w:rsidR="00000000" w:rsidRPr="00000000">
        <w:rPr>
          <w:rtl w:val="0"/>
        </w:rPr>
        <w:t xml:space="preserve"> En este caso de nuevo se ha mantenido dos columnas para los formatos grandes y una sola en móvil.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641600"/>
                  <wp:effectExtent b="0" l="0" r="0" t="0"/>
                  <wp:docPr id="24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Ampliación a diseño responsivo en figma donde se pueden comprobar los cambios realizados. Pueden observarse las diferencias en la presentación del menú y en la disposición de los elementos en productos y talleres.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498600"/>
                  <wp:effectExtent b="0" l="0" r="0" t="0"/>
                  <wp:docPr id="23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1879600"/>
                  <wp:effectExtent b="0" l="0" r="0" t="0"/>
                  <wp:docPr id="2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87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3263900"/>
                  <wp:effectExtent b="0" l="0" r="0" t="0"/>
                  <wp:docPr id="2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26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Vistas por orden de mayor tamaño a menos. Se puede observar el reordenamiento y cambios de tamaño de los componentes con el propósito de facilitar la usabilidad y legibilidad manteniendo la robustez.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qp92shoiokos" w:id="5"/>
      <w:bookmarkEnd w:id="5"/>
      <w:r w:rsidDel="00000000" w:rsidR="00000000" w:rsidRPr="00000000">
        <w:rPr>
          <w:rtl w:val="0"/>
        </w:rPr>
        <w:t xml:space="preserve">Tienda: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Las decisiones sobre componentes que esta página tiene en común con la de inicio se han mantenido idénticas para perseguir la coherencia visual de la web.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Esto es así para el menú y el formulario de contacto y footer, que son equivalentes.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 cuanto al contenido específico, tenemos el formulario de búsqueda y las cartas con los resultados.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Formulario de búsqueda de productos.</w:t>
      </w:r>
      <w:r w:rsidDel="00000000" w:rsidR="00000000" w:rsidRPr="00000000">
        <w:rPr>
          <w:rtl w:val="0"/>
        </w:rPr>
        <w:t xml:space="preserve"> Para este formulario se ha decidido usar un diseño a dos columnas para estos componentes en el caso de escritorio, y a una simple columna para los casos de móvil y tablet.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rtl w:val="0"/>
        </w:rPr>
        <w:t xml:space="preserve">Enumeración de productos (cartas de productos):</w:t>
      </w:r>
      <w:r w:rsidDel="00000000" w:rsidR="00000000" w:rsidRPr="00000000">
        <w:rPr>
          <w:rtl w:val="0"/>
        </w:rPr>
        <w:t xml:space="preserve"> En este caso se ha escogido un diseño a tres columnas para escritorio, de dos para tablet y de una para móvil, aprovechando al máximo la flexibilidad de la que disponemos para presentar un número indeterminado de cartas, aprovechando el espacio disponible en cada caso.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2235200"/>
                  <wp:effectExtent b="0" l="0" r="0" t="0"/>
                  <wp:docPr id="5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223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44831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448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71650" cy="5689600"/>
                  <wp:effectExtent b="0" l="0" r="0" t="0"/>
                  <wp:docPr id="22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568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nuevo, en orden de mayor tamaño a menor, se pueden visualizar aquí los cambios por tamaño de pantalla que se han implementado, tratando de aprovechar el espacio y mantener la mejor legibilidad.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v1gplo1eukt" w:id="6"/>
      <w:bookmarkEnd w:id="6"/>
      <w:r w:rsidDel="00000000" w:rsidR="00000000" w:rsidRPr="00000000">
        <w:rPr>
          <w:rtl w:val="0"/>
        </w:rPr>
        <w:t xml:space="preserve">Enlace figma: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https://www.figma.com/design/pZtWon3ke30FwDaNs2r841/Unidad-1?node-id=2-2151&amp;t=SNEG3qIvcGWhUomU-1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uwlv8urjm7yr" w:id="7"/>
      <w:bookmarkEnd w:id="7"/>
      <w:r w:rsidDel="00000000" w:rsidR="00000000" w:rsidRPr="00000000">
        <w:rPr>
          <w:rtl w:val="0"/>
        </w:rPr>
        <w:t xml:space="preserve">Estructura HTML de las páginas.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 han escrito dos páginas HTML, la del índice y la de la tienda, tratando de usar etiquetas semánticas de jerarquía de contenido y el modelo de cajas.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continuación, documento lo solicitado en el enunciado de la tarea.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49403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94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Ejemplo de cómo se ha usado estructura de cajas y etiquetas semánticas. Extraído de tienda.html, se pueden ver el uso de header, section, nav, main y div. También en otras partes se ha usado footer, por ejemplo.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31800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3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9017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90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Ejemplo de uso de un placeholder en un campo input text, su propósito es aclarar el uso de un componente.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bookmarkStart w:colFirst="0" w:colLast="0" w:name="_rvc27xczyihq" w:id="8"/>
      <w:bookmarkEnd w:id="8"/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</w:rPr>
              <w:drawing>
                <wp:inline distB="114300" distT="114300" distL="114300" distR="114300">
                  <wp:extent cx="5591175" cy="21844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Uso de imágenes y otros elementos de muestra.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Las dos páginas html: Inicio.html y tienda.html se han mantenido en la raíz del proyecto.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eql03xallr65" w:id="9"/>
      <w:bookmarkEnd w:id="9"/>
      <w:r w:rsidDel="00000000" w:rsidR="00000000" w:rsidRPr="00000000">
        <w:rPr>
          <w:rtl w:val="0"/>
        </w:rPr>
        <w:t xml:space="preserve">Estilos básicos con CSS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 han creado dos hojas de estilos, la primera main.css es de uso común y la segunda tienda.css es de uso en la tienda (además de main), tratando de reutilizar todo aquello que es común. No se han usado finalmente librerías como bootstrap, o herramientas como sass o less, y me he tratado de ceñir todo lo possible a los ejemplos tratados en clase.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Sí he usado font awesome por sus iconos, las fuentes las importo desde google.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Veamos ahora los aspectos que se nos pide en el enunciado: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1600200"/>
                  <wp:effectExtent b="0" l="0" r="0" t="0"/>
                  <wp:docPr id="1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Principio de nuestro archivo main.css, donde importamos las fuentes que se van a usar y declaramos un conjunto de variables css para los colores y alguna otra propiedad que a través de este método podremos cambiar globalmente y con facilidad.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05225" cy="1695450"/>
                  <wp:effectExtent b="0" l="0" r="0" t="0"/>
                  <wp:docPr id="21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695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dar un ejemplo de uso del sistema de cajas he escogido el reseteo, es decir, dejar todos los elementos (selector *) con margin y padding a 0 y hacer que el navegador incluya estos elementos en el cálculo del espacio que ocupe, haciendo más fácil y seguro el manejo de estos aspectos en adelante.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768600"/>
                  <wp:effectExtent b="0" l="0" r="0" t="0"/>
                  <wp:docPr id="2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Ejemplo de selector para la clase cabecera (.cabecera) y ejemplo de algunos elementos css asignados a través de este comando, específicamente vemos el padding, que en este caso está configurado para ser 4 medidas de tamaño de fuente arriba y abajo del componente y una medida del tamaño de fuente a derecha e izquierda. Hay multitud de ejemplos en los css entregados.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362450" cy="1800225"/>
                  <wp:effectExtent b="0" l="0" r="0" t="0"/>
                  <wp:docPr id="10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1800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este caso el selector aplica a todos los elementos h2 por debajo de cualquier elemento de clase contacto. Se observa el uso del tamaño de fuente y de un margen inferior de dos veces el tamaño de la fuente en el navegador.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8ou13197zl9u" w:id="10"/>
      <w:bookmarkEnd w:id="10"/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1drc8dwihsh3" w:id="11"/>
      <w:bookmarkEnd w:id="11"/>
      <w:r w:rsidDel="00000000" w:rsidR="00000000" w:rsidRPr="00000000">
        <w:rPr>
          <w:rtl w:val="0"/>
        </w:rPr>
        <w:t xml:space="preserve">Diseño responsive con CSS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Veamos algunos ejemplos, se ha tratado de seguir el diseño figma lo mejor posible, pero se han cambiado algunas cosas, en mi opinión, para mejor.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816100"/>
                  <wp:effectExtent b="0" l="0" r="0" t="0"/>
                  <wp:docPr id="1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739900"/>
                  <wp:effectExtent b="0" l="0" r="0" t="0"/>
                  <wp:docPr id="1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73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Ejemplos en caso de pantalla escritorio, reordenamiento, cambios de tamaños y de elementos de cajas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3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3225800"/>
                  <wp:effectExtent b="0" l="0" r="0" t="0"/>
                  <wp:docPr id="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2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3289300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28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 caso de tablet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6807200"/>
                  <wp:effectExtent b="0" l="0" r="0" t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680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5880100"/>
                  <wp:effectExtent b="0" l="0" r="0" t="0"/>
                  <wp:docPr id="26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588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las pantallas más pequeñas.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Además, se han añadido una serie de elementos interactivos para mejorar la usabilidad de la web.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673100"/>
                  <wp:effectExtent b="0" l="0" r="0" t="0"/>
                  <wp:docPr id="1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67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381000"/>
                  <wp:effectExtent b="0" l="0" r="0" t="0"/>
                  <wp:docPr id="1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279400"/>
                  <wp:effectExtent b="0" l="0" r="0" t="0"/>
                  <wp:docPr id="1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27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533400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Algunos efectos de hover para resaltar la acción seleccionada o la accionabilidad del componente sobre el que se pasa.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60579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605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Ejemplo de menú hamburguesa. Se ha usado un pequeño script js para asignar una clase css al hacer click y cambiar así su estilo.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footerReference r:id="rId34" w:type="default"/>
      <w:footerReference r:id="rId35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276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9.png"/><Relationship Id="rId21" Type="http://schemas.openxmlformats.org/officeDocument/2006/relationships/image" Target="media/image23.png"/><Relationship Id="rId24" Type="http://schemas.openxmlformats.org/officeDocument/2006/relationships/image" Target="media/image18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0.png"/><Relationship Id="rId25" Type="http://schemas.openxmlformats.org/officeDocument/2006/relationships/image" Target="media/image21.png"/><Relationship Id="rId28" Type="http://schemas.openxmlformats.org/officeDocument/2006/relationships/image" Target="media/image24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6.png"/><Relationship Id="rId7" Type="http://schemas.openxmlformats.org/officeDocument/2006/relationships/image" Target="media/image27.png"/><Relationship Id="rId8" Type="http://schemas.openxmlformats.org/officeDocument/2006/relationships/image" Target="media/image22.png"/><Relationship Id="rId31" Type="http://schemas.openxmlformats.org/officeDocument/2006/relationships/image" Target="media/image16.png"/><Relationship Id="rId30" Type="http://schemas.openxmlformats.org/officeDocument/2006/relationships/image" Target="media/image9.png"/><Relationship Id="rId11" Type="http://schemas.openxmlformats.org/officeDocument/2006/relationships/image" Target="media/image26.png"/><Relationship Id="rId33" Type="http://schemas.openxmlformats.org/officeDocument/2006/relationships/image" Target="media/image3.png"/><Relationship Id="rId10" Type="http://schemas.openxmlformats.org/officeDocument/2006/relationships/image" Target="media/image15.png"/><Relationship Id="rId32" Type="http://schemas.openxmlformats.org/officeDocument/2006/relationships/image" Target="media/image8.png"/><Relationship Id="rId13" Type="http://schemas.openxmlformats.org/officeDocument/2006/relationships/image" Target="media/image25.png"/><Relationship Id="rId35" Type="http://schemas.openxmlformats.org/officeDocument/2006/relationships/footer" Target="footer1.xml"/><Relationship Id="rId12" Type="http://schemas.openxmlformats.org/officeDocument/2006/relationships/image" Target="media/image7.png"/><Relationship Id="rId34" Type="http://schemas.openxmlformats.org/officeDocument/2006/relationships/footer" Target="footer2.xml"/><Relationship Id="rId15" Type="http://schemas.openxmlformats.org/officeDocument/2006/relationships/image" Target="media/image4.png"/><Relationship Id="rId14" Type="http://schemas.openxmlformats.org/officeDocument/2006/relationships/hyperlink" Target="https://www.figma.com/design/pZtWon3ke30FwDaNs2r841/Unidad-1?node-id=2-2151&amp;t=SNEG3qIvcGWhUomU-1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12.png"/><Relationship Id="rId19" Type="http://schemas.openxmlformats.org/officeDocument/2006/relationships/image" Target="media/image11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