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line="360" w:lineRule="auto"/>
        <w:jc w:val="center"/>
      </w:pPr>
      <w:r>
        <w:rPr>
          <w:rFonts w:ascii="Times New Roman" w:cs="Times New Roman" w:eastAsia="Times New Roman" w:hAnsi="Times New Roman"/>
          <w:sz w:val="44"/>
          <w:szCs w:val="44"/>
        </w:rPr>
        <w:t xml:space="preserve">Implementation of a Field-Oriented Control (FOC) System for a BLDC Motor on an FPGA</w:t>
      </w:r>
    </w:p>
    <w:p>
      <w:pPr>
        <w:spacing w:after="0" w:before="0"/>
        <w:jc w:val="center"/>
      </w:pPr>
      <w:r>
        <w:rPr>
          <w:rFonts w:ascii="Times New Roman" w:cs="Times New Roman" w:eastAsia="Times New Roman" w:hAnsi="Times New Roman"/>
          <w:i w:val="false"/>
          <w:iCs w:val="false"/>
          <w:sz w:val="22"/>
          <w:szCs w:val="22"/>
        </w:rPr>
        <w:t xml:space="preserve">[Author Name]</w:t>
      </w:r>
    </w:p>
    <w:p>
      <w:pPr>
        <w:spacing w:after="0" w:before="0"/>
        <w:jc w:val="center"/>
      </w:pPr>
      <w:r>
        <w:rPr>
          <w:rFonts w:ascii="Times New Roman" w:cs="Times New Roman" w:eastAsia="Times New Roman" w:hAnsi="Times New Roman"/>
          <w:i/>
          <w:iCs/>
          <w:sz w:val="20"/>
          <w:szCs w:val="20"/>
        </w:rPr>
        <w:t xml:space="preserve">[Department, Organization]</w:t>
      </w:r>
    </w:p>
    <w:p>
      <w:pPr>
        <w:spacing w:after="0" w:before="0"/>
        <w:jc w:val="center"/>
      </w:pPr>
      <w:r>
        <w:rPr>
          <w:rFonts w:ascii="Times New Roman" w:cs="Times New Roman" w:eastAsia="Times New Roman" w:hAnsi="Times New Roman"/>
          <w:i/>
          <w:iCs/>
          <w:sz w:val="20"/>
          <w:szCs w:val="20"/>
        </w:rPr>
        <w:t xml:space="preserve">[City, Country]</w:t>
      </w:r>
    </w:p>
    <w:p>
      <w:pPr>
        <w:spacing w:after="0" w:before="0"/>
        <w:jc w:val="center"/>
      </w:pPr>
      <w:r>
        <w:rPr>
          <w:rFonts w:ascii="Times New Roman" w:cs="Times New Roman" w:eastAsia="Times New Roman" w:hAnsi="Times New Roman"/>
          <w:i/>
          <w:iCs/>
          <w:sz w:val="20"/>
          <w:szCs w:val="20"/>
        </w:rPr>
        <w:t xml:space="preserve">[email address]</w:t>
      </w:r>
    </w:p>
    <w:p>
      <w:pPr>
        <w:spacing w:after="140" w:before="0"/>
      </w:pPr>
    </w:p>
    <w:p>
      <w:pPr>
        <w:sectPr>
          <w:pgSz w:w="12240" w:h="15840" w:orient="portrait"/>
          <w:pgMar w:top="1000" w:right="900" w:bottom="1200" w:left="900" w:header="708" w:footer="708" w:gutter="0"/>
          <w:pgNumType/>
          <w:docGrid w:linePitch="360"/>
        </w:sectPr>
      </w:pPr>
    </w:p>
    <w:p>
      <w:pPr>
        <w:spacing w:after="0" w:before="0" w:line="240" w:lineRule="auto"/>
        <w:ind w:firstLine="288"/>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Field-oriented control (FOC) gives decoupled control of torque and flux for brushless DC (BLDC) motor drives, with smooth torque and fast dynamic response over a wide speed range — properties that are particularly valuable for real-time electromechanical actuation in aerospace and defense systems, where the control loop must meet strict, deterministic timing regardless of operating condition. This paper describes the design and FPGA implementation of a complete FOC system for a BLDC motor: cascaded position, velocity and d–q current loops, the Clarke/Park transform pair and its inverse, a CORDIC-based sine/cosine generator, PID control with anti-windup, min–max space vector modulation, an initial rotor-alignment routine, and encoder-based velocity estimation with a moving-average filter. The fixed-point scaling used to connect the ADC, angle, current, encoder and PWM signals is derived, and the datapath is pipelined for deterministic timing. Simulation verifies the transform chain and the scaling blocks, and hardware results are reported for the velocity and position loops, including operation under an 80 N·m load. At 10 kHz, FOC and trapezoidal commutation give comparable rise times for 10° and 20° position steps, with FOC achieving lower steady-state error. The post-implementation design uses 15.5 % of the FPGA’s LUTs and 45.4 % of its DSP slices, with a total on-chip power of 0.238 W.</w:t>
      </w:r>
    </w:p>
    <w:p>
      <w:pPr>
        <w:spacing w:after="110" w:before="90"/>
        <w:ind w:firstLine="288"/>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Aerospace actuation, BLDC motor, CORDIC, field-oriented control, FPGA, PID anti-windup, real-time control, servo control, space vector modulation, vector control.</w:t>
      </w:r>
    </w:p>
    <w:p>
      <w:pPr>
        <w:pStyle w:val="Heading1"/>
        <w:numPr>
          <w:ilvl w:val="0"/>
          <w:numId w:val="2"/>
        </w:numPr>
      </w:pPr>
      <w:r>
        <w:rPr>
          <w:rFonts w:ascii="Times New Roman" w:cs="Times New Roman" w:eastAsia="Times New Roman" w:hAnsi="Times New Roman"/>
        </w:rPr>
        <w:t xml:space="preserve">Introduction</w:t>
      </w:r>
    </w:p>
    <w:p>
      <w:pPr>
        <w:spacing w:after="0" w:before="0" w:line="240" w:lineRule="auto"/>
        <w:ind w:firstLine="288"/>
        <w:jc w:val="both"/>
      </w:pPr>
      <w:r>
        <w:rPr>
          <w:rFonts w:ascii="Times New Roman" w:cs="Times New Roman" w:eastAsia="Times New Roman" w:hAnsi="Times New Roman"/>
          <w:sz w:val="20"/>
          <w:szCs w:val="20"/>
        </w:rPr>
        <w:t xml:space="preserve">Field-oriented control (FOC), or vector control, treats the stator currents of a brushless DC (BLDC) machine as a rotating vector rather than three independent phase quantities. Once the motor equations are expressed in a rotating d–q frame, torque and flux can be controlled independently, the current loops respond quickly, and the same controller structure applies from standstill through high speed. Compared with trapezoidal commutation, FOC also gives lower torque ripple, reduced current harmonics and a better power factor, at the cost of the extra computation needed for the coordinate transforms and trigonometric functions [1], [2]. These properties make FOC the preferred choice for real-time electromechanical actuators in aerospace and defense applications — for example, flight-control-surface and gimbal actuators — where the drive must track fast, high-authority commands with guaranteed control-loop latency and without the jitter of a software-scheduled processor.</w:t>
      </w:r>
    </w:p>
    <w:p>
      <w:pPr>
        <w:spacing w:after="0" w:before="0" w:line="240" w:lineRule="auto"/>
        <w:ind w:firstLine="288"/>
        <w:jc w:val="both"/>
      </w:pPr>
      <w:r>
        <w:rPr>
          <w:rFonts w:ascii="Times New Roman" w:cs="Times New Roman" w:eastAsia="Times New Roman" w:hAnsi="Times New Roman"/>
          <w:sz w:val="20"/>
          <w:szCs w:val="20"/>
        </w:rPr>
        <w:t xml:space="preserve">Because the transform, trigonometric and control stages of FOC can be pipelined, a field-programmable gate array (FPGA) is well suited to implementing the controller with deterministic, sample-accurate timing — the same property that makes FPGA-based FOC attractive for real-time aerospace actuation, where a microprocessor’s variable interrupt latency is difficult to certify against hard real-time requirements. We describe the design and FPGA implementation of a complete FOC system for a BLDC motor: cascaded position, velocity and d–q current loops; the Clarke, Park, inverse Park and inverse Clarke transforms [3], [4]; a CORDIC-based sine/cosine generator; PID control with anti-windup; min–max space vector modulation; an initial rotor-alignment routine; and encoder-based velocity estimation with a moving-average filter. We also derive the fixed-point scaling that connects these blocks to the ADC, encoder and PWM hardware, and report simulation and hardware results, together with the resource utilization and power drawn by the implementation.</w:t>
      </w:r>
    </w:p>
    <w:p>
      <w:pPr>
        <w:pStyle w:val="Heading1"/>
        <w:numPr>
          <w:ilvl w:val="0"/>
          <w:numId w:val="2"/>
        </w:numPr>
      </w:pPr>
      <w:r>
        <w:rPr>
          <w:rFonts w:ascii="Times New Roman" w:cs="Times New Roman" w:eastAsia="Times New Roman" w:hAnsi="Times New Roman"/>
        </w:rPr>
        <w:t xml:space="preserve">FOC Architecture</w:t>
      </w:r>
    </w:p>
    <w:p>
      <w:pPr>
        <w:spacing w:after="0" w:before="0" w:line="240" w:lineRule="auto"/>
        <w:ind w:firstLine="288"/>
        <w:jc w:val="both"/>
      </w:pPr>
      <w:r>
        <w:rPr>
          <w:rFonts w:ascii="Times New Roman" w:cs="Times New Roman" w:eastAsia="Times New Roman" w:hAnsi="Times New Roman"/>
          <w:sz w:val="20"/>
          <w:szCs w:val="20"/>
        </w:rPr>
        <w:t xml:space="preserve">The controller (Fig. 1) consists of a position loop, a velocity loop, d- and q-axis current loops, the Clarke/Park transform pair and its inverse, a CORDIC sine/cosine block, and min–max space vector modulation. Phase currents are measured with current sensors biased at 2.5 V for 0 A, and rotor position is measured with an incremental encoder. The position loop converts a position command and feedback into a speed command for the velocity loop, which sets the q-axis current command; the d-axis command is held at zero away from start-up. The measured phase currents and the electrical angle are transformed into the d–q frame, regulated by the current-loop PI controllers, transformed back to the three-phase domain, and shaped by the space-vector block into six duty cycles for the MOSFET driver. Until the initial-alignment routine (Section VII) completes, a multiplexer substitutes fixed alignment values for the current-loop outputs. The datapath is fully pipelined, with a 10 µs register stage between each major block, so the control loop runs with fixed, predictable latency.</w:t>
      </w:r>
      <w:r>
        <w:rPr>
          <w:rFonts w:ascii="Times New Roman" w:hAnsi="Times New Roman"/>
          <w:b w:val="0"/>
          <w:i w:val="0"/>
          <w:sz w:val="20"/>
        </w:rPr>
        <w:t xml:space="preserve"> This position–velocity–current cascade is the standard architecture of a precision servo drive, and the same structure underlies flight-control-surface, gimbal and antenna-positioner actuators in aerospace and defense systems.</w:t>
      </w:r>
    </w:p>
    <w:p>
      <w:pPr>
        <w:keepNext/>
        <w:spacing w:after="16" w:before="60"/>
        <w:jc w:val="center"/>
      </w:pPr>
      <w:r>
        <w:drawing>
          <wp:inline distT="0" distB="0" distL="0" distR="0">
            <wp:extent cx="3124200" cy="1952625"/>
            <wp:effectExtent t="0" r="0" b="0" l="0"/>
            <wp:docPr id="1" name="f1" descr="f1"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24200" cy="1952625"/>
                    </a:xfrm>
                    <a:prstGeom prst="rect">
                      <a:avLst/>
                    </a:prstGeom>
                  </pic:spPr>
                </pic:pic>
              </a:graphicData>
            </a:graphic>
          </wp:inline>
        </w:drawing>
      </w:r>
    </w:p>
    <w:p>
      <w:pPr>
        <w:keepLines/>
        <w:spacing w:after="100" w:before="16"/>
        <w:jc w:val="center"/>
      </w:pPr>
      <w:r>
        <w:rPr>
          <w:rFonts w:ascii="Times New Roman" w:cs="Times New Roman" w:eastAsia="Times New Roman" w:hAnsi="Times New Roman"/>
          <w:sz w:val="16"/>
          <w:szCs w:val="16"/>
        </w:rPr>
        <w:t xml:space="preserve">Fig. 1. Top-level architecture of the FPGA-based FOC system.</w:t>
      </w:r>
    </w:p>
    <w:p>
      <w:pPr>
        <w:keepNext/>
        <w:spacing w:after="0" w:before="100"/>
        <w:jc w:val="center"/>
      </w:pPr>
      <w:r>
        <w:rPr>
          <w:rFonts w:ascii="Times New Roman" w:cs="Times New Roman" w:eastAsia="Times New Roman" w:hAnsi="Times New Roman"/>
          <w:sz w:val="16"/>
          <w:szCs w:val="16"/>
        </w:rPr>
        <w:t xml:space="preserve">TABLE I</w:t>
      </w:r>
    </w:p>
    <w:p>
      <w:pPr>
        <w:keepNext/>
        <w:spacing w:after="50" w:before="0"/>
        <w:jc w:val="center"/>
      </w:pPr>
      <w:r>
        <w:rPr>
          <w:rFonts w:ascii="Times New Roman" w:cs="Times New Roman" w:eastAsia="Times New Roman" w:hAnsi="Times New Roman"/>
          <w:smallCaps/>
          <w:sz w:val="16"/>
          <w:szCs w:val="16"/>
        </w:rPr>
        <w:t xml:space="preserve">Key design parameters</w:t>
      </w:r>
    </w:p>
    <w:tbl>
      <w:tblPr>
        <w:tblW w:type="dxa" w:w="5040"/>
        <w:jc w:val="center"/>
        <w:tblBorders>
          <w:top w:val="single" w:color="000000" w:sz="6"/>
          <w:left w:val="none" w:color="FFFFFF" w:sz="0"/>
          <w:bottom w:val="single" w:color="000000" w:sz="6"/>
          <w:right w:val="none" w:color="FFFFFF" w:sz="0"/>
          <w:insideH w:val="none" w:color="FFFFFF" w:sz="0"/>
          <w:insideV w:val="none" w:color="FFFFFF" w:sz="0"/>
        </w:tblBorders>
      </w:tblPr>
      <w:tblGrid>
        <w:gridCol w:w="2500"/>
        <w:gridCol w:w="2540"/>
      </w:tblGrid>
      <w:tr>
        <w:trPr>
          <w:cantSplit/>
          <w:tblHeader/>
        </w:trPr>
        <w:tc>
          <w:tcPr>
            <w:tcW w:type="dxa" w:w="25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Parameter</w:t>
            </w:r>
          </w:p>
        </w:tc>
        <w:tc>
          <w:tcPr>
            <w:tcW w:type="dxa" w:w="254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Value</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PWM switching frequency</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10 kHz</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PWM dead band</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1 µs</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PWM full-scale count (100 % duty)</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6400 (bias 3200)</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Pipeline stage interval</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10 µs</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ADC</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8 channels, 14-bit, ±10 V</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Current sensor</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20 mV/A, 2.5 V bias at 0 A</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Incremental encoder</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512 PPR, ×4 = 2048 CPR</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Alignment command / duration</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sz w:val="16"/>
                <w:szCs w:val="16"/>
                <w:vertAlign w:val="subscript"/>
              </w:rPr>
              <w:t xml:space="preserve">d</w:t>
            </w:r>
            <w:r>
              <w:rPr>
                <w:rFonts w:ascii="Times New Roman" w:cs="Times New Roman" w:eastAsia="Times New Roman" w:hAnsi="Times New Roman"/>
                <w:b w:val="false"/>
                <w:bCs w:val="false"/>
                <w:sz w:val="16"/>
                <w:szCs w:val="16"/>
              </w:rPr>
              <w:t xml:space="preserve"> = 10 A, </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sz w:val="16"/>
                <w:szCs w:val="16"/>
                <w:vertAlign w:val="subscript"/>
              </w:rPr>
              <w:t xml:space="preserve">q</w:t>
            </w:r>
            <w:r>
              <w:rPr>
                <w:rFonts w:ascii="Times New Roman" w:cs="Times New Roman" w:eastAsia="Times New Roman" w:hAnsi="Times New Roman"/>
                <w:b w:val="false"/>
                <w:bCs w:val="false"/>
                <w:sz w:val="16"/>
                <w:szCs w:val="16"/>
              </w:rPr>
              <w:t xml:space="preserve"> = 0 A / 200 ms</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Velocity window </w:t>
            </w:r>
            <w:r>
              <w:rPr>
                <w:rFonts w:ascii="Times New Roman" w:cs="Times New Roman" w:eastAsia="Times New Roman" w:hAnsi="Times New Roman"/>
                <w:b w:val="false"/>
                <w:bCs w:val="false"/>
                <w:i/>
                <w:iCs/>
                <w:sz w:val="16"/>
                <w:szCs w:val="16"/>
              </w:rPr>
              <w:t xml:space="preserve">T</w:t>
            </w:r>
            <w:r>
              <w:rPr>
                <w:rFonts w:ascii="Times New Roman" w:cs="Times New Roman" w:eastAsia="Times New Roman" w:hAnsi="Times New Roman"/>
                <w:b w:val="false"/>
                <w:bCs w:val="false"/>
                <w:sz w:val="16"/>
                <w:szCs w:val="16"/>
                <w:vertAlign w:val="subscript"/>
              </w:rPr>
              <w:t xml:space="preserve">duration</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10 µs</w:t>
            </w:r>
          </w:p>
        </w:tc>
      </w:tr>
      <w:tr>
        <w:trPr>
          <w:cantSplit/>
          <w:tblHeader w:val="false"/>
        </w:trPr>
        <w:tc>
          <w:tcPr>
            <w:tcW w:type="dxa" w:w="25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PID gains (Fig. 5)</w:t>
            </w:r>
          </w:p>
        </w:tc>
        <w:tc>
          <w:tcPr>
            <w:tcW w:type="dxa" w:w="25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sz w:val="16"/>
                <w:szCs w:val="16"/>
                <w:vertAlign w:val="subscript"/>
              </w:rPr>
              <w:t xml:space="preserve">p1</w:t>
            </w:r>
            <w:r>
              <w:rPr>
                <w:rFonts w:ascii="Times New Roman" w:cs="Times New Roman" w:eastAsia="Times New Roman" w:hAnsi="Times New Roman"/>
                <w:b w:val="false"/>
                <w:bCs w:val="false"/>
                <w:sz w:val="16"/>
                <w:szCs w:val="16"/>
              </w:rPr>
              <w:t xml:space="preserve"> = 6, </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sz w:val="16"/>
                <w:szCs w:val="16"/>
                <w:vertAlign w:val="subscript"/>
              </w:rPr>
              <w:t xml:space="preserve">p2</w:t>
            </w:r>
            <w:r>
              <w:rPr>
                <w:rFonts w:ascii="Times New Roman" w:cs="Times New Roman" w:eastAsia="Times New Roman" w:hAnsi="Times New Roman"/>
                <w:b w:val="false"/>
                <w:bCs w:val="false"/>
                <w:sz w:val="16"/>
                <w:szCs w:val="16"/>
              </w:rPr>
              <w:t xml:space="preserve"> = 8, </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sz w:val="16"/>
                <w:szCs w:val="16"/>
                <w:vertAlign w:val="subscript"/>
              </w:rPr>
              <w:t xml:space="preserve">i1</w:t>
            </w:r>
            <w:r>
              <w:rPr>
                <w:rFonts w:ascii="Times New Roman" w:cs="Times New Roman" w:eastAsia="Times New Roman" w:hAnsi="Times New Roman"/>
                <w:b w:val="false"/>
                <w:bCs w:val="false"/>
                <w:sz w:val="16"/>
                <w:szCs w:val="16"/>
              </w:rPr>
              <w:t xml:space="preserve"> = 20, </w:t>
            </w:r>
            <w:r>
              <w:rPr>
                <w:rFonts w:ascii="Times New Roman" w:cs="Times New Roman" w:eastAsia="Times New Roman" w:hAnsi="Times New Roman"/>
                <w:b w:val="false"/>
                <w:bCs w:val="false"/>
                <w:i/>
                <w:iCs/>
                <w:sz w:val="16"/>
                <w:szCs w:val="16"/>
              </w:rPr>
              <w:t xml:space="preserve">K</w:t>
            </w:r>
            <w:r>
              <w:rPr>
                <w:rFonts w:ascii="Times New Roman" w:cs="Times New Roman" w:eastAsia="Times New Roman" w:hAnsi="Times New Roman"/>
                <w:b w:val="false"/>
                <w:bCs w:val="false"/>
                <w:sz w:val="16"/>
                <w:szCs w:val="16"/>
                <w:vertAlign w:val="subscript"/>
              </w:rPr>
              <w:t xml:space="preserve">i2</w:t>
            </w:r>
            <w:r>
              <w:rPr>
                <w:rFonts w:ascii="Times New Roman" w:cs="Times New Roman" w:eastAsia="Times New Roman" w:hAnsi="Times New Roman"/>
                <w:b w:val="false"/>
                <w:bCs w:val="false"/>
                <w:sz w:val="16"/>
                <w:szCs w:val="16"/>
              </w:rPr>
              <w:t xml:space="preserve"> = 15</w:t>
            </w:r>
          </w:p>
        </w:tc>
      </w:tr>
    </w:tbl>
    <w:p>
      <w:pPr>
        <w:spacing w:after="80" w:before="0"/>
      </w:pPr>
    </w:p>
    <w:p>
      <w:pPr>
        <w:pStyle w:val="Heading1"/>
        <w:numPr>
          <w:ilvl w:val="0"/>
          <w:numId w:val="2"/>
        </w:numPr>
      </w:pPr>
      <w:r>
        <w:rPr>
          <w:rFonts w:ascii="Times New Roman" w:cs="Times New Roman" w:eastAsia="Times New Roman" w:hAnsi="Times New Roman"/>
        </w:rPr>
        <w:t xml:space="preserve">Reference-Frame Transformations</w:t>
      </w:r>
    </w:p>
    <w:p>
      <w:pPr>
        <w:pStyle w:val="Heading2"/>
        <w:numPr>
          <w:ilvl w:val="1"/>
          <w:numId w:val="2"/>
        </w:numPr>
      </w:pPr>
      <w:r>
        <w:rPr>
          <w:rFonts w:ascii="Times New Roman" w:cs="Times New Roman" w:eastAsia="Times New Roman" w:hAnsi="Times New Roman"/>
        </w:rPr>
        <w:t xml:space="preserve">Clarke Transform</w:t>
      </w:r>
    </w:p>
    <w:p>
      <w:pPr>
        <w:spacing w:after="0" w:before="0" w:line="240" w:lineRule="auto"/>
        <w:ind w:firstLine="288"/>
        <w:jc w:val="both"/>
      </w:pPr>
      <w:r>
        <w:rPr>
          <w:rFonts w:ascii="Times New Roman" w:cs="Times New Roman" w:eastAsia="Times New Roman" w:hAnsi="Times New Roman"/>
          <w:sz w:val="20"/>
          <w:szCs w:val="20"/>
        </w:rPr>
        <w:t xml:space="preserve">The Clarke, or αβ, transform converts the three stator currents (a, b, c) into two orthogonal stationary-frame components (α, β), with the α-axis aligned to the a-axis (Fig. 2(a)). In amplitude-invariant form,</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α=</m:t>
        </m:r>
        <m:f>
          <m:num>
            <m:r>
              <m:t>2</m:t>
            </m:r>
          </m:num>
          <m:den>
            <m:r>
              <m:t>3</m:t>
            </m:r>
          </m:den>
        </m:f>
        <m:d>
          <m:dPr/>
          <m:e>
            <m:r>
              <m:t>a−</m:t>
            </m:r>
            <m:f>
              <m:num>
                <m:r>
                  <m:t>1</m:t>
                </m:r>
              </m:num>
              <m:den>
                <m:r>
                  <m:t>2</m:t>
                </m:r>
              </m:den>
            </m:f>
            <m:r>
              <m:t>b−</m:t>
            </m:r>
            <m:f>
              <m:num>
                <m:r>
                  <m:t>1</m:t>
                </m:r>
              </m:num>
              <m:den>
                <m:r>
                  <m:t>2</m:t>
                </m:r>
              </m:den>
            </m:f>
            <m:r>
              <m:t>c</m:t>
            </m:r>
          </m:e>
        </m:d>
      </m:oMath>
      <w:r>
        <w:rPr>
          <w:rFonts w:ascii="Times New Roman" w:cs="Times New Roman" w:eastAsia="Times New Roman" w:hAnsi="Times New Roman"/>
          <w:sz w:val="20"/>
          <w:szCs w:val="20"/>
        </w:rPr>
        <w:t xml:space="preserve">	(1)</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β=</m:t>
        </m:r>
        <m:f>
          <m:num>
            <m:r>
              <m:t>1</m:t>
            </m:r>
          </m:num>
          <m:den>
            <m:rad>
              <m:radPr>
                <m:degHide m:val="1"/>
              </m:radPr>
              <m:deg/>
              <m:e>
                <m:r>
                  <m:t>3</m:t>
                </m:r>
              </m:e>
            </m:rad>
          </m:den>
        </m:f>
        <m:d>
          <m:dPr/>
          <m:e>
            <m:r>
              <m:t>b−c</m:t>
            </m:r>
          </m:e>
        </m:d>
      </m:oMath>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For a balanced three-phase system a + b + c = 0, and (1)–(2) reduce to</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α=a</m:t>
        </m:r>
      </m:oMath>
      <w:r>
        <w:rPr>
          <w:rFonts w:ascii="Times New Roman" w:cs="Times New Roman" w:eastAsia="Times New Roman" w:hAnsi="Times New Roman"/>
          <w:sz w:val="20"/>
          <w:szCs w:val="20"/>
        </w:rPr>
        <w:t xml:space="preserve">	(3)</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β=</m:t>
        </m:r>
        <m:f>
          <m:num>
            <m:r>
              <m:t>a+2b</m:t>
            </m:r>
          </m:num>
          <m:den>
            <m:rad>
              <m:radPr>
                <m:degHide m:val="1"/>
              </m:radPr>
              <m:deg/>
              <m:e>
                <m:r>
                  <m:t>3</m:t>
                </m:r>
              </m:e>
            </m:rad>
          </m:den>
        </m:f>
      </m:oMath>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where a and b are the measured phase currents.</w:t>
      </w:r>
    </w:p>
    <w:p>
      <w:pPr>
        <w:pStyle w:val="Heading2"/>
        <w:numPr>
          <w:ilvl w:val="1"/>
          <w:numId w:val="2"/>
        </w:numPr>
      </w:pPr>
      <w:r>
        <w:rPr>
          <w:rFonts w:ascii="Times New Roman" w:cs="Times New Roman" w:eastAsia="Times New Roman" w:hAnsi="Times New Roman"/>
        </w:rPr>
        <w:t xml:space="preserve">Park Transform</w:t>
      </w:r>
    </w:p>
    <w:p>
      <w:pPr>
        <w:spacing w:after="0" w:before="0" w:line="240" w:lineRule="auto"/>
        <w:ind w:firstLine="288"/>
        <w:jc w:val="both"/>
      </w:pPr>
      <w:r>
        <w:rPr>
          <w:rFonts w:ascii="Times New Roman" w:cs="Times New Roman" w:eastAsia="Times New Roman" w:hAnsi="Times New Roman"/>
          <w:sz w:val="20"/>
          <w:szCs w:val="20"/>
        </w:rPr>
        <w:t xml:space="preserve">The Park transform rotates the stationary frame onto the rotating d–q frame,</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d=α</m:t>
        </m:r>
        <m:func>
          <m:funcPr/>
          <m:fName>
            <m:r>
              <m:t>cos</m:t>
            </m:r>
          </m:fName>
          <m:e>
            <m:r>
              <m:t>θ</m:t>
            </m:r>
          </m:e>
        </m:func>
        <m:r>
          <m:t>+β</m:t>
        </m:r>
        <m:func>
          <m:funcPr/>
          <m:fName>
            <m:r>
              <m:t>sin</m:t>
            </m:r>
          </m:fName>
          <m:e>
            <m:r>
              <m:t>θ</m:t>
            </m:r>
          </m:e>
        </m:func>
      </m:oMath>
      <w:r>
        <w:rPr>
          <w:rFonts w:ascii="Times New Roman" w:cs="Times New Roman" w:eastAsia="Times New Roman" w:hAnsi="Times New Roman"/>
          <w:sz w:val="20"/>
          <w:szCs w:val="20"/>
        </w:rPr>
        <w:t xml:space="preserve">	(5)</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q=−α</m:t>
        </m:r>
        <m:func>
          <m:funcPr/>
          <m:fName>
            <m:r>
              <m:t>sin</m:t>
            </m:r>
          </m:fName>
          <m:e>
            <m:r>
              <m:t>θ</m:t>
            </m:r>
          </m:e>
        </m:func>
        <m:r>
          <m:t>+β</m:t>
        </m:r>
        <m:func>
          <m:funcPr/>
          <m:fName>
            <m:r>
              <m:t>cos</m:t>
            </m:r>
          </m:fName>
          <m:e>
            <m:r>
              <m:t>θ</m:t>
            </m:r>
          </m:e>
        </m:func>
      </m:oMath>
      <w:r>
        <w:rPr>
          <w:rFonts w:ascii="Times New Roman" w:cs="Times New Roman" w:eastAsia="Times New Roman" w:hAnsi="Times New Roman"/>
          <w:sz w:val="20"/>
          <w:szCs w:val="20"/>
        </w:rPr>
        <w:t xml:space="preserve">	(6)</w:t>
      </w:r>
    </w:p>
    <w:p>
      <w:pPr>
        <w:spacing w:after="0" w:before="0" w:line="240" w:lineRule="auto"/>
        <w:jc w:val="both"/>
      </w:pPr>
      <w:r>
        <w:rPr>
          <w:rFonts w:ascii="Times New Roman" w:cs="Times New Roman" w:eastAsia="Times New Roman" w:hAnsi="Times New Roman"/>
          <w:sz w:val="20"/>
          <w:szCs w:val="20"/>
        </w:rPr>
        <w:t xml:space="preserve">with the d-axis aligned to the rotor flux (Fig. 2(b)). In the rotating frame the current and voltage quantities are time-invariant, which is what lets a linear PI controller regulate them with zero steady-state error. The angle θ in (5)–(6) is the rotor electrical position obtained from the CORDIC block of Section IV.</w:t>
      </w:r>
    </w:p>
    <w:tbl>
      <w:tblPr>
        <w:tblW w:type="dxa" w:w="4925"/>
        <w:jc w:val="center"/>
        <w:tblBorders>
          <w:top w:val="none" w:color="FFFFFF" w:sz="0"/>
          <w:left w:val="none" w:color="FFFFFF" w:sz="0"/>
          <w:bottom w:val="none" w:color="FFFFFF" w:sz="0"/>
          <w:right w:val="none" w:color="FFFFFF" w:sz="0"/>
          <w:insideH w:val="none" w:color="FFFFFF" w:sz="0"/>
          <w:insideV w:val="none" w:color="FFFFFF" w:sz="0"/>
        </w:tblBorders>
      </w:tblPr>
      <w:tblGrid>
        <w:gridCol w:w="2462"/>
        <w:gridCol w:w="2462"/>
      </w:tblGrid>
      <w:tr>
        <w:trPr>
          <w:cantSplit/>
        </w:trPr>
        <w:tc>
          <w:tcPr>
            <w:tcW w:type="dxa" w:w="2419"/>
            <w:tcBorders>
              <w:top w:val="none" w:color="FFFFFF" w:sz="0"/>
              <w:left w:val="none" w:color="FFFFFF" w:sz="0"/>
              <w:bottom w:val="none" w:color="FFFFFF" w:sz="0"/>
              <w:right w:val="none" w:color="FFFFFF" w:sz="0"/>
            </w:tcBorders>
            <w:tcMar>
              <w:top w:type="dxa" w:w="0"/>
              <w:left w:type="dxa" w:w="30"/>
              <w:bottom w:type="dxa" w:w="0"/>
              <w:right w:type="dxa" w:w="30"/>
            </w:tcMar>
          </w:tcPr>
          <w:p>
            <w:pPr>
              <w:keepNext/>
              <w:spacing w:after="0" w:before="0"/>
              <w:jc w:val="center"/>
            </w:pPr>
            <w:r>
              <w:drawing>
                <wp:inline distT="0" distB="0" distL="0" distR="0">
                  <wp:extent cx="1533525" cy="1504950"/>
                  <wp:effectExtent t="0" r="0" b="0" l="0"/>
                  <wp:docPr id="1" name="f3a" descr="f3a" title="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33525" cy="1504950"/>
                          </a:xfrm>
                          <a:prstGeom prst="rect">
                            <a:avLst/>
                          </a:prstGeom>
                        </pic:spPr>
                      </pic:pic>
                    </a:graphicData>
                  </a:graphic>
                </wp:inline>
              </w:drawing>
            </w:r>
          </w:p>
          <w:p>
            <w:pPr>
              <w:spacing w:after="0" w:before="14"/>
              <w:jc w:val="center"/>
            </w:pPr>
            <w:r>
              <w:rPr>
                <w:rFonts w:ascii="Times New Roman" w:cs="Times New Roman" w:eastAsia="Times New Roman" w:hAnsi="Times New Roman"/>
                <w:sz w:val="16"/>
                <w:szCs w:val="16"/>
              </w:rPr>
              <w:t xml:space="preserve">(a)</w:t>
            </w:r>
          </w:p>
        </w:tc>
        <w:tc>
          <w:tcPr>
            <w:tcW w:type="dxa" w:w="2419"/>
            <w:tcBorders>
              <w:top w:val="none" w:color="FFFFFF" w:sz="0"/>
              <w:left w:val="none" w:color="FFFFFF" w:sz="0"/>
              <w:bottom w:val="none" w:color="FFFFFF" w:sz="0"/>
              <w:right w:val="none" w:color="FFFFFF" w:sz="0"/>
            </w:tcBorders>
            <w:tcMar>
              <w:top w:type="dxa" w:w="0"/>
              <w:left w:type="dxa" w:w="30"/>
              <w:bottom w:type="dxa" w:w="0"/>
              <w:right w:type="dxa" w:w="30"/>
            </w:tcMar>
          </w:tcPr>
          <w:p>
            <w:pPr>
              <w:keepNext/>
              <w:spacing w:after="0" w:before="0"/>
              <w:jc w:val="center"/>
            </w:pPr>
            <w:r>
              <w:drawing>
                <wp:inline distT="0" distB="0" distL="0" distR="0">
                  <wp:extent cx="1533525" cy="1009650"/>
                  <wp:effectExtent t="0" r="0" b="0" l="0"/>
                  <wp:docPr id="1" name="f3b" descr="f3b" titl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33525" cy="1009650"/>
                          </a:xfrm>
                          <a:prstGeom prst="rect">
                            <a:avLst/>
                          </a:prstGeom>
                        </pic:spPr>
                      </pic:pic>
                    </a:graphicData>
                  </a:graphic>
                </wp:inline>
              </w:drawing>
            </w:r>
          </w:p>
          <w:p>
            <w:pPr>
              <w:spacing w:after="0" w:before="14"/>
              <w:jc w:val="center"/>
            </w:pPr>
            <w:r>
              <w:rPr>
                <w:rFonts w:ascii="Times New Roman" w:cs="Times New Roman" w:eastAsia="Times New Roman" w:hAnsi="Times New Roman"/>
                <w:sz w:val="16"/>
                <w:szCs w:val="16"/>
              </w:rPr>
              <w:t xml:space="preserve">(b)</w:t>
            </w:r>
          </w:p>
        </w:tc>
      </w:tr>
    </w:tbl>
    <w:p>
      <w:pPr>
        <w:keepLines/>
        <w:spacing w:after="100" w:before="16"/>
        <w:jc w:val="both"/>
      </w:pPr>
      <w:r>
        <w:rPr>
          <w:rFonts w:ascii="Times New Roman" w:cs="Times New Roman" w:eastAsia="Times New Roman" w:hAnsi="Times New Roman"/>
          <w:sz w:val="16"/>
          <w:szCs w:val="16"/>
        </w:rPr>
        <w:t xml:space="preserve">Fig. 2. Reference-frame transformations: (a) abc to αβ; (b) αβ to dq.</w:t>
      </w:r>
    </w:p>
    <w:p>
      <w:pPr>
        <w:pStyle w:val="Heading2"/>
        <w:numPr>
          <w:ilvl w:val="1"/>
          <w:numId w:val="2"/>
        </w:numPr>
      </w:pPr>
      <w:r>
        <w:rPr>
          <w:rFonts w:ascii="Times New Roman" w:cs="Times New Roman" w:eastAsia="Times New Roman" w:hAnsi="Times New Roman"/>
        </w:rPr>
        <w:t xml:space="preserve">Inverse Park and Inverse Clarke Transforms</w:t>
      </w:r>
    </w:p>
    <w:p>
      <w:pPr>
        <w:spacing w:after="0" w:before="0" w:line="240" w:lineRule="auto"/>
        <w:ind w:firstLine="288"/>
        <w:jc w:val="both"/>
      </w:pPr>
      <w:r>
        <w:rPr>
          <w:rFonts w:ascii="Times New Roman" w:cs="Times New Roman" w:eastAsia="Times New Roman" w:hAnsi="Times New Roman"/>
          <w:sz w:val="20"/>
          <w:szCs w:val="20"/>
        </w:rPr>
        <w:t xml:space="preserve">Equations (7)–(8) recover the stationary-frame quantities from the current-loop outputs,</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α=d</m:t>
        </m:r>
        <m:func>
          <m:funcPr/>
          <m:fName>
            <m:r>
              <m:t>cos</m:t>
            </m:r>
          </m:fName>
          <m:e>
            <m:r>
              <m:t>θ</m:t>
            </m:r>
          </m:e>
        </m:func>
        <m:r>
          <m:t>−q</m:t>
        </m:r>
        <m:func>
          <m:funcPr/>
          <m:fName>
            <m:r>
              <m:t>sin</m:t>
            </m:r>
          </m:fName>
          <m:e>
            <m:r>
              <m:t>θ</m:t>
            </m:r>
          </m:e>
        </m:func>
      </m:oMath>
      <w:r>
        <w:rPr>
          <w:rFonts w:ascii="Times New Roman" w:cs="Times New Roman" w:eastAsia="Times New Roman" w:hAnsi="Times New Roman"/>
          <w:sz w:val="20"/>
          <w:szCs w:val="20"/>
        </w:rPr>
        <w:t xml:space="preserve">	(7)</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β=d</m:t>
        </m:r>
        <m:func>
          <m:funcPr/>
          <m:fName>
            <m:r>
              <m:t>sin</m:t>
            </m:r>
          </m:fName>
          <m:e>
            <m:r>
              <m:t>θ</m:t>
            </m:r>
          </m:e>
        </m:func>
        <m:r>
          <m:t>+q</m:t>
        </m:r>
        <m:func>
          <m:funcPr/>
          <m:fName>
            <m:r>
              <m:t>cos</m:t>
            </m:r>
          </m:fName>
          <m:e>
            <m:r>
              <m:t>θ</m:t>
            </m:r>
          </m:e>
        </m:func>
      </m:oMath>
      <w:r>
        <w:rPr>
          <w:rFonts w:ascii="Times New Roman" w:cs="Times New Roman" w:eastAsia="Times New Roman" w:hAnsi="Times New Roman"/>
          <w:sz w:val="20"/>
          <w:szCs w:val="20"/>
        </w:rPr>
        <w:t xml:space="preserve">	(8)</w:t>
      </w:r>
    </w:p>
    <w:p>
      <w:pPr>
        <w:spacing w:after="0" w:before="0" w:line="240" w:lineRule="auto"/>
        <w:jc w:val="both"/>
      </w:pPr>
      <w:r>
        <w:rPr>
          <w:rFonts w:ascii="Times New Roman" w:cs="Times New Roman" w:eastAsia="Times New Roman" w:hAnsi="Times New Roman"/>
          <w:sz w:val="20"/>
          <w:szCs w:val="20"/>
        </w:rPr>
        <w:t xml:space="preserve">and (9)–(11) project the result back onto the three physical phase axes, 120° apart, before it is passed to space vector modulation:</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a=α</m:t>
        </m:r>
      </m:oMath>
      <w:r>
        <w:rPr>
          <w:rFonts w:ascii="Times New Roman" w:cs="Times New Roman" w:eastAsia="Times New Roman" w:hAnsi="Times New Roman"/>
          <w:sz w:val="20"/>
          <w:szCs w:val="20"/>
        </w:rPr>
        <w:t xml:space="preserve">	(9)</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b=−</m:t>
        </m:r>
        <m:f>
          <m:num>
            <m:r>
              <m:t>1</m:t>
            </m:r>
          </m:num>
          <m:den>
            <m:r>
              <m:t>2</m:t>
            </m:r>
          </m:den>
        </m:f>
        <m:r>
          <m:t>α+</m:t>
        </m:r>
        <m:f>
          <m:num>
            <m:rad>
              <m:radPr>
                <m:degHide m:val="1"/>
              </m:radPr>
              <m:deg/>
              <m:e>
                <m:r>
                  <m:t>3</m:t>
                </m:r>
              </m:e>
            </m:rad>
          </m:num>
          <m:den>
            <m:r>
              <m:t>2</m:t>
            </m:r>
          </m:den>
        </m:f>
        <m:r>
          <m:t>β</m:t>
        </m:r>
      </m:oMath>
      <w:r>
        <w:rPr>
          <w:rFonts w:ascii="Times New Roman" w:cs="Times New Roman" w:eastAsia="Times New Roman" w:hAnsi="Times New Roman"/>
          <w:sz w:val="20"/>
          <w:szCs w:val="20"/>
        </w:rPr>
        <w:t xml:space="preserve">	(10)</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c=−</m:t>
        </m:r>
        <m:f>
          <m:num>
            <m:r>
              <m:t>1</m:t>
            </m:r>
          </m:num>
          <m:den>
            <m:r>
              <m:t>2</m:t>
            </m:r>
          </m:den>
        </m:f>
        <m:r>
          <m:t>α−</m:t>
        </m:r>
        <m:f>
          <m:num>
            <m:rad>
              <m:radPr>
                <m:degHide m:val="1"/>
              </m:radPr>
              <m:deg/>
              <m:e>
                <m:r>
                  <m:t>3</m:t>
                </m:r>
              </m:e>
            </m:rad>
          </m:num>
          <m:den>
            <m:r>
              <m:t>2</m:t>
            </m:r>
          </m:den>
        </m:f>
        <m:r>
          <m:t>β</m:t>
        </m:r>
      </m:oMath>
      <w:r>
        <w:rPr>
          <w:rFonts w:ascii="Times New Roman" w:cs="Times New Roman" w:eastAsia="Times New Roman" w:hAnsi="Times New Roman"/>
          <w:sz w:val="20"/>
          <w:szCs w:val="20"/>
        </w:rPr>
        <w:t xml:space="preserve">	(11)</w:t>
      </w:r>
    </w:p>
    <w:p>
      <w:pPr>
        <w:pStyle w:val="Heading1"/>
        <w:numPr>
          <w:ilvl w:val="0"/>
          <w:numId w:val="2"/>
        </w:numPr>
      </w:pPr>
      <w:r>
        <w:rPr>
          <w:rFonts w:ascii="Times New Roman" w:cs="Times New Roman" w:eastAsia="Times New Roman" w:hAnsi="Times New Roman"/>
        </w:rPr>
        <w:t xml:space="preserve">CORDIC-Based Sine/Cosine Generation</w:t>
      </w:r>
    </w:p>
    <w:p>
      <w:pPr>
        <w:spacing w:after="0" w:before="0" w:line="240" w:lineRule="auto"/>
        <w:ind w:firstLine="288"/>
        <w:jc w:val="both"/>
      </w:pPr>
      <w:r>
        <w:rPr>
          <w:rFonts w:ascii="Times New Roman" w:cs="Times New Roman" w:eastAsia="Times New Roman" w:hAnsi="Times New Roman"/>
          <w:sz w:val="20"/>
          <w:szCs w:val="20"/>
        </w:rPr>
        <w:t xml:space="preserve">CORDIC (Coordinate Rotation Digital Computer) computes sine and cosine through a sequence of small, predetermined vector rotations, using only additions, subtractions and bit shifts [5]. Because it needs neither a multiplier nor a divider, it is a natural fit for FPGA logic, and is used here to supply the sin θ and cos θ values consumed by the Park and inverse Park transforms [6]. Fig. 3 shows the simulated response for an electrical angle ramping over several cycles: the sine and cosine outputs track the angle with the expected quarter-cycle offset, cosine leading sine by 90°.</w:t>
      </w:r>
    </w:p>
    <w:p>
      <w:pPr>
        <w:keepNext/>
        <w:spacing w:after="16" w:before="60"/>
        <w:jc w:val="center"/>
      </w:pPr>
      <w:r>
        <w:drawing>
          <wp:inline distT="0" distB="0" distL="0" distR="0">
            <wp:extent cx="2924175" cy="1695450"/>
            <wp:effectExtent t="0" r="0" b="0" l="0"/>
            <wp:docPr id="1" name="f5a" descr="f5a" title="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1695450"/>
                    </a:xfrm>
                    <a:prstGeom prst="rect">
                      <a:avLst/>
                    </a:prstGeom>
                  </pic:spPr>
                </pic:pic>
              </a:graphicData>
            </a:graphic>
          </wp:inline>
        </w:drawing>
      </w:r>
    </w:p>
    <w:p>
      <w:pPr>
        <w:keepLines/>
        <w:spacing w:after="100" w:before="16"/>
        <w:jc w:val="both"/>
      </w:pPr>
      <w:r>
        <w:rPr>
          <w:rFonts w:ascii="Times New Roman" w:cs="Times New Roman" w:eastAsia="Times New Roman" w:hAnsi="Times New Roman"/>
          <w:sz w:val="16"/>
          <w:szCs w:val="16"/>
        </w:rPr>
        <w:t xml:space="preserve">Fig. 3. MATLAB waveforms of electrical angle, sine and cosine from the CORDIC block.</w:t>
      </w:r>
    </w:p>
    <w:p>
      <w:pPr>
        <w:pStyle w:val="Heading1"/>
        <w:numPr>
          <w:ilvl w:val="0"/>
          <w:numId w:val="2"/>
        </w:numPr>
      </w:pPr>
      <w:r>
        <w:rPr>
          <w:rFonts w:ascii="Times New Roman" w:cs="Times New Roman" w:eastAsia="Times New Roman" w:hAnsi="Times New Roman"/>
        </w:rPr>
        <w:t xml:space="preserve">PID Control with Anti-Windup</w:t>
      </w:r>
    </w:p>
    <w:p>
      <w:pPr>
        <w:spacing w:after="0" w:before="0" w:line="240" w:lineRule="auto"/>
        <w:ind w:firstLine="288"/>
        <w:jc w:val="both"/>
      </w:pPr>
      <w:r>
        <w:rPr>
          <w:rFonts w:ascii="Times New Roman" w:cs="Times New Roman" w:eastAsia="Times New Roman" w:hAnsi="Times New Roman"/>
          <w:sz w:val="20"/>
          <w:szCs w:val="20"/>
        </w:rPr>
        <w:t xml:space="preserve">Each control loop uses a PID controller (Fig. 4). Because the output is limited by the current or voltage rating of the drive, the integral term can keep accumulating error after the controller saturates, producing overshoot and a slow, oscillatory recovery once the loop leaves saturation [7], [8]. The integrator is disabled only when the output has actually been clipped by the saturation block and the sign of the tracking error still matches the sign of the unsaturated PID output, which keeps the anti-windup logic from interfering with normal operation. Fig. 5 shows the simulated cascaded-loop response with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p1</w:t>
      </w:r>
      <w:r>
        <w:rPr>
          <w:rFonts w:ascii="Times New Roman" w:cs="Times New Roman" w:eastAsia="Times New Roman" w:hAnsi="Times New Roman"/>
          <w:sz w:val="20"/>
          <w:szCs w:val="20"/>
        </w:rPr>
        <w:t xml:space="preserve">=6,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p2</w:t>
      </w:r>
      <w:r>
        <w:rPr>
          <w:rFonts w:ascii="Times New Roman" w:cs="Times New Roman" w:eastAsia="Times New Roman" w:hAnsi="Times New Roman"/>
          <w:sz w:val="20"/>
          <w:szCs w:val="20"/>
        </w:rPr>
        <w:t xml:space="preserve">=8,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i1</w:t>
      </w:r>
      <w:r>
        <w:rPr>
          <w:rFonts w:ascii="Times New Roman" w:cs="Times New Roman" w:eastAsia="Times New Roman" w:hAnsi="Times New Roman"/>
          <w:sz w:val="20"/>
          <w:szCs w:val="20"/>
        </w:rPr>
        <w:t xml:space="preserve">=20,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i2</w:t>
      </w:r>
      <w:r>
        <w:rPr>
          <w:rFonts w:ascii="Times New Roman" w:cs="Times New Roman" w:eastAsia="Times New Roman" w:hAnsi="Times New Roman"/>
          <w:sz w:val="20"/>
          <w:szCs w:val="20"/>
        </w:rPr>
        <w:t xml:space="preserve">=15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d1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d2</w:t>
      </w:r>
      <w:r>
        <w:rPr>
          <w:rFonts w:ascii="Times New Roman" w:cs="Times New Roman" w:eastAsia="Times New Roman" w:hAnsi="Times New Roman"/>
          <w:sz w:val="20"/>
          <w:szCs w:val="20"/>
        </w:rPr>
        <w:t xml:space="preserve">=0: the anti-windup terms are active only briefly around the command transitions, and the loop settles quickly with no sustained oscillation.</w:t>
      </w:r>
    </w:p>
    <w:p>
      <w:pPr>
        <w:keepNext/>
        <w:spacing w:after="16" w:before="60"/>
        <w:jc w:val="center"/>
      </w:pPr>
      <w:r>
        <w:drawing>
          <wp:inline distT="0" distB="0" distL="0" distR="0">
            <wp:extent cx="3105150" cy="1743075"/>
            <wp:effectExtent t="0" r="0" b="0" l="0"/>
            <wp:docPr id="1" name="f6" descr="f6" titl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1743075"/>
                    </a:xfrm>
                    <a:prstGeom prst="rect">
                      <a:avLst/>
                    </a:prstGeom>
                  </pic:spPr>
                </pic:pic>
              </a:graphicData>
            </a:graphic>
          </wp:inline>
        </w:drawing>
      </w:r>
    </w:p>
    <w:p>
      <w:pPr>
        <w:keepLines/>
        <w:spacing w:after="100" w:before="16"/>
        <w:jc w:val="center"/>
      </w:pPr>
      <w:r>
        <w:rPr>
          <w:rFonts w:ascii="Times New Roman" w:cs="Times New Roman" w:eastAsia="Times New Roman" w:hAnsi="Times New Roman"/>
          <w:sz w:val="16"/>
          <w:szCs w:val="16"/>
        </w:rPr>
        <w:t xml:space="preserve">Fig. 4. Block diagram of the PID controller with anti-windup.</w:t>
      </w:r>
    </w:p>
    <w:p>
      <w:pPr>
        <w:keepNext/>
        <w:spacing w:after="16" w:before="60"/>
        <w:jc w:val="center"/>
      </w:pPr>
      <w:r>
        <w:drawing>
          <wp:inline distT="0" distB="0" distL="0" distR="0">
            <wp:extent cx="2838450" cy="1885950"/>
            <wp:effectExtent t="0" r="0" b="0" l="0"/>
            <wp:docPr id="1" name="f7" descr="f7" titl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1885950"/>
                    </a:xfrm>
                    <a:prstGeom prst="rect">
                      <a:avLst/>
                    </a:prstGeom>
                  </pic:spPr>
                </pic:pic>
              </a:graphicData>
            </a:graphic>
          </wp:inline>
        </w:drawing>
      </w:r>
    </w:p>
    <w:p>
      <w:pPr>
        <w:keepLines/>
        <w:spacing w:after="100" w:before="16"/>
        <w:jc w:val="both"/>
      </w:pPr>
      <w:r>
        <w:rPr>
          <w:rFonts w:ascii="Times New Roman" w:cs="Times New Roman" w:eastAsia="Times New Roman" w:hAnsi="Times New Roman"/>
          <w:sz w:val="16"/>
          <w:szCs w:val="16"/>
        </w:rPr>
        <w:t xml:space="preserve">Fig. 5. Simulated response of the cascaded PID controller with anti-windup.</w:t>
      </w:r>
    </w:p>
    <w:p>
      <w:pPr>
        <w:pStyle w:val="Heading1"/>
        <w:numPr>
          <w:ilvl w:val="0"/>
          <w:numId w:val="2"/>
        </w:numPr>
      </w:pPr>
      <w:r>
        <w:rPr>
          <w:rFonts w:ascii="Times New Roman" w:cs="Times New Roman" w:eastAsia="Times New Roman" w:hAnsi="Times New Roman"/>
        </w:rPr>
        <w:t xml:space="preserve">Space Vector Modulation</w:t>
      </w:r>
    </w:p>
    <w:p>
      <w:pPr>
        <w:spacing w:after="0" w:before="0" w:line="240" w:lineRule="auto"/>
        <w:ind w:firstLine="288"/>
        <w:jc w:val="both"/>
      </w:pPr>
      <w:r>
        <w:rPr>
          <w:rFonts w:ascii="Times New Roman" w:cs="Times New Roman" w:eastAsia="Times New Roman" w:hAnsi="Times New Roman"/>
          <w:sz w:val="20"/>
          <w:szCs w:val="20"/>
        </w:rPr>
        <w:t xml:space="preserve">Space vector PWM improves DC-bus utilization by roughly 15 % over sinusoidal PWM and reduces harmonic distortion [9]. We use the min–max method, a low-complexity equivalent of conventional SVPWM that avoids explicit sector identification [10]:</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x=</m:t>
        </m:r>
        <m:func>
          <m:funcPr/>
          <m:fName>
            <m:r>
              <m:t>max</m:t>
            </m:r>
          </m:fName>
          <m:e>
            <m:d>
              <m:dPr/>
              <m:e>
                <m:r>
                  <m:t>A,B,C</m:t>
                </m:r>
              </m:e>
            </m:d>
          </m:e>
        </m:func>
      </m:oMath>
      <w:r>
        <w:rPr>
          <w:rFonts w:ascii="Times New Roman" w:cs="Times New Roman" w:eastAsia="Times New Roman" w:hAnsi="Times New Roman"/>
          <w:sz w:val="20"/>
          <w:szCs w:val="20"/>
        </w:rPr>
        <w:t xml:space="preserve">	(12)</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y=</m:t>
        </m:r>
        <m:func>
          <m:funcPr/>
          <m:fName>
            <m:r>
              <m:t>min</m:t>
            </m:r>
          </m:fName>
          <m:e>
            <m:d>
              <m:dPr/>
              <m:e>
                <m:r>
                  <m:t>A,B,C</m:t>
                </m:r>
              </m:e>
            </m:d>
          </m:e>
        </m:func>
      </m:oMath>
      <w:r>
        <w:rPr>
          <w:rFonts w:ascii="Times New Roman" w:cs="Times New Roman" w:eastAsia="Times New Roman" w:hAnsi="Times New Roman"/>
          <w:sz w:val="20"/>
          <w:szCs w:val="20"/>
        </w:rPr>
        <w:t xml:space="preserve">	(13)</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z=</m:t>
        </m:r>
        <m:f>
          <m:num>
            <m:r>
              <m:t>x+y</m:t>
            </m:r>
          </m:num>
          <m:den>
            <m:r>
              <m:t>2</m:t>
            </m:r>
          </m:den>
        </m:f>
      </m:oMath>
      <w:r>
        <w:rPr>
          <w:rFonts w:ascii="Times New Roman" w:cs="Times New Roman" w:eastAsia="Times New Roman" w:hAnsi="Times New Roman"/>
          <w:sz w:val="20"/>
          <w:szCs w:val="20"/>
        </w:rPr>
        <w:t xml:space="preserve">	(14)</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A</m:t>
            </m:r>
          </m:e>
          <m:sub>
            <m:r>
              <m:t>SVM</m:t>
            </m:r>
          </m:sub>
        </m:sSub>
        <m:r>
          <m:t>=A−z</m:t>
        </m:r>
      </m:oMath>
      <w:r>
        <w:rPr>
          <w:rFonts w:ascii="Times New Roman" w:cs="Times New Roman" w:eastAsia="Times New Roman" w:hAnsi="Times New Roman"/>
          <w:sz w:val="20"/>
          <w:szCs w:val="20"/>
        </w:rPr>
        <w:t xml:space="preserve">	(15)</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B</m:t>
            </m:r>
          </m:e>
          <m:sub>
            <m:r>
              <m:t>SVM</m:t>
            </m:r>
          </m:sub>
        </m:sSub>
        <m:r>
          <m:t>=B−z</m:t>
        </m:r>
      </m:oMath>
      <w:r>
        <w:rPr>
          <w:rFonts w:ascii="Times New Roman" w:cs="Times New Roman" w:eastAsia="Times New Roman" w:hAnsi="Times New Roman"/>
          <w:sz w:val="20"/>
          <w:szCs w:val="20"/>
        </w:rPr>
        <w:t xml:space="preserve">	(16)</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C</m:t>
            </m:r>
          </m:e>
          <m:sub>
            <m:r>
              <m:t>SVM</m:t>
            </m:r>
          </m:sub>
        </m:sSub>
        <m:r>
          <m:t>=C−z</m:t>
        </m:r>
      </m:oMath>
      <w:r>
        <w:rPr>
          <w:rFonts w:ascii="Times New Roman" w:cs="Times New Roman" w:eastAsia="Times New Roman" w:hAnsi="Times New Roman"/>
          <w:sz w:val="20"/>
          <w:szCs w:val="20"/>
        </w:rPr>
        <w:t xml:space="preserve">	(17)</w:t>
      </w:r>
    </w:p>
    <w:p>
      <w:pPr>
        <w:spacing w:after="0" w:before="0" w:line="240" w:lineRule="auto"/>
        <w:jc w:val="both"/>
      </w:pPr>
      <w:r>
        <w:rPr>
          <w:rFonts w:ascii="Times New Roman" w:cs="Times New Roman" w:eastAsia="Times New Roman" w:hAnsi="Times New Roman"/>
          <w:sz w:val="20"/>
          <w:szCs w:val="20"/>
        </w:rPr>
        <w:t xml:space="preserve">where A, B and C are three-phase reference signals 120° apart. Fig. 6 shows the resulting SVM waveforms.</w:t>
      </w:r>
    </w:p>
    <w:p>
      <w:pPr>
        <w:keepNext/>
        <w:spacing w:after="16" w:before="60"/>
        <w:jc w:val="center"/>
      </w:pPr>
      <w:r>
        <w:drawing>
          <wp:inline distT="0" distB="0" distL="0" distR="0">
            <wp:extent cx="3105150" cy="1343025"/>
            <wp:effectExtent t="0" r="0" b="0" l="0"/>
            <wp:docPr id="1" name="f8" descr="f8" titl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05150" cy="1343025"/>
                    </a:xfrm>
                    <a:prstGeom prst="rect">
                      <a:avLst/>
                    </a:prstGeom>
                  </pic:spPr>
                </pic:pic>
              </a:graphicData>
            </a:graphic>
          </wp:inline>
        </w:drawing>
      </w:r>
    </w:p>
    <w:p>
      <w:pPr>
        <w:keepLines/>
        <w:spacing w:after="100" w:before="16"/>
        <w:jc w:val="center"/>
      </w:pPr>
      <w:r>
        <w:rPr>
          <w:rFonts w:ascii="Times New Roman" w:cs="Times New Roman" w:eastAsia="Times New Roman" w:hAnsi="Times New Roman"/>
          <w:sz w:val="16"/>
          <w:szCs w:val="16"/>
        </w:rPr>
        <w:t xml:space="preserve">Fig. 6. Simulated space vector modulation waveforms.</w:t>
      </w:r>
    </w:p>
    <w:p>
      <w:pPr>
        <w:pStyle w:val="Heading1"/>
        <w:numPr>
          <w:ilvl w:val="0"/>
          <w:numId w:val="2"/>
        </w:numPr>
      </w:pPr>
      <w:r>
        <w:rPr>
          <w:rFonts w:ascii="Times New Roman" w:cs="Times New Roman" w:eastAsia="Times New Roman" w:hAnsi="Times New Roman"/>
        </w:rPr>
        <w:t xml:space="preserve">Initial Rotor-Position Alignment</w:t>
      </w:r>
    </w:p>
    <w:p>
      <w:pPr>
        <w:spacing w:after="0" w:before="0" w:line="240" w:lineRule="auto"/>
        <w:ind w:firstLine="288"/>
        <w:jc w:val="both"/>
      </w:pPr>
      <w:r>
        <w:rPr>
          <w:rFonts w:ascii="Times New Roman" w:cs="Times New Roman" w:eastAsia="Times New Roman" w:hAnsi="Times New Roman"/>
          <w:sz w:val="20"/>
          <w:szCs w:val="20"/>
        </w:rPr>
        <w:t xml:space="preserve">An incremental encoder reports only relative position, so the rotor must first be aligned to a known reference. At power-up, a counter runs for 200 ms (2,000,000 cycles of a 10 MHz clock) while the multiplexer of Fig. 7(b) holds a fixed alignment command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=10 A,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q</w:t>
      </w:r>
      <w:r>
        <w:rPr>
          <w:rFonts w:ascii="Times New Roman" w:cs="Times New Roman" w:eastAsia="Times New Roman" w:hAnsi="Times New Roman"/>
          <w:sz w:val="20"/>
          <w:szCs w:val="20"/>
        </w:rPr>
        <w:t xml:space="preserve">=0 A, θ=0° — as shown in the timing diagram of Fig. 7(a), which locks the rotor onto the nearest d-axis. At the exact end of the 200 ms window the encoder count is reset to zero, marking this position as the 0° reference and asserting the “done” flag, after which control switches to the normal current-loop path. For a motor with multiple pole pairs there is more than one d-axis position per mechanical revolution; the rotor settles at whichever one is closest to its position at start-up.</w:t>
      </w:r>
      <w:r>
        <w:rPr>
          <w:rFonts w:ascii="Times New Roman" w:hAnsi="Times New Roman"/>
          <w:b w:val="0"/>
          <w:i w:val="0"/>
          <w:sz w:val="20"/>
        </w:rPr>
        <w:t xml:space="preserve"> Fast, deterministic alignment of this kind is essential in servo actuators that must reach a known reference position within a bounded time after power-up, as required of many aerospace and defense drive systems.</w:t>
      </w:r>
    </w:p>
    <w:tbl>
      <w:tblPr>
        <w:tblW w:type="dxa" w:w="4925"/>
        <w:jc w:val="center"/>
        <w:tblBorders>
          <w:top w:val="none" w:color="FFFFFF" w:sz="0"/>
          <w:left w:val="none" w:color="FFFFFF" w:sz="0"/>
          <w:bottom w:val="none" w:color="FFFFFF" w:sz="0"/>
          <w:right w:val="none" w:color="FFFFFF" w:sz="0"/>
          <w:insideH w:val="none" w:color="FFFFFF" w:sz="0"/>
          <w:insideV w:val="none" w:color="FFFFFF" w:sz="0"/>
        </w:tblBorders>
      </w:tblPr>
      <w:tblGrid>
        <w:gridCol w:w="2462"/>
        <w:gridCol w:w="2462"/>
      </w:tblGrid>
      <w:tr>
        <w:trPr>
          <w:cantSplit/>
        </w:trPr>
        <w:tc>
          <w:tcPr>
            <w:tcW w:type="dxa" w:w="2419"/>
            <w:tcBorders>
              <w:top w:val="none" w:color="FFFFFF" w:sz="0"/>
              <w:left w:val="none" w:color="FFFFFF" w:sz="0"/>
              <w:bottom w:val="none" w:color="FFFFFF" w:sz="0"/>
              <w:right w:val="none" w:color="FFFFFF" w:sz="0"/>
            </w:tcBorders>
            <w:tcMar>
              <w:top w:type="dxa" w:w="0"/>
              <w:left w:type="dxa" w:w="30"/>
              <w:bottom w:type="dxa" w:w="0"/>
              <w:right w:type="dxa" w:w="30"/>
            </w:tcMar>
          </w:tcPr>
          <w:p>
            <w:pPr>
              <w:keepNext/>
              <w:spacing w:after="0" w:before="0"/>
              <w:jc w:val="center"/>
            </w:pPr>
            <w:r>
              <w:drawing>
                <wp:inline distT="0" distB="0" distL="0" distR="0">
                  <wp:extent cx="1533525" cy="971550"/>
                  <wp:effectExtent t="0" r="0" b="0" l="0"/>
                  <wp:docPr id="1" name="f9a" descr="f9a" title="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33525" cy="971550"/>
                          </a:xfrm>
                          <a:prstGeom prst="rect">
                            <a:avLst/>
                          </a:prstGeom>
                        </pic:spPr>
                      </pic:pic>
                    </a:graphicData>
                  </a:graphic>
                </wp:inline>
              </w:drawing>
            </w:r>
          </w:p>
          <w:p>
            <w:pPr>
              <w:spacing w:after="0" w:before="14"/>
              <w:jc w:val="center"/>
            </w:pPr>
            <w:r>
              <w:rPr>
                <w:rFonts w:ascii="Times New Roman" w:cs="Times New Roman" w:eastAsia="Times New Roman" w:hAnsi="Times New Roman"/>
                <w:sz w:val="16"/>
                <w:szCs w:val="16"/>
              </w:rPr>
              <w:t xml:space="preserve">(a)</w:t>
            </w:r>
          </w:p>
        </w:tc>
        <w:tc>
          <w:tcPr>
            <w:tcW w:type="dxa" w:w="2419"/>
            <w:tcBorders>
              <w:top w:val="none" w:color="FFFFFF" w:sz="0"/>
              <w:left w:val="none" w:color="FFFFFF" w:sz="0"/>
              <w:bottom w:val="none" w:color="FFFFFF" w:sz="0"/>
              <w:right w:val="none" w:color="FFFFFF" w:sz="0"/>
            </w:tcBorders>
            <w:tcMar>
              <w:top w:type="dxa" w:w="0"/>
              <w:left w:type="dxa" w:w="30"/>
              <w:bottom w:type="dxa" w:w="0"/>
              <w:right w:type="dxa" w:w="30"/>
            </w:tcMar>
          </w:tcPr>
          <w:p>
            <w:pPr>
              <w:keepNext/>
              <w:spacing w:after="0" w:before="0"/>
              <w:jc w:val="center"/>
            </w:pPr>
            <w:r>
              <w:drawing>
                <wp:inline distT="0" distB="0" distL="0" distR="0">
                  <wp:extent cx="1533525" cy="590550"/>
                  <wp:effectExtent t="0" r="0" b="0" l="0"/>
                  <wp:docPr id="1" name="f9b" descr="f9b" title="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33525" cy="590550"/>
                          </a:xfrm>
                          <a:prstGeom prst="rect">
                            <a:avLst/>
                          </a:prstGeom>
                        </pic:spPr>
                      </pic:pic>
                    </a:graphicData>
                  </a:graphic>
                </wp:inline>
              </w:drawing>
            </w:r>
          </w:p>
          <w:p>
            <w:pPr>
              <w:spacing w:after="0" w:before="14"/>
              <w:jc w:val="center"/>
            </w:pPr>
            <w:r>
              <w:rPr>
                <w:rFonts w:ascii="Times New Roman" w:cs="Times New Roman" w:eastAsia="Times New Roman" w:hAnsi="Times New Roman"/>
                <w:sz w:val="16"/>
                <w:szCs w:val="16"/>
              </w:rPr>
              <w:t xml:space="preserve">(b)</w:t>
            </w:r>
          </w:p>
        </w:tc>
      </w:tr>
    </w:tbl>
    <w:p>
      <w:pPr>
        <w:keepLines/>
        <w:spacing w:after="100" w:before="16"/>
        <w:jc w:val="both"/>
      </w:pPr>
      <w:r>
        <w:rPr>
          <w:rFonts w:ascii="Times New Roman" w:cs="Times New Roman" w:eastAsia="Times New Roman" w:hAnsi="Times New Roman"/>
          <w:sz w:val="16"/>
          <w:szCs w:val="16"/>
        </w:rPr>
        <w:t xml:space="preserve">Fig. 7. Initial rotor-position alignment: (a) timing diagram; (b) block diagram.</w:t>
      </w:r>
    </w:p>
    <w:p>
      <w:pPr>
        <w:pStyle w:val="Heading1"/>
        <w:numPr>
          <w:ilvl w:val="0"/>
          <w:numId w:val="2"/>
        </w:numPr>
      </w:pPr>
      <w:r>
        <w:rPr>
          <w:rFonts w:ascii="Times New Roman" w:cs="Times New Roman" w:eastAsia="Times New Roman" w:hAnsi="Times New Roman"/>
        </w:rPr>
        <w:t xml:space="preserve">Velocity Estimation</w:t>
      </w:r>
    </w:p>
    <w:p>
      <w:pPr>
        <w:pStyle w:val="Heading2"/>
        <w:numPr>
          <w:ilvl w:val="1"/>
          <w:numId w:val="2"/>
        </w:numPr>
      </w:pPr>
      <w:r>
        <w:rPr>
          <w:rFonts w:ascii="Times New Roman" w:cs="Times New Roman" w:eastAsia="Times New Roman" w:hAnsi="Times New Roman"/>
        </w:rPr>
        <w:t xml:space="preserve">Encoder Decoding and Velocity Calculation</w:t>
      </w:r>
    </w:p>
    <w:p>
      <w:pPr>
        <w:spacing w:after="0" w:before="0" w:line="240" w:lineRule="auto"/>
        <w:ind w:firstLine="288"/>
        <w:jc w:val="both"/>
      </w:pPr>
      <w:r>
        <w:rPr>
          <w:rFonts w:ascii="Times New Roman" w:cs="Times New Roman" w:eastAsia="Times New Roman" w:hAnsi="Times New Roman"/>
          <w:sz w:val="20"/>
          <w:szCs w:val="20"/>
        </w:rPr>
        <w:t xml:space="preserve">The incremental encoder outputs two quadrature channels; their relative phase gives the direction of rotation, and four-fold edge decoding gives a resolution four times the base pulse count. With a 512 pulse-per-revolution (PPR) encoder this gives 2048 counts per revolution (CPR). Velocity is obtained by counting pulses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over a fixed window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duration</w:t>
      </w:r>
      <w:r>
        <w:rPr>
          <w:rFonts w:ascii="Times New Roman" w:cs="Times New Roman" w:eastAsia="Times New Roman" w:hAnsi="Times New Roman"/>
          <w:sz w:val="20"/>
          <w:szCs w:val="20"/>
        </w:rPr>
        <w:t xml:space="preserve"> and converting to RPM,</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RPM=</m:t>
        </m:r>
        <m:f>
          <m:num>
            <m:sSub>
              <m:sSubPr/>
              <m:e>
                <m:r>
                  <m:t>N</m:t>
                </m:r>
              </m:e>
              <m:sub>
                <m:r>
                  <m:t>p</m:t>
                </m:r>
              </m:sub>
            </m:sSub>
            <m:r>
              <m:t>×60</m:t>
            </m:r>
          </m:num>
          <m:den>
            <m:sSub>
              <m:sSubPr/>
              <m:e>
                <m:r>
                  <m:t>T</m:t>
                </m:r>
              </m:e>
              <m:sub>
                <m:r>
                  <m:t>duration</m:t>
                </m:r>
              </m:sub>
            </m:sSub>
            <m:r>
              <m:t>×CPR</m:t>
            </m:r>
          </m:den>
        </m:f>
      </m:oMath>
      <w:r>
        <w:rPr>
          <w:rFonts w:ascii="Times New Roman" w:cs="Times New Roman" w:eastAsia="Times New Roman" w:hAnsi="Times New Roman"/>
          <w:sz w:val="20"/>
          <w:szCs w:val="20"/>
        </w:rPr>
        <w:t xml:space="preserve">	(18)</w:t>
      </w:r>
    </w:p>
    <w:p>
      <w:pPr>
        <w:spacing w:after="0" w:before="0" w:line="240" w:lineRule="auto"/>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duration</w:t>
      </w:r>
      <w:r>
        <w:rPr>
          <w:rFonts w:ascii="Times New Roman" w:cs="Times New Roman" w:eastAsia="Times New Roman" w:hAnsi="Times New Roman"/>
          <w:sz w:val="20"/>
          <w:szCs w:val="20"/>
        </w:rPr>
        <w:t xml:space="preserve"> = 10 µs in this design. As shown in Fig. 8, the rotation direction follows from the relative phase of the two quadrature channels: if channel B lags channel A the encoder is turning clockwise, otherwise counter-clockwise.</w:t>
      </w:r>
    </w:p>
    <w:p>
      <w:pPr>
        <w:keepNext/>
        <w:spacing w:after="16" w:before="60"/>
        <w:jc w:val="center"/>
      </w:pPr>
      <w:r>
        <w:drawing>
          <wp:inline distT="0" distB="0" distL="0" distR="0">
            <wp:extent cx="2381250" cy="1400175"/>
            <wp:effectExtent t="0" r="0" b="0" l="0"/>
            <wp:docPr id="1" name="f10" descr="f10" title="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1400175"/>
                    </a:xfrm>
                    <a:prstGeom prst="rect">
                      <a:avLst/>
                    </a:prstGeom>
                  </pic:spPr>
                </pic:pic>
              </a:graphicData>
            </a:graphic>
          </wp:inline>
        </w:drawing>
      </w:r>
    </w:p>
    <w:p>
      <w:pPr>
        <w:keepLines/>
        <w:spacing w:after="100" w:before="16"/>
        <w:jc w:val="center"/>
      </w:pPr>
      <w:r>
        <w:rPr>
          <w:rFonts w:ascii="Times New Roman" w:cs="Times New Roman" w:eastAsia="Times New Roman" w:hAnsi="Times New Roman"/>
          <w:sz w:val="16"/>
          <w:szCs w:val="16"/>
        </w:rPr>
        <w:t xml:space="preserve">Fig. 8. Incremental encoder and its quadrature output channels.</w:t>
      </w:r>
    </w:p>
    <w:p>
      <w:pPr>
        <w:pStyle w:val="Heading2"/>
        <w:numPr>
          <w:ilvl w:val="1"/>
          <w:numId w:val="2"/>
        </w:numPr>
      </w:pPr>
      <w:r>
        <w:rPr>
          <w:rFonts w:ascii="Times New Roman" w:cs="Times New Roman" w:eastAsia="Times New Roman" w:hAnsi="Times New Roman"/>
        </w:rPr>
        <w:t xml:space="preserve">Velocity Filter</w:t>
      </w:r>
    </w:p>
    <w:p>
      <w:pPr>
        <w:spacing w:after="0" w:before="0" w:line="240" w:lineRule="auto"/>
        <w:ind w:firstLine="288"/>
        <w:jc w:val="both"/>
      </w:pPr>
      <w:r>
        <w:rPr>
          <w:rFonts w:ascii="Times New Roman" w:cs="Times New Roman" w:eastAsia="Times New Roman" w:hAnsi="Times New Roman"/>
          <w:sz w:val="20"/>
          <w:szCs w:val="20"/>
        </w:rPr>
        <w:t xml:space="preserve">Because encoder pulses are discrete and, at low speed, infrequent, the raw δθ/δt estimate is noisy; feeding it directly to the speed loop causes torque ripple and audible noise. A moving-average filter over the last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samples removes the quantization noise at the cost of a small, fixed phase lag; too long a window trades this lag for slower disturbance rejection.</w:t>
      </w:r>
    </w:p>
    <w:p>
      <w:pPr>
        <w:pStyle w:val="Heading1"/>
        <w:numPr>
          <w:ilvl w:val="0"/>
          <w:numId w:val="2"/>
        </w:numPr>
      </w:pPr>
      <w:r>
        <w:rPr>
          <w:rFonts w:ascii="Times New Roman" w:cs="Times New Roman" w:eastAsia="Times New Roman" w:hAnsi="Times New Roman"/>
        </w:rPr>
        <w:t xml:space="preserve">Fixed-Point Scaling</w:t>
      </w:r>
    </w:p>
    <w:p>
      <w:pPr>
        <w:pStyle w:val="Heading2"/>
        <w:numPr>
          <w:ilvl w:val="1"/>
          <w:numId w:val="2"/>
        </w:numPr>
      </w:pPr>
      <w:r>
        <w:rPr>
          <w:rFonts w:ascii="Times New Roman" w:cs="Times New Roman" w:eastAsia="Times New Roman" w:hAnsi="Times New Roman"/>
        </w:rPr>
        <w:t xml:space="preserve">ADC Resolution</w:t>
      </w:r>
    </w:p>
    <w:p>
      <w:pPr>
        <w:spacing w:after="0" w:before="0" w:line="240" w:lineRule="auto"/>
        <w:ind w:firstLine="288"/>
        <w:jc w:val="both"/>
      </w:pPr>
      <w:r>
        <w:rPr>
          <w:rFonts w:ascii="Times New Roman" w:cs="Times New Roman" w:eastAsia="Times New Roman" w:hAnsi="Times New Roman"/>
          <w:sz w:val="20"/>
          <w:szCs w:val="20"/>
        </w:rPr>
        <w:t xml:space="preserve">The FPGA board has an 8-channel, 14-bit ADC with a ±10 V (20 V dynamic) range, giving a resolution</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Δ=</m:t>
        </m:r>
        <m:f>
          <m:num>
            <m:r>
              <m:t>20 V</m:t>
            </m:r>
          </m:num>
          <m:den>
            <m:sSup>
              <m:sSupPr/>
              <m:e>
                <m:r>
                  <m:t>2</m:t>
                </m:r>
              </m:e>
              <m:sup>
                <m:r>
                  <m:t>14</m:t>
                </m:r>
              </m:sup>
            </m:sSup>
          </m:den>
        </m:f>
        <m:r>
          <m:t>≈1.22 mV</m:t>
        </m:r>
      </m:oMath>
      <w:r>
        <w:rPr>
          <w:rFonts w:ascii="Times New Roman" w:cs="Times New Roman" w:eastAsia="Times New Roman" w:hAnsi="Times New Roman"/>
          <w:sz w:val="20"/>
          <w:szCs w:val="20"/>
        </w:rPr>
        <w:t xml:space="preserve">	(19)</w:t>
      </w:r>
    </w:p>
    <w:p>
      <w:pPr>
        <w:spacing w:after="0" w:before="0" w:line="240" w:lineRule="auto"/>
        <w:jc w:val="both"/>
      </w:pPr>
      <w:r>
        <w:rPr>
          <w:rFonts w:ascii="Times New Roman" w:cs="Times New Roman" w:eastAsia="Times New Roman" w:hAnsi="Times New Roman"/>
          <w:sz w:val="20"/>
          <w:szCs w:val="20"/>
        </w:rPr>
        <w:t xml:space="preserve">Scaled by 2</w:t>
      </w:r>
      <w:r>
        <w:rPr>
          <w:rFonts w:ascii="Times New Roman" w:cs="Times New Roman" w:eastAsia="Times New Roman" w:hAnsi="Times New Roman"/>
          <w:sz w:val="20"/>
          <w:szCs w:val="20"/>
          <w:vertAlign w:val="superscript"/>
        </w:rPr>
        <w:t xml:space="preserve">16</w:t>
      </w:r>
      <w:r>
        <w:rPr>
          <w:rFonts w:ascii="Times New Roman" w:cs="Times New Roman" w:eastAsia="Times New Roman" w:hAnsi="Times New Roman"/>
          <w:sz w:val="20"/>
          <w:szCs w:val="20"/>
        </w:rPr>
        <w:t xml:space="preserve"> for the sfix32_En16 fixed-point format used downstream, this gives an integer gain of 79 (Fig. 9).</w:t>
      </w:r>
    </w:p>
    <w:p>
      <w:pPr>
        <w:keepNext/>
        <w:spacing w:after="16" w:before="60"/>
        <w:jc w:val="center"/>
      </w:pPr>
      <w:r>
        <w:drawing>
          <wp:inline distT="0" distB="0" distL="0" distR="0">
            <wp:extent cx="2743200" cy="704850"/>
            <wp:effectExtent t="0" r="0" b="0" l="0"/>
            <wp:docPr id="1" name="f11" descr="f11" title="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704850"/>
                    </a:xfrm>
                    <a:prstGeom prst="rect">
                      <a:avLst/>
                    </a:prstGeom>
                  </pic:spPr>
                </pic:pic>
              </a:graphicData>
            </a:graphic>
          </wp:inline>
        </w:drawing>
      </w:r>
    </w:p>
    <w:p>
      <w:pPr>
        <w:keepLines/>
        <w:spacing w:after="100" w:before="16"/>
        <w:jc w:val="center"/>
      </w:pPr>
      <w:r>
        <w:rPr>
          <w:rFonts w:ascii="Times New Roman" w:cs="Times New Roman" w:eastAsia="Times New Roman" w:hAnsi="Times New Roman"/>
          <w:sz w:val="16"/>
          <w:szCs w:val="16"/>
        </w:rPr>
        <w:t xml:space="preserve">Fig. 9. ADC scaling block.</w:t>
      </w:r>
    </w:p>
    <w:p>
      <w:pPr>
        <w:pStyle w:val="Heading2"/>
        <w:numPr>
          <w:ilvl w:val="1"/>
          <w:numId w:val="2"/>
        </w:numPr>
      </w:pPr>
      <w:r>
        <w:rPr>
          <w:rFonts w:ascii="Times New Roman" w:cs="Times New Roman" w:eastAsia="Times New Roman" w:hAnsi="Times New Roman"/>
        </w:rPr>
        <w:t xml:space="preserve">Mechanical-to-Electrical Angle Scaling</w:t>
      </w:r>
    </w:p>
    <w:p>
      <w:pPr>
        <w:spacing w:after="0" w:before="0" w:line="240" w:lineRule="auto"/>
        <w:ind w:firstLine="288"/>
        <w:jc w:val="both"/>
      </w:pPr>
      <w:r>
        <w:rPr>
          <w:rFonts w:ascii="Times New Roman" w:cs="Times New Roman" w:eastAsia="Times New Roman" w:hAnsi="Times New Roman"/>
          <w:sz w:val="20"/>
          <w:szCs w:val="20"/>
        </w:rPr>
        <w:t xml:space="preserve">For a motor with P pole pairs, the electrical angle completes P cycles per mechanical revolution,</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θ</m:t>
            </m:r>
          </m:e>
          <m:sub>
            <m:r>
              <m:t>e</m:t>
            </m:r>
          </m:sub>
        </m:sSub>
        <m:r>
          <m:t>=P</m:t>
        </m:r>
        <m:sSub>
          <m:sSubPr/>
          <m:e>
            <m:r>
              <m:t>θ</m:t>
            </m:r>
          </m:e>
          <m:sub>
            <m:r>
              <m:t>m</m:t>
            </m:r>
          </m:sub>
        </m:sSub>
      </m:oMath>
      <w:r>
        <w:rPr>
          <w:rFonts w:ascii="Times New Roman" w:cs="Times New Roman" w:eastAsia="Times New Roman" w:hAnsi="Times New Roman"/>
          <w:sz w:val="20"/>
          <w:szCs w:val="20"/>
        </w:rPr>
        <w:t xml:space="preserve">	(20)</w:t>
      </w:r>
    </w:p>
    <w:p>
      <w:pPr>
        <w:spacing w:after="0" w:before="0" w:line="240" w:lineRule="auto"/>
        <w:jc w:val="both"/>
      </w:pPr>
      <w:r>
        <w:rPr>
          <w:rFonts w:ascii="Times New Roman" w:cs="Times New Roman" w:eastAsia="Times New Roman" w:hAnsi="Times New Roman"/>
          <w:sz w:val="20"/>
          <w:szCs w:val="20"/>
        </w:rPr>
        <w:t xml:space="preserve">The encoder gives 2048 counts per mechanical revolution; one electrical revolution (2π) is represented in the controller as 5145 counts, from the same ADC-derived scale factor, so</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K=</m:t>
        </m:r>
        <m:f>
          <m:num>
            <m:r>
              <m:t>5145</m:t>
            </m:r>
          </m:num>
          <m:den>
            <m:r>
              <m:t>2048</m:t>
            </m:r>
          </m:den>
        </m:f>
        <m:r>
          <m:t>≈2.512</m:t>
        </m:r>
      </m:oMath>
      <w:r>
        <w:rPr>
          <w:rFonts w:ascii="Times New Roman" w:cs="Times New Roman" w:eastAsia="Times New Roman" w:hAnsi="Times New Roman"/>
          <w:sz w:val="20"/>
          <w:szCs w:val="20"/>
        </w:rPr>
        <w:t xml:space="preserve">	(21)</w:t>
      </w:r>
    </w:p>
    <w:p>
      <w:pPr>
        <w:spacing w:after="0" w:before="0" w:line="240" w:lineRule="auto"/>
        <w:jc w:val="both"/>
      </w:pPr>
      <w:r>
        <w:rPr>
          <w:rFonts w:ascii="Times New Roman" w:cs="Times New Roman" w:eastAsia="Times New Roman" w:hAnsi="Times New Roman"/>
          <w:sz w:val="20"/>
          <w:szCs w:val="20"/>
        </w:rPr>
        <w:t xml:space="preserve">converts between the two representations (Fig. 10). The current sensor (20 mV/A) and the encoder count are scaled by the same ADC- and angle-derived factors to recover amperes and the electrical angle, respectively.</w:t>
      </w:r>
    </w:p>
    <w:p>
      <w:pPr>
        <w:keepNext/>
        <w:spacing w:after="16" w:before="60"/>
        <w:jc w:val="center"/>
      </w:pPr>
      <w:r>
        <w:drawing>
          <wp:inline distT="0" distB="0" distL="0" distR="0">
            <wp:extent cx="2743200" cy="1704975"/>
            <wp:effectExtent t="0" r="0" b="0" l="0"/>
            <wp:docPr id="1" name="f12" descr="f12" title="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1704975"/>
                    </a:xfrm>
                    <a:prstGeom prst="rect">
                      <a:avLst/>
                    </a:prstGeom>
                  </pic:spPr>
                </pic:pic>
              </a:graphicData>
            </a:graphic>
          </wp:inline>
        </w:drawing>
      </w:r>
    </w:p>
    <w:p>
      <w:pPr>
        <w:keepLines/>
        <w:spacing w:after="100" w:before="16"/>
        <w:jc w:val="both"/>
      </w:pPr>
      <w:r>
        <w:rPr>
          <w:rFonts w:ascii="Times New Roman" w:cs="Times New Roman" w:eastAsia="Times New Roman" w:hAnsi="Times New Roman"/>
          <w:sz w:val="16"/>
          <w:szCs w:val="16"/>
        </w:rPr>
        <w:t xml:space="preserve">Fig. 10. Relationship between mechanical angle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vertAlign w:val="subscript"/>
        </w:rPr>
        <w:t xml:space="preserve">m</w:t>
      </w:r>
      <w:r>
        <w:rPr>
          <w:rFonts w:ascii="Times New Roman" w:cs="Times New Roman" w:eastAsia="Times New Roman" w:hAnsi="Times New Roman"/>
          <w:sz w:val="16"/>
          <w:szCs w:val="16"/>
        </w:rPr>
        <w:t xml:space="preserve"> and electrical angle </w:t>
      </w:r>
      <w:r>
        <w:rPr>
          <w:rFonts w:ascii="Times New Roman" w:cs="Times New Roman" w:eastAsia="Times New Roman" w:hAnsi="Times New Roman"/>
          <w:i/>
          <w:iCs/>
          <w:sz w:val="16"/>
          <w:szCs w:val="16"/>
        </w:rPr>
        <w:t xml:space="preserve">θ</w:t>
      </w:r>
      <w:r>
        <w:rPr>
          <w:rFonts w:ascii="Times New Roman" w:cs="Times New Roman" w:eastAsia="Times New Roman" w:hAnsi="Times New Roman"/>
          <w:sz w:val="16"/>
          <w:szCs w:val="16"/>
          <w:vertAlign w:val="subscript"/>
        </w:rPr>
        <w:t xml:space="preserve">e</w:t>
      </w:r>
      <w:r>
        <w:rPr>
          <w:rFonts w:ascii="Times New Roman" w:cs="Times New Roman" w:eastAsia="Times New Roman" w:hAnsi="Times New Roman"/>
          <w:sz w:val="16"/>
          <w:szCs w:val="16"/>
        </w:rPr>
        <w:t xml:space="preserve"> for two pole pairs.</w:t>
      </w:r>
    </w:p>
    <w:p>
      <w:pPr>
        <w:pStyle w:val="Heading2"/>
        <w:numPr>
          <w:ilvl w:val="1"/>
          <w:numId w:val="2"/>
        </w:numPr>
      </w:pPr>
      <w:r>
        <w:rPr>
          <w:rFonts w:ascii="Times New Roman" w:cs="Times New Roman" w:eastAsia="Times New Roman" w:hAnsi="Times New Roman"/>
        </w:rPr>
        <w:t xml:space="preserve">Voltage-to-PWM Scaling</w:t>
      </w:r>
    </w:p>
    <w:p>
      <w:pPr>
        <w:spacing w:after="0" w:before="0" w:line="240" w:lineRule="auto"/>
        <w:ind w:firstLine="288"/>
        <w:jc w:val="both"/>
      </w:pPr>
      <w:r>
        <w:rPr>
          <w:rFonts w:ascii="Times New Roman" w:cs="Times New Roman" w:eastAsia="Times New Roman" w:hAnsi="Times New Roman"/>
          <w:sz w:val="20"/>
          <w:szCs w:val="20"/>
        </w:rPr>
        <w:t xml:space="preserve">The linear-modulation limit of the SVM output is</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V</m:t>
            </m:r>
          </m:e>
          <m:sub>
            <m:r>
              <m:t>lim</m:t>
            </m:r>
          </m:sub>
        </m:sSub>
        <m:r>
          <m:t>=</m:t>
        </m:r>
        <m:f>
          <m:num>
            <m:r>
              <m:t>2</m:t>
            </m:r>
          </m:num>
          <m:den>
            <m:r>
              <m:t>3</m:t>
            </m:r>
          </m:den>
        </m:f>
        <m:sSub>
          <m:sSubPr/>
          <m:e>
            <m:r>
              <m:t>V</m:t>
            </m:r>
          </m:e>
          <m:sub>
            <m:r>
              <m:t>dc</m:t>
            </m:r>
          </m:sub>
        </m:sSub>
        <m:func>
          <m:funcPr/>
          <m:fName>
            <m:r>
              <m:t>cos</m:t>
            </m:r>
          </m:fName>
          <m:e>
            <m:d>
              <m:dPr/>
              <m:e>
                <m:f>
                  <m:num>
                    <m:r>
                      <m:t>π</m:t>
                    </m:r>
                  </m:num>
                  <m:den>
                    <m:r>
                      <m:t>6</m:t>
                    </m:r>
                  </m:den>
                </m:f>
              </m:e>
            </m:d>
          </m:e>
        </m:func>
        <m:r>
          <m:t>=</m:t>
        </m:r>
        <m:f>
          <m:num>
            <m:sSub>
              <m:sSubPr/>
              <m:e>
                <m:r>
                  <m:t>V</m:t>
                </m:r>
              </m:e>
              <m:sub>
                <m:r>
                  <m:t>dc</m:t>
                </m:r>
              </m:sub>
            </m:sSub>
          </m:num>
          <m:den>
            <m:rad>
              <m:radPr>
                <m:degHide m:val="1"/>
              </m:radPr>
              <m:deg/>
              <m:e>
                <m:r>
                  <m:t>3</m:t>
                </m:r>
              </m:e>
            </m:rad>
          </m:den>
        </m:f>
      </m:oMath>
      <w:r>
        <w:rPr>
          <w:rFonts w:ascii="Times New Roman" w:cs="Times New Roman" w:eastAsia="Times New Roman" w:hAnsi="Times New Roman"/>
          <w:sz w:val="20"/>
          <w:szCs w:val="20"/>
        </w:rPr>
        <w:t xml:space="preserve">	(22)</w:t>
      </w:r>
    </w:p>
    <w:p>
      <w:pPr>
        <w:spacing w:after="0" w:before="0" w:line="240" w:lineRule="auto"/>
        <w:jc w:val="both"/>
      </w:pPr>
      <w:r>
        <w:rPr>
          <w:rFonts w:ascii="Times New Roman" w:cs="Times New Roman" w:eastAsia="Times New Roman" w:hAnsi="Times New Roman"/>
          <w:sz w:val="20"/>
          <w:szCs w:val="20"/>
        </w:rPr>
        <w:t xml:space="preserve">giving ±45.068 V, so the PWM count scale is</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K=</m:t>
        </m:r>
        <m:f>
          <m:num>
            <m:r>
              <m:t>3200</m:t>
            </m:r>
          </m:num>
          <m:den>
            <m:r>
              <m:t>45.068</m:t>
            </m:r>
          </m:den>
        </m:f>
        <m:r>
          <m:t>≈71</m:t>
        </m:r>
      </m:oMath>
      <w:r>
        <w:rPr>
          <w:rFonts w:ascii="Times New Roman" w:cs="Times New Roman" w:eastAsia="Times New Roman" w:hAnsi="Times New Roman"/>
          <w:sz w:val="20"/>
          <w:szCs w:val="20"/>
        </w:rPr>
        <w:t xml:space="preserve">	(23)</w:t>
      </w:r>
    </w:p>
    <w:p>
      <w:pPr>
        <w:spacing w:after="0" w:before="0" w:line="240" w:lineRule="auto"/>
        <w:jc w:val="both"/>
      </w:pPr>
      <w:r>
        <w:rPr>
          <w:rFonts w:ascii="Times New Roman" w:cs="Times New Roman" w:eastAsia="Times New Roman" w:hAnsi="Times New Roman"/>
          <w:sz w:val="20"/>
          <w:szCs w:val="20"/>
        </w:rPr>
        <w:t xml:space="preserve">The SVM output spans ±3200, and a 3200 bias gives a duty count of 0–6400 (100 % duty at 6400), with a 1 µs dead band applied at the 10 kHz switching frequency, as verified by the open-loop PWM simulation of Fig. 11.</w:t>
      </w:r>
    </w:p>
    <w:p>
      <w:pPr>
        <w:keepNext/>
        <w:spacing w:after="16" w:before="60"/>
        <w:jc w:val="center"/>
      </w:pPr>
      <w:r>
        <w:drawing>
          <wp:inline distT="0" distB="0" distL="0" distR="0">
            <wp:extent cx="2838450" cy="1304925"/>
            <wp:effectExtent t="0" r="0" b="0" l="0"/>
            <wp:docPr id="1" name="f17" descr="f17" title="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38450" cy="1304925"/>
                    </a:xfrm>
                    <a:prstGeom prst="rect">
                      <a:avLst/>
                    </a:prstGeom>
                  </pic:spPr>
                </pic:pic>
              </a:graphicData>
            </a:graphic>
          </wp:inline>
        </w:drawing>
      </w:r>
    </w:p>
    <w:p>
      <w:pPr>
        <w:keepLines/>
        <w:spacing w:after="100" w:before="16"/>
        <w:jc w:val="both"/>
      </w:pPr>
      <w:r>
        <w:rPr>
          <w:rFonts w:ascii="Times New Roman" w:cs="Times New Roman" w:eastAsia="Times New Roman" w:hAnsi="Times New Roman"/>
          <w:sz w:val="16"/>
          <w:szCs w:val="16"/>
        </w:rPr>
        <w:t xml:space="preserve">Fig. 11. Simulated open-loop FOC PWM outputs with a 1 µs dead band.</w:t>
      </w:r>
    </w:p>
    <w:p>
      <w:pPr>
        <w:pStyle w:val="Heading1"/>
        <w:numPr>
          <w:ilvl w:val="0"/>
          <w:numId w:val="2"/>
        </w:numPr>
      </w:pPr>
      <w:r>
        <w:rPr>
          <w:rFonts w:ascii="Times New Roman" w:cs="Times New Roman" w:eastAsia="Times New Roman" w:hAnsi="Times New Roman"/>
        </w:rPr>
        <w:t xml:space="preserve">BLDC Motor Electrical Model</w:t>
      </w:r>
    </w:p>
    <w:p>
      <w:pPr>
        <w:pStyle w:val="Heading2"/>
        <w:numPr>
          <w:ilvl w:val="1"/>
          <w:numId w:val="2"/>
        </w:numPr>
      </w:pPr>
      <w:r>
        <w:rPr>
          <w:rFonts w:ascii="Times New Roman" w:cs="Times New Roman" w:eastAsia="Times New Roman" w:hAnsi="Times New Roman"/>
        </w:rPr>
        <w:t xml:space="preserve">Three-Phase Voltage Equations</w:t>
      </w:r>
    </w:p>
    <w:p>
      <w:pPr>
        <w:spacing w:after="0" w:before="0" w:line="240" w:lineRule="auto"/>
        <w:ind w:firstLine="288"/>
        <w:jc w:val="both"/>
      </w:pPr>
      <w:r>
        <w:rPr>
          <w:rFonts w:ascii="Times New Roman" w:cs="Times New Roman" w:eastAsia="Times New Roman" w:hAnsi="Times New Roman"/>
          <w:sz w:val="20"/>
          <w:szCs w:val="20"/>
        </w:rPr>
        <w:t xml:space="preserve">Each stator phase couples to the other two through mutual inductance. With self-inductance L and mutual inductance M, the phase-a terminal voltage is</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v</m:t>
            </m:r>
          </m:e>
          <m:sub>
            <m:r>
              <m:t>a</m:t>
            </m:r>
          </m:sub>
        </m:sSub>
        <m:r>
          <m:t>=R</m:t>
        </m:r>
        <m:sSub>
          <m:sSubPr/>
          <m:e>
            <m:r>
              <m:t>i</m:t>
            </m:r>
          </m:e>
          <m:sub>
            <m:r>
              <m:t>a</m:t>
            </m:r>
          </m:sub>
        </m:sSub>
        <m:r>
          <m:t>+L</m:t>
        </m:r>
        <m:f>
          <m:num>
            <m:r>
              <m:t>d</m:t>
            </m:r>
            <m:sSub>
              <m:sSubPr/>
              <m:e>
                <m:r>
                  <m:t>i</m:t>
                </m:r>
              </m:e>
              <m:sub>
                <m:r>
                  <m:t>a</m:t>
                </m:r>
              </m:sub>
            </m:sSub>
          </m:num>
          <m:den>
            <m:r>
              <m:t>dt</m:t>
            </m:r>
          </m:den>
        </m:f>
        <m:r>
          <m:t>+M</m:t>
        </m:r>
        <m:f>
          <m:num>
            <m:r>
              <m:t>d</m:t>
            </m:r>
            <m:sSub>
              <m:sSubPr/>
              <m:e>
                <m:r>
                  <m:t>i</m:t>
                </m:r>
              </m:e>
              <m:sub>
                <m:r>
                  <m:t>b</m:t>
                </m:r>
              </m:sub>
            </m:sSub>
          </m:num>
          <m:den>
            <m:r>
              <m:t>dt</m:t>
            </m:r>
          </m:den>
        </m:f>
        <m:r>
          <m:t>+M</m:t>
        </m:r>
        <m:f>
          <m:num>
            <m:r>
              <m:t>d</m:t>
            </m:r>
            <m:sSub>
              <m:sSubPr/>
              <m:e>
                <m:r>
                  <m:t>i</m:t>
                </m:r>
              </m:e>
              <m:sub>
                <m:r>
                  <m:t>c</m:t>
                </m:r>
              </m:sub>
            </m:sSub>
          </m:num>
          <m:den>
            <m:r>
              <m:t>dt</m:t>
            </m:r>
          </m:den>
        </m:f>
        <m:r>
          <m:t>+</m:t>
        </m:r>
        <m:sSub>
          <m:sSubPr/>
          <m:e>
            <m:r>
              <m:t>e</m:t>
            </m:r>
          </m:e>
          <m:sub>
            <m:r>
              <m:t>a</m:t>
            </m:r>
          </m:sub>
        </m:sSub>
      </m:oMath>
      <w:r>
        <w:rPr>
          <w:rFonts w:ascii="Times New Roman" w:cs="Times New Roman" w:eastAsia="Times New Roman" w:hAnsi="Times New Roman"/>
          <w:sz w:val="20"/>
          <w:szCs w:val="20"/>
        </w:rPr>
        <w:t xml:space="preserve">	(24)</w:t>
      </w:r>
    </w:p>
    <w:p>
      <w:pPr>
        <w:spacing w:after="0" w:before="0" w:line="240" w:lineRule="auto"/>
        <w:jc w:val="both"/>
      </w:pPr>
      <w:r>
        <w:rPr>
          <w:rFonts w:ascii="Times New Roman" w:cs="Times New Roman" w:eastAsia="Times New Roman" w:hAnsi="Times New Roman"/>
          <w:sz w:val="20"/>
          <w:szCs w:val="20"/>
        </w:rPr>
        <w:t xml:space="preserve">with b and c identical by symmetry, and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the back-EMF induced by the rotating magnet flux. For a balanced, wye-connected winding the phase currents sum to zero at every instant,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=0, so </w:t>
      </w:r>
      <w:r>
        <w:rPr>
          <w:rFonts w:ascii="Times New Roman" w:cs="Times New Roman" w:eastAsia="Times New Roman" w:hAnsi="Times New Roman"/>
          <w:i/>
          <w:iCs/>
          <w:sz w:val="20"/>
          <w:szCs w:val="20"/>
        </w:rPr>
        <w:t xml:space="preserve">di</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di</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di</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dt</w:t>
      </w:r>
      <w:r>
        <w:rPr>
          <w:rFonts w:ascii="Times New Roman" w:cs="Times New Roman" w:eastAsia="Times New Roman" w:hAnsi="Times New Roman"/>
          <w:sz w:val="20"/>
          <w:szCs w:val="20"/>
        </w:rPr>
        <w:t xml:space="preserve"> and the mutual terms collapse into a single effective inductance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=L−M. Writing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simply as L, the three coupled phase equations reduce to the single-inductance equivalent circuit of Fig. 12,</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v</m:t>
            </m:r>
          </m:e>
          <m:sub>
            <m:r>
              <m:t>a</m:t>
            </m:r>
          </m:sub>
        </m:sSub>
        <m:r>
          <m:t>=R</m:t>
        </m:r>
        <m:sSub>
          <m:sSubPr/>
          <m:e>
            <m:r>
              <m:t>i</m:t>
            </m:r>
          </m:e>
          <m:sub>
            <m:r>
              <m:t>a</m:t>
            </m:r>
          </m:sub>
        </m:sSub>
        <m:r>
          <m:t>+L</m:t>
        </m:r>
        <m:f>
          <m:num>
            <m:r>
              <m:t>d</m:t>
            </m:r>
            <m:sSub>
              <m:sSubPr/>
              <m:e>
                <m:r>
                  <m:t>i</m:t>
                </m:r>
              </m:e>
              <m:sub>
                <m:r>
                  <m:t>a</m:t>
                </m:r>
              </m:sub>
            </m:sSub>
          </m:num>
          <m:den>
            <m:r>
              <m:t>dt</m:t>
            </m:r>
          </m:den>
        </m:f>
        <m:r>
          <m:t>+</m:t>
        </m:r>
        <m:sSub>
          <m:sSubPr/>
          <m:e>
            <m:r>
              <m:t>e</m:t>
            </m:r>
          </m:e>
          <m:sub>
            <m:r>
              <m:t>a</m:t>
            </m:r>
          </m:sub>
        </m:sSub>
      </m:oMath>
      <w:r>
        <w:rPr>
          <w:rFonts w:ascii="Times New Roman" w:cs="Times New Roman" w:eastAsia="Times New Roman" w:hAnsi="Times New Roman"/>
          <w:sz w:val="20"/>
          <w:szCs w:val="20"/>
        </w:rPr>
        <w:t xml:space="preserve">	(25)</w:t>
      </w:r>
    </w:p>
    <w:p>
      <w:pPr>
        <w:keepNext/>
        <w:spacing w:after="16" w:before="60"/>
        <w:jc w:val="center"/>
      </w:pPr>
      <w:r>
        <w:drawing>
          <wp:inline distT="0" distB="0" distL="0" distR="0">
            <wp:extent cx="3019425" cy="1419225"/>
            <wp:effectExtent t="0" r="0" b="0" l="0"/>
            <wp:docPr id="1" name="f_rl" descr="f_rl" title="f_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9425" cy="1419225"/>
                    </a:xfrm>
                    <a:prstGeom prst="rect">
                      <a:avLst/>
                    </a:prstGeom>
                  </pic:spPr>
                </pic:pic>
              </a:graphicData>
            </a:graphic>
          </wp:inline>
        </w:drawing>
      </w:r>
    </w:p>
    <w:p>
      <w:pPr>
        <w:keepLines/>
        <w:spacing w:after="100" w:before="16"/>
        <w:jc w:val="center"/>
      </w:pPr>
      <w:r>
        <w:rPr>
          <w:rFonts w:ascii="Times New Roman" w:cs="Times New Roman" w:eastAsia="Times New Roman" w:hAnsi="Times New Roman"/>
          <w:sz w:val="16"/>
          <w:szCs w:val="16"/>
        </w:rPr>
        <w:t xml:space="preserve">Fig. 12. Per-phase equivalent circuit of the motor winding.</w:t>
      </w:r>
    </w:p>
    <w:p>
      <w:pPr>
        <w:spacing w:after="0" w:before="0" w:line="240" w:lineRule="auto"/>
        <w:jc w:val="both"/>
      </w:pPr>
      <w:r>
        <w:rPr>
          <w:rFonts w:ascii="Times New Roman" w:cs="Times New Roman" w:eastAsia="Times New Roman" w:hAnsi="Times New Roman"/>
          <w:sz w:val="20"/>
          <w:szCs w:val="20"/>
        </w:rPr>
        <w:t xml:space="preserve">For a sinusoidally-wound machine the three back-EMFs are themselves sinusoidal functions of the rotor electrical angle,</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e</m:t>
            </m:r>
          </m:e>
          <m:sub>
            <m:r>
              <m:t>a</m:t>
            </m:r>
          </m:sub>
        </m:sSub>
        <m:r>
          <m:t>=</m:t>
        </m:r>
        <m:sSub>
          <m:sSubPr/>
          <m:e>
            <m:r>
              <m:t>λ</m:t>
            </m:r>
          </m:e>
          <m:sub>
            <m:r>
              <m:t>m</m:t>
            </m:r>
          </m:sub>
        </m:sSub>
        <m:sSub>
          <m:sSubPr/>
          <m:e>
            <m:r>
              <m:t>ω</m:t>
            </m:r>
          </m:e>
          <m:sub>
            <m:r>
              <m:t>e</m:t>
            </m:r>
          </m:sub>
        </m:sSub>
        <m:func>
          <m:funcPr/>
          <m:fName>
            <m:r>
              <m:t>sin</m:t>
            </m:r>
          </m:fName>
          <m:e>
            <m:sSub>
              <m:sSubPr/>
              <m:e>
                <m:r>
                  <m:t>θ</m:t>
                </m:r>
              </m:e>
              <m:sub>
                <m:r>
                  <m:t>e</m:t>
                </m:r>
              </m:sub>
            </m:sSub>
          </m:e>
        </m:func>
      </m:oMath>
      <w:r>
        <w:rPr>
          <w:rFonts w:ascii="Times New Roman" w:cs="Times New Roman" w:eastAsia="Times New Roman" w:hAnsi="Times New Roman"/>
          <w:sz w:val="20"/>
          <w:szCs w:val="20"/>
        </w:rPr>
        <w:t xml:space="preserve">	(26)</w:t>
      </w:r>
    </w:p>
    <w:p>
      <w:pPr>
        <w:spacing w:after="0" w:before="0" w:line="240" w:lineRule="auto"/>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identical but phase-shifted by ∓120°,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Pω</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the electrical angular speed and </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the permanent-magnet flux linkage.</w:t>
      </w:r>
    </w:p>
    <w:p>
      <w:pPr>
        <w:pStyle w:val="Heading2"/>
        <w:numPr>
          <w:ilvl w:val="1"/>
          <w:numId w:val="2"/>
        </w:numPr>
      </w:pPr>
      <w:r>
        <w:rPr>
          <w:rFonts w:ascii="Times New Roman" w:cs="Times New Roman" w:eastAsia="Times New Roman" w:hAnsi="Times New Roman"/>
        </w:rPr>
        <w:t xml:space="preserve">Stationary- and Rotating-Frame Equations</w:t>
      </w:r>
    </w:p>
    <w:p>
      <w:pPr>
        <w:spacing w:after="0" w:before="0" w:line="240" w:lineRule="auto"/>
        <w:ind w:firstLine="288"/>
        <w:jc w:val="both"/>
      </w:pPr>
      <w:r>
        <w:rPr>
          <w:rFonts w:ascii="Times New Roman" w:cs="Times New Roman" w:eastAsia="Times New Roman" w:hAnsi="Times New Roman"/>
          <w:sz w:val="20"/>
          <w:szCs w:val="20"/>
        </w:rPr>
        <w:t xml:space="preserve">Applying the Clarke transform of Section III-A to the phase equations gives the equivalent stationary-frame (α, β) equations,</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v</m:t>
            </m:r>
          </m:e>
          <m:sub>
            <m:r>
              <m:t>α,β</m:t>
            </m:r>
          </m:sub>
        </m:sSub>
        <m:r>
          <m:t>=R</m:t>
        </m:r>
        <m:sSub>
          <m:sSubPr/>
          <m:e>
            <m:r>
              <m:t>i</m:t>
            </m:r>
          </m:e>
          <m:sub>
            <m:r>
              <m:t>α,β</m:t>
            </m:r>
          </m:sub>
        </m:sSub>
        <m:r>
          <m:t>+L</m:t>
        </m:r>
        <m:f>
          <m:num>
            <m:r>
              <m:t>d</m:t>
            </m:r>
            <m:sSub>
              <m:sSubPr/>
              <m:e>
                <m:r>
                  <m:t>i</m:t>
                </m:r>
              </m:e>
              <m:sub>
                <m:r>
                  <m:t>α,β</m:t>
                </m:r>
              </m:sub>
            </m:sSub>
          </m:num>
          <m:den>
            <m:r>
              <m:t>dt</m:t>
            </m:r>
          </m:den>
        </m:f>
        <m:r>
          <m:t>+</m:t>
        </m:r>
        <m:sSub>
          <m:sSubPr/>
          <m:e>
            <m:r>
              <m:t>e</m:t>
            </m:r>
          </m:e>
          <m:sub>
            <m:r>
              <m:t>α,β</m:t>
            </m:r>
          </m:sub>
        </m:sSub>
      </m:oMath>
      <w:r>
        <w:rPr>
          <w:rFonts w:ascii="Times New Roman" w:cs="Times New Roman" w:eastAsia="Times New Roman" w:hAnsi="Times New Roman"/>
          <w:sz w:val="20"/>
          <w:szCs w:val="20"/>
        </w:rPr>
        <w:t xml:space="preserve">	(27)</w:t>
      </w:r>
    </w:p>
    <w:p>
      <w:pPr>
        <w:spacing w:after="0" w:before="0" w:line="240" w:lineRule="auto"/>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α,β</w:t>
      </w:r>
      <w:r>
        <w:rPr>
          <w:rFonts w:ascii="Times New Roman" w:cs="Times New Roman" w:eastAsia="Times New Roman" w:hAnsi="Times New Roman"/>
          <w:sz w:val="20"/>
          <w:szCs w:val="20"/>
        </w:rPr>
        <w:t xml:space="preserve"> obtained by transforming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vertAlign w:val="subscript"/>
        </w:rPr>
        <w:t xml:space="preserve">a,b,c</w:t>
      </w:r>
      <w:r>
        <w:rPr>
          <w:rFonts w:ascii="Times New Roman" w:cs="Times New Roman" w:eastAsia="Times New Roman" w:hAnsi="Times New Roman"/>
          <w:sz w:val="20"/>
          <w:szCs w:val="20"/>
        </w:rPr>
        <w:t xml:space="preserve"> in the same way. Defining the d- and q-axis flux linkages</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λ</m:t>
            </m:r>
          </m:e>
          <m:sub>
            <m:r>
              <m:t>d</m:t>
            </m:r>
          </m:sub>
        </m:sSub>
        <m:r>
          <m:t>=</m:t>
        </m:r>
        <m:sSub>
          <m:sSubPr/>
          <m:e>
            <m:r>
              <m:t>L</m:t>
            </m:r>
          </m:e>
          <m:sub>
            <m:r>
              <m:t>d</m:t>
            </m:r>
          </m:sub>
        </m:sSub>
        <m:sSub>
          <m:sSubPr/>
          <m:e>
            <m:r>
              <m:t>i</m:t>
            </m:r>
          </m:e>
          <m:sub>
            <m:r>
              <m:t>d</m:t>
            </m:r>
          </m:sub>
        </m:sSub>
        <m:r>
          <m:t>+</m:t>
        </m:r>
        <m:sSub>
          <m:sSubPr/>
          <m:e>
            <m:r>
              <m:t>λ</m:t>
            </m:r>
          </m:e>
          <m:sub>
            <m:r>
              <m:t>m</m:t>
            </m:r>
          </m:sub>
        </m:sSub>
      </m:oMath>
      <w:r>
        <w:rPr>
          <w:rFonts w:ascii="Times New Roman" w:cs="Times New Roman" w:eastAsia="Times New Roman" w:hAnsi="Times New Roman"/>
          <w:sz w:val="20"/>
          <w:szCs w:val="20"/>
        </w:rPr>
        <w:t xml:space="preserve">	(28)</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λ</m:t>
            </m:r>
          </m:e>
          <m:sub>
            <m:r>
              <m:t>q</m:t>
            </m:r>
          </m:sub>
        </m:sSub>
        <m:r>
          <m:t>=</m:t>
        </m:r>
        <m:sSub>
          <m:sSubPr/>
          <m:e>
            <m:r>
              <m:t>L</m:t>
            </m:r>
          </m:e>
          <m:sub>
            <m:r>
              <m:t>q</m:t>
            </m:r>
          </m:sub>
        </m:sSub>
        <m:sSub>
          <m:sSubPr/>
          <m:e>
            <m:r>
              <m:t>i</m:t>
            </m:r>
          </m:e>
          <m:sub>
            <m:r>
              <m:t>q</m:t>
            </m:r>
          </m:sub>
        </m:sSub>
      </m:oMath>
      <w:r>
        <w:rPr>
          <w:rFonts w:ascii="Times New Roman" w:cs="Times New Roman" w:eastAsia="Times New Roman" w:hAnsi="Times New Roman"/>
          <w:sz w:val="20"/>
          <w:szCs w:val="20"/>
        </w:rPr>
        <w:t xml:space="preserve">	(29)</w:t>
      </w:r>
    </w:p>
    <w:p>
      <w:pPr>
        <w:spacing w:after="0" w:before="0" w:line="240" w:lineRule="auto"/>
        <w:jc w:val="both"/>
      </w:pPr>
      <w:r>
        <w:rPr>
          <w:rFonts w:ascii="Times New Roman" w:cs="Times New Roman" w:eastAsia="Times New Roman" w:hAnsi="Times New Roman"/>
          <w:sz w:val="20"/>
          <w:szCs w:val="20"/>
        </w:rPr>
        <w:t xml:space="preserve">the Park transform of Section III-B turns the stationary-frame equations into the standard flux-linkage form of the rotating-frame voltage equations,</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v</m:t>
            </m:r>
          </m:e>
          <m:sub>
            <m:r>
              <m:t>d</m:t>
            </m:r>
          </m:sub>
        </m:sSub>
        <m:r>
          <m:t>=R</m:t>
        </m:r>
        <m:sSub>
          <m:sSubPr/>
          <m:e>
            <m:r>
              <m:t>i</m:t>
            </m:r>
          </m:e>
          <m:sub>
            <m:r>
              <m:t>d</m:t>
            </m:r>
          </m:sub>
        </m:sSub>
        <m:r>
          <m:t>+</m:t>
        </m:r>
        <m:f>
          <m:num>
            <m:r>
              <m:t>d</m:t>
            </m:r>
            <m:sSub>
              <m:sSubPr/>
              <m:e>
                <m:r>
                  <m:t>λ</m:t>
                </m:r>
              </m:e>
              <m:sub>
                <m:r>
                  <m:t>d</m:t>
                </m:r>
              </m:sub>
            </m:sSub>
          </m:num>
          <m:den>
            <m:r>
              <m:t>dt</m:t>
            </m:r>
          </m:den>
        </m:f>
        <m:r>
          <m:t>−</m:t>
        </m:r>
        <m:sSub>
          <m:sSubPr/>
          <m:e>
            <m:r>
              <m:t>ω</m:t>
            </m:r>
          </m:e>
          <m:sub>
            <m:r>
              <m:t>e</m:t>
            </m:r>
          </m:sub>
        </m:sSub>
        <m:sSub>
          <m:sSubPr/>
          <m:e>
            <m:r>
              <m:t>λ</m:t>
            </m:r>
          </m:e>
          <m:sub>
            <m:r>
              <m:t>q</m:t>
            </m:r>
          </m:sub>
        </m:sSub>
      </m:oMath>
      <w:r>
        <w:rPr>
          <w:rFonts w:ascii="Times New Roman" w:cs="Times New Roman" w:eastAsia="Times New Roman" w:hAnsi="Times New Roman"/>
          <w:sz w:val="20"/>
          <w:szCs w:val="20"/>
        </w:rPr>
        <w:t xml:space="preserve">	(30)</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v</m:t>
            </m:r>
          </m:e>
          <m:sub>
            <m:r>
              <m:t>q</m:t>
            </m:r>
          </m:sub>
        </m:sSub>
        <m:r>
          <m:t>=R</m:t>
        </m:r>
        <m:sSub>
          <m:sSubPr/>
          <m:e>
            <m:r>
              <m:t>i</m:t>
            </m:r>
          </m:e>
          <m:sub>
            <m:r>
              <m:t>q</m:t>
            </m:r>
          </m:sub>
        </m:sSub>
        <m:r>
          <m:t>+</m:t>
        </m:r>
        <m:f>
          <m:num>
            <m:r>
              <m:t>d</m:t>
            </m:r>
            <m:sSub>
              <m:sSubPr/>
              <m:e>
                <m:r>
                  <m:t>λ</m:t>
                </m:r>
              </m:e>
              <m:sub>
                <m:r>
                  <m:t>q</m:t>
                </m:r>
              </m:sub>
            </m:sSub>
          </m:num>
          <m:den>
            <m:r>
              <m:t>dt</m:t>
            </m:r>
          </m:den>
        </m:f>
        <m:r>
          <m:t>+</m:t>
        </m:r>
        <m:sSub>
          <m:sSubPr/>
          <m:e>
            <m:r>
              <m:t>ω</m:t>
            </m:r>
          </m:e>
          <m:sub>
            <m:r>
              <m:t>e</m:t>
            </m:r>
          </m:sub>
        </m:sSub>
        <m:sSub>
          <m:sSubPr/>
          <m:e>
            <m:r>
              <m:t>λ</m:t>
            </m:r>
          </m:e>
          <m:sub>
            <m:r>
              <m:t>d</m:t>
            </m:r>
          </m:sub>
        </m:sSub>
      </m:oMath>
      <w:r>
        <w:rPr>
          <w:rFonts w:ascii="Times New Roman" w:cs="Times New Roman" w:eastAsia="Times New Roman" w:hAnsi="Times New Roman"/>
          <w:sz w:val="20"/>
          <w:szCs w:val="20"/>
        </w:rPr>
        <w:t xml:space="preserve">	(31)</w:t>
      </w:r>
    </w:p>
    <w:p>
      <w:pPr>
        <w:spacing w:after="0" w:before="0" w:line="240" w:lineRule="auto"/>
        <w:jc w:val="both"/>
      </w:pPr>
      <w:r>
        <w:rPr>
          <w:rFonts w:ascii="Times New Roman" w:cs="Times New Roman" w:eastAsia="Times New Roman" w:hAnsi="Times New Roman"/>
          <w:sz w:val="20"/>
          <w:szCs w:val="20"/>
        </w:rPr>
        <w:t xml:space="preserve">For the constant inductances assumed here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q</w:t>
      </w:r>
      <w:r>
        <w:rPr>
          <w:rFonts w:ascii="Times New Roman" w:cs="Times New Roman" w:eastAsia="Times New Roman" w:hAnsi="Times New Roman"/>
          <w:sz w:val="20"/>
          <w:szCs w:val="20"/>
        </w:rPr>
        <w:t xml:space="preserve">=L), </w:t>
      </w:r>
      <w:r>
        <w:rPr>
          <w:rFonts w:ascii="Times New Roman" w:cs="Times New Roman" w:eastAsia="Times New Roman" w:hAnsi="Times New Roman"/>
          <w:i/>
          <w:iCs/>
          <w:sz w:val="20"/>
          <w:szCs w:val="20"/>
        </w:rPr>
        <w:t xml:space="preserve">dλ</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dt</w:t>
      </w:r>
      <w:r>
        <w:rPr>
          <w:rFonts w:ascii="Times New Roman" w:cs="Times New Roman" w:eastAsia="Times New Roman" w:hAnsi="Times New Roman"/>
          <w:sz w:val="20"/>
          <w:szCs w:val="20"/>
        </w:rPr>
        <w:t xml:space="preserve">=L</w:t>
      </w:r>
      <w:r>
        <w:rPr>
          <w:rFonts w:ascii="Times New Roman" w:cs="Times New Roman" w:eastAsia="Times New Roman" w:hAnsi="Times New Roman"/>
          <w:i/>
          <w:iCs/>
          <w:sz w:val="20"/>
          <w:szCs w:val="20"/>
        </w:rPr>
        <w:t xml:space="preserve">di</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dλ</w:t>
      </w:r>
      <w:r>
        <w:rPr>
          <w:rFonts w:ascii="Times New Roman" w:cs="Times New Roman" w:eastAsia="Times New Roman" w:hAnsi="Times New Roman"/>
          <w:sz w:val="20"/>
          <w:szCs w:val="20"/>
          <w:vertAlign w:val="subscript"/>
        </w:rPr>
        <w:t xml:space="preserve">q</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dt</w:t>
      </w:r>
      <w:r>
        <w:rPr>
          <w:rFonts w:ascii="Times New Roman" w:cs="Times New Roman" w:eastAsia="Times New Roman" w:hAnsi="Times New Roman"/>
          <w:sz w:val="20"/>
          <w:szCs w:val="20"/>
        </w:rPr>
        <w:t xml:space="preserve">=L</w:t>
      </w:r>
      <w:r>
        <w:rPr>
          <w:rFonts w:ascii="Times New Roman" w:cs="Times New Roman" w:eastAsia="Times New Roman" w:hAnsi="Times New Roman"/>
          <w:i/>
          <w:iCs/>
          <w:sz w:val="20"/>
          <w:szCs w:val="20"/>
        </w:rPr>
        <w:t xml:space="preserve">di</w:t>
      </w:r>
      <w:r>
        <w:rPr>
          <w:rFonts w:ascii="Times New Roman" w:cs="Times New Roman" w:eastAsia="Times New Roman" w:hAnsi="Times New Roman"/>
          <w:sz w:val="20"/>
          <w:szCs w:val="20"/>
          <w:vertAlign w:val="subscript"/>
        </w:rPr>
        <w:t xml:space="preserve">q</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dt</w:t>
      </w:r>
      <w:r>
        <w:rPr>
          <w:rFonts w:ascii="Times New Roman" w:cs="Times New Roman" w:eastAsia="Times New Roman" w:hAnsi="Times New Roman"/>
          <w:sz w:val="20"/>
          <w:szCs w:val="20"/>
        </w:rPr>
        <w:t xml:space="preserve">, so the flux-linkage equations reduce to the current-based form used by the current-loop design,</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v</m:t>
            </m:r>
          </m:e>
          <m:sub>
            <m:r>
              <m:t>d</m:t>
            </m:r>
          </m:sub>
        </m:sSub>
        <m:r>
          <m:t>=R</m:t>
        </m:r>
        <m:sSub>
          <m:sSubPr/>
          <m:e>
            <m:r>
              <m:t>i</m:t>
            </m:r>
          </m:e>
          <m:sub>
            <m:r>
              <m:t>d</m:t>
            </m:r>
          </m:sub>
        </m:sSub>
        <m:r>
          <m:t>+L</m:t>
        </m:r>
        <m:f>
          <m:num>
            <m:r>
              <m:t>d</m:t>
            </m:r>
            <m:sSub>
              <m:sSubPr/>
              <m:e>
                <m:r>
                  <m:t>i</m:t>
                </m:r>
              </m:e>
              <m:sub>
                <m:r>
                  <m:t>d</m:t>
                </m:r>
              </m:sub>
            </m:sSub>
          </m:num>
          <m:den>
            <m:r>
              <m:t>dt</m:t>
            </m:r>
          </m:den>
        </m:f>
        <m:r>
          <m:t>−</m:t>
        </m:r>
        <m:sSub>
          <m:sSubPr/>
          <m:e>
            <m:r>
              <m:t>ω</m:t>
            </m:r>
          </m:e>
          <m:sub>
            <m:r>
              <m:t>e</m:t>
            </m:r>
          </m:sub>
        </m:sSub>
        <m:r>
          <m:t>L</m:t>
        </m:r>
        <m:sSub>
          <m:sSubPr/>
          <m:e>
            <m:r>
              <m:t>i</m:t>
            </m:r>
          </m:e>
          <m:sub>
            <m:r>
              <m:t>q</m:t>
            </m:r>
          </m:sub>
        </m:sSub>
      </m:oMath>
      <w:r>
        <w:rPr>
          <w:rFonts w:ascii="Times New Roman" w:cs="Times New Roman" w:eastAsia="Times New Roman" w:hAnsi="Times New Roman"/>
          <w:sz w:val="20"/>
          <w:szCs w:val="20"/>
        </w:rPr>
        <w:t xml:space="preserve">	(32)</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v</m:t>
            </m:r>
          </m:e>
          <m:sub>
            <m:r>
              <m:t>q</m:t>
            </m:r>
          </m:sub>
        </m:sSub>
        <m:r>
          <m:t>=R</m:t>
        </m:r>
        <m:sSub>
          <m:sSubPr/>
          <m:e>
            <m:r>
              <m:t>i</m:t>
            </m:r>
          </m:e>
          <m:sub>
            <m:r>
              <m:t>q</m:t>
            </m:r>
          </m:sub>
        </m:sSub>
        <m:r>
          <m:t>+L</m:t>
        </m:r>
        <m:f>
          <m:num>
            <m:r>
              <m:t>d</m:t>
            </m:r>
            <m:sSub>
              <m:sSubPr/>
              <m:e>
                <m:r>
                  <m:t>i</m:t>
                </m:r>
              </m:e>
              <m:sub>
                <m:r>
                  <m:t>q</m:t>
                </m:r>
              </m:sub>
            </m:sSub>
          </m:num>
          <m:den>
            <m:r>
              <m:t>dt</m:t>
            </m:r>
          </m:den>
        </m:f>
        <m:r>
          <m:t>+</m:t>
        </m:r>
        <m:sSub>
          <m:sSubPr/>
          <m:e>
            <m:r>
              <m:t>ω</m:t>
            </m:r>
          </m:e>
          <m:sub>
            <m:r>
              <m:t>e</m:t>
            </m:r>
          </m:sub>
        </m:sSub>
        <m:r>
          <m:t>L</m:t>
        </m:r>
        <m:sSub>
          <m:sSubPr/>
          <m:e>
            <m:r>
              <m:t>i</m:t>
            </m:r>
          </m:e>
          <m:sub>
            <m:r>
              <m:t>d</m:t>
            </m:r>
          </m:sub>
        </m:sSub>
        <m:r>
          <m:t>+</m:t>
        </m:r>
        <m:sSub>
          <m:sSubPr/>
          <m:e>
            <m:r>
              <m:t>ω</m:t>
            </m:r>
          </m:e>
          <m:sub>
            <m:r>
              <m:t>e</m:t>
            </m:r>
          </m:sub>
        </m:sSub>
        <m:sSub>
          <m:sSubPr/>
          <m:e>
            <m:r>
              <m:t>λ</m:t>
            </m:r>
          </m:e>
          <m:sub>
            <m:r>
              <m:t>m</m:t>
            </m:r>
          </m:sub>
        </m:sSub>
      </m:oMath>
      <w:r>
        <w:rPr>
          <w:rFonts w:ascii="Times New Roman" w:cs="Times New Roman" w:eastAsia="Times New Roman" w:hAnsi="Times New Roman"/>
          <w:sz w:val="20"/>
          <w:szCs w:val="20"/>
        </w:rPr>
        <w:t xml:space="preserve">	(33)</w:t>
      </w:r>
    </w:p>
    <w:p>
      <w:pPr>
        <w:spacing w:after="0" w:before="0" w:line="240" w:lineRule="auto"/>
        <w:jc w:val="both"/>
      </w:pPr>
      <w:r>
        <w:rPr>
          <w:rFonts w:ascii="Times New Roman" w:cs="Times New Roman" w:eastAsia="Times New Roman" w:hAnsi="Times New Roman"/>
          <w:sz w:val="20"/>
          <w:szCs w:val="20"/>
        </w:rPr>
        <w:t xml:space="preserve">The cross-coupling terms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i/>
          <w:iCs/>
          <w:sz w:val="20"/>
          <w:szCs w:val="20"/>
        </w:rPr>
        <w:t xml:space="preserve">Li</w:t>
      </w:r>
      <w:r>
        <w:rPr>
          <w:rFonts w:ascii="Times New Roman" w:cs="Times New Roman" w:eastAsia="Times New Roman" w:hAnsi="Times New Roman"/>
          <w:sz w:val="20"/>
          <w:szCs w:val="20"/>
          <w:vertAlign w:val="subscript"/>
        </w:rPr>
        <w:t xml:space="preserve">q</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i/>
          <w:iCs/>
          <w:sz w:val="20"/>
          <w:szCs w:val="20"/>
        </w:rPr>
        <w:t xml:space="preserve">Li</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 together with the speed-proportional back-EMF </w:t>
      </w:r>
      <w:r>
        <w:rPr>
          <w:rFonts w:ascii="Times New Roman" w:cs="Times New Roman" w:eastAsia="Times New Roman" w:hAnsi="Times New Roman"/>
          <w:i/>
          <w:iCs/>
          <w:sz w:val="20"/>
          <w:szCs w:val="20"/>
        </w:rPr>
        <w:t xml:space="preserve">ω</w:t>
      </w:r>
      <w:r>
        <w:rPr>
          <w:rFonts w:ascii="Times New Roman" w:cs="Times New Roman" w:eastAsia="Times New Roman" w:hAnsi="Times New Roman"/>
          <w:sz w:val="20"/>
          <w:szCs w:val="20"/>
          <w:vertAlign w:val="subscript"/>
        </w:rPr>
        <w:t xml:space="preserve">e</w:t>
      </w:r>
      <w:r>
        <w:rPr>
          <w:rFonts w:ascii="Times New Roman" w:cs="Times New Roman" w:eastAsia="Times New Roman" w:hAnsi="Times New Roman"/>
          <w:i/>
          <w:iCs/>
          <w:sz w:val="20"/>
          <w:szCs w:val="20"/>
        </w:rPr>
        <w:t xml:space="preserve">λ</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are exactly the disturbances that the d- and q-axis current loops of Fig. 1 must reject at every sample.</w:t>
      </w:r>
    </w:p>
    <w:p>
      <w:pPr>
        <w:pStyle w:val="Heading2"/>
        <w:numPr>
          <w:ilvl w:val="1"/>
          <w:numId w:val="2"/>
        </w:numPr>
      </w:pPr>
      <w:r>
        <w:rPr>
          <w:rFonts w:ascii="Times New Roman" w:cs="Times New Roman" w:eastAsia="Times New Roman" w:hAnsi="Times New Roman"/>
        </w:rPr>
        <w:t xml:space="preserve">Electromagnetic Torque</w:t>
      </w:r>
    </w:p>
    <w:p>
      <w:pPr>
        <w:spacing w:after="0" w:before="0" w:line="240" w:lineRule="auto"/>
        <w:ind w:firstLine="288"/>
        <w:jc w:val="both"/>
      </w:pPr>
      <w:r>
        <w:rPr>
          <w:rFonts w:ascii="Times New Roman" w:cs="Times New Roman" w:eastAsia="Times New Roman" w:hAnsi="Times New Roman"/>
          <w:sz w:val="20"/>
          <w:szCs w:val="20"/>
        </w:rPr>
        <w:t xml:space="preserve">In terms of the flux linkages, the electromagnetic torque of a P-pole-pair machine is</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T</m:t>
            </m:r>
          </m:e>
          <m:sub>
            <m:r>
              <m:t>e</m:t>
            </m:r>
          </m:sub>
        </m:sSub>
        <m:r>
          <m:t>=</m:t>
        </m:r>
        <m:f>
          <m:num>
            <m:r>
              <m:t>3</m:t>
            </m:r>
          </m:num>
          <m:den>
            <m:r>
              <m:t>2</m:t>
            </m:r>
          </m:den>
        </m:f>
        <m:f>
          <m:num>
            <m:r>
              <m:t>P</m:t>
            </m:r>
          </m:num>
          <m:den>
            <m:r>
              <m:t>2</m:t>
            </m:r>
          </m:den>
        </m:f>
        <m:d>
          <m:dPr/>
          <m:e>
            <m:sSub>
              <m:sSubPr/>
              <m:e>
                <m:r>
                  <m:t>λ</m:t>
                </m:r>
              </m:e>
              <m:sub>
                <m:r>
                  <m:t>d</m:t>
                </m:r>
              </m:sub>
            </m:sSub>
            <m:sSub>
              <m:sSubPr/>
              <m:e>
                <m:r>
                  <m:t>i</m:t>
                </m:r>
              </m:e>
              <m:sub>
                <m:r>
                  <m:t>q</m:t>
                </m:r>
              </m:sub>
            </m:sSub>
            <m:r>
              <m:t>−</m:t>
            </m:r>
            <m:sSub>
              <m:sSubPr/>
              <m:e>
                <m:r>
                  <m:t>λ</m:t>
                </m:r>
              </m:e>
              <m:sub>
                <m:r>
                  <m:t>q</m:t>
                </m:r>
              </m:sub>
            </m:sSub>
            <m:sSub>
              <m:sSubPr/>
              <m:e>
                <m:r>
                  <m:t>i</m:t>
                </m:r>
              </m:e>
              <m:sub>
                <m:r>
                  <m:t>d</m:t>
                </m:r>
              </m:sub>
            </m:sSub>
          </m:e>
        </m:d>
      </m:oMath>
      <w:r>
        <w:rPr>
          <w:rFonts w:ascii="Times New Roman" w:cs="Times New Roman" w:eastAsia="Times New Roman" w:hAnsi="Times New Roman"/>
          <w:sz w:val="20"/>
          <w:szCs w:val="20"/>
        </w:rPr>
        <w:t xml:space="preserve">	(34)</w:t>
      </w:r>
    </w:p>
    <w:p>
      <w:pPr>
        <w:spacing w:after="0" w:before="0" w:line="240" w:lineRule="auto"/>
        <w:jc w:val="both"/>
      </w:pPr>
      <w:r>
        <w:rPr>
          <w:rFonts w:ascii="Times New Roman" w:cs="Times New Roman" w:eastAsia="Times New Roman" w:hAnsi="Times New Roman"/>
          <w:sz w:val="20"/>
          <w:szCs w:val="20"/>
        </w:rPr>
        <w:t xml:space="preserve">Substituting (28)–(29) gives the equivalent current-based expression,</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T</m:t>
            </m:r>
          </m:e>
          <m:sub>
            <m:r>
              <m:t>e</m:t>
            </m:r>
          </m:sub>
        </m:sSub>
        <m:r>
          <m:t>=</m:t>
        </m:r>
        <m:f>
          <m:num>
            <m:r>
              <m:t>3</m:t>
            </m:r>
          </m:num>
          <m:den>
            <m:r>
              <m:t>2</m:t>
            </m:r>
          </m:den>
        </m:f>
        <m:f>
          <m:num>
            <m:r>
              <m:t>P</m:t>
            </m:r>
          </m:num>
          <m:den>
            <m:r>
              <m:t>2</m:t>
            </m:r>
          </m:den>
        </m:f>
        <m:d>
          <m:dPr/>
          <m:e>
            <m:sSub>
              <m:sSubPr/>
              <m:e>
                <m:r>
                  <m:t>λ</m:t>
                </m:r>
              </m:e>
              <m:sub>
                <m:r>
                  <m:t>m</m:t>
                </m:r>
              </m:sub>
            </m:sSub>
            <m:sSub>
              <m:sSubPr/>
              <m:e>
                <m:r>
                  <m:t>i</m:t>
                </m:r>
              </m:e>
              <m:sub>
                <m:r>
                  <m:t>q</m:t>
                </m:r>
              </m:sub>
            </m:sSub>
            <m:r>
              <m:t>+</m:t>
            </m:r>
            <m:d>
              <m:dPr/>
              <m:e>
                <m:sSub>
                  <m:sSubPr/>
                  <m:e>
                    <m:r>
                      <m:t>L</m:t>
                    </m:r>
                  </m:e>
                  <m:sub>
                    <m:r>
                      <m:t>d</m:t>
                    </m:r>
                  </m:sub>
                </m:sSub>
                <m:r>
                  <m:t>−</m:t>
                </m:r>
                <m:sSub>
                  <m:sSubPr/>
                  <m:e>
                    <m:r>
                      <m:t>L</m:t>
                    </m:r>
                  </m:e>
                  <m:sub>
                    <m:r>
                      <m:t>q</m:t>
                    </m:r>
                  </m:sub>
                </m:sSub>
              </m:e>
            </m:d>
            <m:sSub>
              <m:sSubPr/>
              <m:e>
                <m:r>
                  <m:t>i</m:t>
                </m:r>
              </m:e>
              <m:sub>
                <m:r>
                  <m:t>d</m:t>
                </m:r>
              </m:sub>
            </m:sSub>
            <m:sSub>
              <m:sSubPr/>
              <m:e>
                <m:r>
                  <m:t>i</m:t>
                </m:r>
              </m:e>
              <m:sub>
                <m:r>
                  <m:t>q</m:t>
                </m:r>
              </m:sub>
            </m:sSub>
          </m:e>
        </m:d>
      </m:oMath>
      <w:r>
        <w:rPr>
          <w:rFonts w:ascii="Times New Roman" w:cs="Times New Roman" w:eastAsia="Times New Roman" w:hAnsi="Times New Roman"/>
          <w:sz w:val="20"/>
          <w:szCs w:val="20"/>
        </w:rPr>
        <w:t xml:space="preserve">	(35)</w:t>
      </w:r>
    </w:p>
    <w:p>
      <w:pPr>
        <w:spacing w:after="0" w:before="0" w:line="240" w:lineRule="auto"/>
        <w:jc w:val="both"/>
      </w:pPr>
      <w:r>
        <w:rPr>
          <w:rFonts w:ascii="Times New Roman" w:cs="Times New Roman" w:eastAsia="Times New Roman" w:hAnsi="Times New Roman"/>
          <w:sz w:val="20"/>
          <w:szCs w:val="20"/>
        </w:rPr>
        <w:t xml:space="preserve">For the surface-mounted rotor assumed here,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vertAlign w:val="subscript"/>
        </w:rPr>
        <w:t xml:space="preserve">q</w:t>
      </w:r>
      <w:r>
        <w:rPr>
          <w:rFonts w:ascii="Times New Roman" w:cs="Times New Roman" w:eastAsia="Times New Roman" w:hAnsi="Times New Roman"/>
          <w:sz w:val="20"/>
          <w:szCs w:val="20"/>
        </w:rPr>
        <w:t xml:space="preserve">=L, and this reduces to</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sSub>
          <m:sSubPr/>
          <m:e>
            <m:r>
              <m:t>T</m:t>
            </m:r>
          </m:e>
          <m:sub>
            <m:r>
              <m:t>e</m:t>
            </m:r>
          </m:sub>
        </m:sSub>
        <m:r>
          <m:t>=</m:t>
        </m:r>
        <m:f>
          <m:num>
            <m:r>
              <m:t>3</m:t>
            </m:r>
          </m:num>
          <m:den>
            <m:r>
              <m:t>2</m:t>
            </m:r>
          </m:den>
        </m:f>
        <m:f>
          <m:num>
            <m:r>
              <m:t>P</m:t>
            </m:r>
          </m:num>
          <m:den>
            <m:r>
              <m:t>2</m:t>
            </m:r>
          </m:den>
        </m:f>
        <m:sSub>
          <m:sSubPr/>
          <m:e>
            <m:r>
              <m:t>λ</m:t>
            </m:r>
          </m:e>
          <m:sub>
            <m:r>
              <m:t>m</m:t>
            </m:r>
          </m:sub>
        </m:sSub>
        <m:sSub>
          <m:sSubPr/>
          <m:e>
            <m:r>
              <m:t>i</m:t>
            </m:r>
          </m:e>
          <m:sub>
            <m:r>
              <m:t>q</m:t>
            </m:r>
          </m:sub>
        </m:sSub>
      </m:oMath>
      <w:r>
        <w:rPr>
          <w:rFonts w:ascii="Times New Roman" w:cs="Times New Roman" w:eastAsia="Times New Roman" w:hAnsi="Times New Roman"/>
          <w:sz w:val="20"/>
          <w:szCs w:val="20"/>
        </w:rPr>
        <w:t xml:space="preserve">	(36)</w:t>
      </w:r>
    </w:p>
    <w:p>
      <w:pPr>
        <w:spacing w:after="0" w:before="0" w:line="240" w:lineRule="auto"/>
        <w:jc w:val="both"/>
      </w:pPr>
      <w:r>
        <w:rPr>
          <w:rFonts w:ascii="Times New Roman" w:cs="Times New Roman" w:eastAsia="Times New Roman" w:hAnsi="Times New Roman"/>
          <w:sz w:val="20"/>
          <w:szCs w:val="20"/>
        </w:rPr>
        <w:t xml:space="preserve">so torque is proportional to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q</w:t>
      </w:r>
      <w:r>
        <w:rPr>
          <w:rFonts w:ascii="Times New Roman" w:cs="Times New Roman" w:eastAsia="Times New Roman" w:hAnsi="Times New Roman"/>
          <w:sz w:val="20"/>
          <w:szCs w:val="20"/>
        </w:rPr>
        <w:t xml:space="preserve"> alone — the reason the controller holds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vertAlign w:val="subscript"/>
        </w:rPr>
        <w:t xml:space="preserve">d</w:t>
      </w:r>
      <w:r>
        <w:rPr>
          <w:rFonts w:ascii="Times New Roman" w:cs="Times New Roman" w:eastAsia="Times New Roman" w:hAnsi="Times New Roman"/>
          <w:sz w:val="20"/>
          <w:szCs w:val="20"/>
        </w:rPr>
        <w:t xml:space="preserve"> at zero and regulates speed and position entirely through the q-axis current command.</w:t>
      </w:r>
    </w:p>
    <w:p>
      <w:pPr>
        <w:pStyle w:val="Heading2"/>
        <w:numPr>
          <w:ilvl w:val="1"/>
          <w:numId w:val="2"/>
        </w:numPr>
      </w:pPr>
      <w:r>
        <w:rPr>
          <w:rFonts w:ascii="Times New Roman" w:cs="Times New Roman" w:eastAsia="Times New Roman" w:hAnsi="Times New Roman"/>
        </w:rPr>
        <w:t xml:space="preserve">Mechanical Dynamics</w:t>
      </w:r>
    </w:p>
    <w:p>
      <w:pPr>
        <w:spacing w:after="0" w:before="0" w:line="240" w:lineRule="auto"/>
        <w:ind w:firstLine="288"/>
        <w:jc w:val="both"/>
      </w:pPr>
      <w:r>
        <w:rPr>
          <w:rFonts w:ascii="Times New Roman" w:cs="Times New Roman" w:eastAsia="Times New Roman" w:hAnsi="Times New Roman"/>
          <w:sz w:val="20"/>
          <w:szCs w:val="20"/>
        </w:rPr>
        <w:t xml:space="preserve">The electromagnetic torque drives the rotor inertia against load torque and friction,</w:t>
      </w:r>
    </w:p>
    <w:p>
      <w:pPr>
        <w:tabs>
          <w:tab w:val="center" w:pos="2520"/>
          <w:tab w:val="right" w:pos="5040"/>
        </w:tabs>
        <w:spacing w:after="50" w:before="50" w:line="240" w:lineRule="auto"/>
      </w:pPr>
      <w:r>
        <w:rPr>
          <w:rFonts w:ascii="Times New Roman" w:cs="Times New Roman" w:eastAsia="Times New Roman" w:hAnsi="Times New Roman"/>
          <w:sz w:val="20"/>
          <w:szCs w:val="20"/>
        </w:rPr>
        <w:t xml:space="preserve">	</w:t>
      </w:r>
      <m:oMath>
        <m:r>
          <m:t>J</m:t>
        </m:r>
        <m:f>
          <m:num>
            <m:r>
              <m:t>d</m:t>
            </m:r>
            <m:sSub>
              <m:sSubPr/>
              <m:e>
                <m:r>
                  <m:t>ω</m:t>
                </m:r>
              </m:e>
              <m:sub>
                <m:r>
                  <m:t>m</m:t>
                </m:r>
              </m:sub>
            </m:sSub>
          </m:num>
          <m:den>
            <m:r>
              <m:t>dt</m:t>
            </m:r>
          </m:den>
        </m:f>
        <m:r>
          <m:t>=</m:t>
        </m:r>
        <m:sSub>
          <m:sSubPr/>
          <m:e>
            <m:r>
              <m:t>T</m:t>
            </m:r>
          </m:e>
          <m:sub>
            <m:r>
              <m:t>e</m:t>
            </m:r>
          </m:sub>
        </m:sSub>
        <m:r>
          <m:t>−</m:t>
        </m:r>
        <m:sSub>
          <m:sSubPr/>
          <m:e>
            <m:r>
              <m:t>T</m:t>
            </m:r>
          </m:e>
          <m:sub>
            <m:r>
              <m:t>L</m:t>
            </m:r>
          </m:sub>
        </m:sSub>
        <m:r>
          <m:t>−B</m:t>
        </m:r>
        <m:sSub>
          <m:sSubPr/>
          <m:e>
            <m:r>
              <m:t>ω</m:t>
            </m:r>
          </m:e>
          <m:sub>
            <m:r>
              <m:t>m</m:t>
            </m:r>
          </m:sub>
        </m:sSub>
      </m:oMath>
      <w:r>
        <w:rPr>
          <w:rFonts w:ascii="Times New Roman" w:cs="Times New Roman" w:eastAsia="Times New Roman" w:hAnsi="Times New Roman"/>
          <w:sz w:val="20"/>
          <w:szCs w:val="20"/>
        </w:rPr>
        <w:t xml:space="preserve">	(37)</w:t>
      </w:r>
    </w:p>
    <w:p>
      <w:pPr>
        <w:spacing w:after="0" w:before="0" w:line="240" w:lineRule="auto"/>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L</w:t>
      </w:r>
      <w:r>
        <w:rPr>
          <w:rFonts w:ascii="Times New Roman" w:cs="Times New Roman" w:eastAsia="Times New Roman" w:hAnsi="Times New Roman"/>
          <w:sz w:val="20"/>
          <w:szCs w:val="20"/>
        </w:rPr>
        <w:t xml:space="preserve"> is the load torque,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sz w:val="20"/>
          <w:szCs w:val="20"/>
        </w:rPr>
        <w:t xml:space="preserve"> the rotor inertia and </w:t>
      </w:r>
      <w:r>
        <w:rPr>
          <w:rFonts w:ascii="Times New Roman" w:cs="Times New Roman" w:eastAsia="Times New Roman" w:hAnsi="Times New Roman"/>
          <w:i/>
          <w:iCs/>
          <w:sz w:val="20"/>
          <w:szCs w:val="20"/>
        </w:rPr>
        <w:t xml:space="preserve">B</w:t>
      </w:r>
      <w:r>
        <w:rPr>
          <w:rFonts w:ascii="Times New Roman" w:cs="Times New Roman" w:eastAsia="Times New Roman" w:hAnsi="Times New Roman"/>
          <w:sz w:val="20"/>
          <w:szCs w:val="20"/>
        </w:rPr>
        <w:t xml:space="preserve"> the viscous-friction coefficient, closing the loop back to the velocity and position controllers of Section II.</w:t>
      </w:r>
    </w:p>
    <w:p>
      <w:pPr>
        <w:pStyle w:val="Heading1"/>
        <w:numPr>
          <w:ilvl w:val="0"/>
          <w:numId w:val="2"/>
        </w:numPr>
      </w:pPr>
      <w:r>
        <w:rPr>
          <w:rFonts w:ascii="Times New Roman" w:cs="Times New Roman" w:eastAsia="Times New Roman" w:hAnsi="Times New Roman"/>
        </w:rPr>
        <w:t xml:space="preserve">Results and Discussion</w:t>
      </w:r>
    </w:p>
    <w:p>
      <w:pPr>
        <w:pStyle w:val="Heading2"/>
        <w:numPr>
          <w:ilvl w:val="1"/>
          <w:numId w:val="2"/>
        </w:numPr>
      </w:pPr>
      <w:r>
        <w:rPr>
          <w:rFonts w:ascii="Times New Roman" w:cs="Times New Roman" w:eastAsia="Times New Roman" w:hAnsi="Times New Roman"/>
        </w:rPr>
        <w:t xml:space="preserve">Transform Verification</w:t>
      </w:r>
    </w:p>
    <w:p>
      <w:pPr>
        <w:spacing w:after="0" w:before="0" w:line="240" w:lineRule="auto"/>
        <w:ind w:firstLine="288"/>
        <w:jc w:val="both"/>
      </w:pPr>
      <w:r>
        <w:rPr>
          <w:rFonts w:ascii="Times New Roman" w:cs="Times New Roman" w:eastAsia="Times New Roman" w:hAnsi="Times New Roman"/>
          <w:sz w:val="20"/>
          <w:szCs w:val="20"/>
        </w:rPr>
        <w:t xml:space="preserve">Fig. 13 shows the full Clarke → Park → inverse Park → inverse Clarke chain: the reconstructed three-phase currents reproduce the original inputs, and the three phases sum to approximately zero, confirming that the forward and inverse transforms are consistent.</w:t>
      </w:r>
    </w:p>
    <w:p>
      <w:pPr>
        <w:keepNext/>
        <w:spacing w:after="16" w:before="60"/>
        <w:jc w:val="center"/>
      </w:pPr>
      <w:r>
        <w:drawing>
          <wp:inline distT="0" distB="0" distL="0" distR="0">
            <wp:extent cx="3105150" cy="1504950"/>
            <wp:effectExtent t="0" r="0" b="0" l="0"/>
            <wp:docPr id="1" name="f18b" descr="f18b" title="f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05150" cy="1504950"/>
                    </a:xfrm>
                    <a:prstGeom prst="rect">
                      <a:avLst/>
                    </a:prstGeom>
                  </pic:spPr>
                </pic:pic>
              </a:graphicData>
            </a:graphic>
          </wp:inline>
        </w:drawing>
      </w:r>
    </w:p>
    <w:p>
      <w:pPr>
        <w:keepLines/>
        <w:spacing w:after="100" w:before="16"/>
        <w:jc w:val="both"/>
      </w:pPr>
      <w:r>
        <w:rPr>
          <w:rFonts w:ascii="Times New Roman" w:cs="Times New Roman" w:eastAsia="Times New Roman" w:hAnsi="Times New Roman"/>
          <w:sz w:val="16"/>
          <w:szCs w:val="16"/>
        </w:rPr>
        <w:t xml:space="preserve">Fig. 13. Simulated Clarke–Park–inverse-Park–inverse-Clarke transform chain.</w:t>
      </w:r>
    </w:p>
    <w:p>
      <w:pPr>
        <w:pStyle w:val="Heading2"/>
        <w:numPr>
          <w:ilvl w:val="1"/>
          <w:numId w:val="2"/>
        </w:numPr>
      </w:pPr>
      <w:r>
        <w:rPr>
          <w:rFonts w:ascii="Times New Roman" w:cs="Times New Roman" w:eastAsia="Times New Roman" w:hAnsi="Times New Roman"/>
        </w:rPr>
        <w:t xml:space="preserve">Hardware Results</w:t>
      </w:r>
    </w:p>
    <w:p>
      <w:pPr>
        <w:spacing w:after="0" w:before="0" w:line="240" w:lineRule="auto"/>
        <w:ind w:firstLine="288"/>
        <w:jc w:val="both"/>
      </w:pPr>
      <w:r>
        <w:rPr>
          <w:rFonts w:ascii="Times New Roman" w:cs="Times New Roman" w:eastAsia="Times New Roman" w:hAnsi="Times New Roman"/>
          <w:sz w:val="20"/>
          <w:szCs w:val="20"/>
        </w:rPr>
        <w:t xml:space="preserve">The velocity loop (Fig. 14) tracks a step command with no visible overshoot. The position loop (Fig. 15) tracks repeated position steps, with the feedback closely following the command. Under an 80 N·m load (Fig. 16) the position and q-axis current loops remain stable through step and step-plus-sinusoid commands. Fig. 17 compares the phase currents at 80 N·m before and after loop tuning: the pre-tuning currents show visible chatter near the current-loop bandwidth, which tuning removes, giving smooth, sinusoidal phase currents. The 80 N·m step is representative of the intermittent, high-torque duty cycles demanded of real-time aerospace electromechanical actuators, for which this deterministic, FPGA-timed control loop is well suited.</w:t>
      </w:r>
      <w:r>
        <w:rPr>
          <w:rFonts w:ascii="Times New Roman" w:hAnsi="Times New Roman"/>
          <w:b w:val="0"/>
          <w:i w:val="0"/>
          <w:sz w:val="20"/>
        </w:rPr>
        <w:t xml:space="preserve"> These step responses are the standard way of characterizing servo-loop bandwidth and settling behavior, and the same test methodology applies directly to qualifying aerospace and defense actuators.</w:t>
      </w:r>
    </w:p>
    <w:p>
      <w:pPr>
        <w:keepNext/>
        <w:spacing w:after="16" w:before="60"/>
        <w:jc w:val="center"/>
      </w:pPr>
      <w:r>
        <w:drawing>
          <wp:inline distT="0" distB="0" distL="0" distR="0">
            <wp:extent cx="2743200" cy="2343150"/>
            <wp:effectExtent t="0" r="0" b="0" l="0"/>
            <wp:docPr id="1" name="f19" descr="f19" title="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2343150"/>
                    </a:xfrm>
                    <a:prstGeom prst="rect">
                      <a:avLst/>
                    </a:prstGeom>
                  </pic:spPr>
                </pic:pic>
              </a:graphicData>
            </a:graphic>
          </wp:inline>
        </w:drawing>
      </w:r>
    </w:p>
    <w:p>
      <w:pPr>
        <w:keepLines/>
        <w:spacing w:after="100" w:before="16"/>
        <w:jc w:val="both"/>
      </w:pPr>
      <w:r>
        <w:rPr>
          <w:rFonts w:ascii="Times New Roman" w:cs="Times New Roman" w:eastAsia="Times New Roman" w:hAnsi="Times New Roman"/>
          <w:sz w:val="16"/>
          <w:szCs w:val="16"/>
        </w:rPr>
        <w:t xml:space="preserve">Fig. 14. Velocity-loop step response (VEL CMD: command; VEL FB: feedback).</w:t>
      </w:r>
    </w:p>
    <w:p>
      <w:pPr>
        <w:keepNext/>
        <w:spacing w:after="16" w:before="60"/>
        <w:jc w:val="center"/>
      </w:pPr>
      <w:r>
        <w:drawing>
          <wp:inline distT="0" distB="0" distL="0" distR="0">
            <wp:extent cx="3019425" cy="1762125"/>
            <wp:effectExtent t="0" r="0" b="0" l="0"/>
            <wp:docPr id="1" name="f20b" descr="f20b" title="f2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19425" cy="1762125"/>
                    </a:xfrm>
                    <a:prstGeom prst="rect">
                      <a:avLst/>
                    </a:prstGeom>
                  </pic:spPr>
                </pic:pic>
              </a:graphicData>
            </a:graphic>
          </wp:inline>
        </w:drawing>
      </w:r>
    </w:p>
    <w:p>
      <w:pPr>
        <w:keepLines/>
        <w:spacing w:after="100" w:before="16"/>
        <w:jc w:val="both"/>
      </w:pPr>
      <w:r>
        <w:rPr>
          <w:rFonts w:ascii="Times New Roman" w:cs="Times New Roman" w:eastAsia="Times New Roman" w:hAnsi="Times New Roman"/>
          <w:sz w:val="16"/>
          <w:szCs w:val="16"/>
        </w:rPr>
        <w:t xml:space="preserve">Fig. 15. Position-loop response for repeated position steps (POS CMD: command; POS FBK: feedback).</w:t>
      </w:r>
    </w:p>
    <w:p>
      <w:pPr>
        <w:keepNext/>
        <w:spacing w:after="16" w:before="60"/>
        <w:jc w:val="center"/>
      </w:pPr>
      <w:r>
        <w:drawing>
          <wp:inline distT="0" distB="0" distL="0" distR="0">
            <wp:extent cx="3105150" cy="1819275"/>
            <wp:effectExtent t="0" r="0" b="0" l="0"/>
            <wp:docPr id="1" name="f22a" descr="f22a" title="f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05150" cy="1819275"/>
                    </a:xfrm>
                    <a:prstGeom prst="rect">
                      <a:avLst/>
                    </a:prstGeom>
                  </pic:spPr>
                </pic:pic>
              </a:graphicData>
            </a:graphic>
          </wp:inline>
        </w:drawing>
      </w:r>
    </w:p>
    <w:p>
      <w:pPr>
        <w:keepLines/>
        <w:spacing w:after="100" w:before="16"/>
        <w:jc w:val="both"/>
      </w:pPr>
      <w:r>
        <w:rPr>
          <w:rFonts w:ascii="Times New Roman" w:cs="Times New Roman" w:eastAsia="Times New Roman" w:hAnsi="Times New Roman"/>
          <w:sz w:val="16"/>
          <w:szCs w:val="16"/>
        </w:rPr>
        <w:t xml:space="preserve">Fig. 16. Position loop, phase currents and q-axis current loop under an 80 N·m load.</w:t>
      </w:r>
    </w:p>
    <w:tbl>
      <w:tblPr>
        <w:tblW w:type="dxa" w:w="4925"/>
        <w:jc w:val="center"/>
        <w:tblBorders>
          <w:top w:val="none" w:color="FFFFFF" w:sz="0"/>
          <w:left w:val="none" w:color="FFFFFF" w:sz="0"/>
          <w:bottom w:val="none" w:color="FFFFFF" w:sz="0"/>
          <w:right w:val="none" w:color="FFFFFF" w:sz="0"/>
          <w:insideH w:val="none" w:color="FFFFFF" w:sz="0"/>
          <w:insideV w:val="none" w:color="FFFFFF" w:sz="0"/>
        </w:tblBorders>
      </w:tblPr>
      <w:tblGrid>
        <w:gridCol w:w="2462"/>
        <w:gridCol w:w="2462"/>
      </w:tblGrid>
      <w:tr>
        <w:trPr>
          <w:cantSplit/>
        </w:trPr>
        <w:tc>
          <w:tcPr>
            <w:tcW w:type="dxa" w:w="2419"/>
            <w:tcBorders>
              <w:top w:val="none" w:color="FFFFFF" w:sz="0"/>
              <w:left w:val="none" w:color="FFFFFF" w:sz="0"/>
              <w:bottom w:val="none" w:color="FFFFFF" w:sz="0"/>
              <w:right w:val="none" w:color="FFFFFF" w:sz="0"/>
            </w:tcBorders>
            <w:tcMar>
              <w:top w:type="dxa" w:w="0"/>
              <w:left w:type="dxa" w:w="30"/>
              <w:bottom w:type="dxa" w:w="0"/>
              <w:right w:type="dxa" w:w="30"/>
            </w:tcMar>
          </w:tcPr>
          <w:p>
            <w:pPr>
              <w:keepNext/>
              <w:spacing w:after="0" w:before="0"/>
              <w:jc w:val="center"/>
            </w:pPr>
            <w:r>
              <w:drawing>
                <wp:inline distT="0" distB="0" distL="0" distR="0">
                  <wp:extent cx="1533525" cy="885825"/>
                  <wp:effectExtent t="0" r="0" b="0" l="0"/>
                  <wp:docPr id="1" name="f23a" descr="f23a" title="f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33525" cy="885825"/>
                          </a:xfrm>
                          <a:prstGeom prst="rect">
                            <a:avLst/>
                          </a:prstGeom>
                        </pic:spPr>
                      </pic:pic>
                    </a:graphicData>
                  </a:graphic>
                </wp:inline>
              </w:drawing>
            </w:r>
          </w:p>
          <w:p>
            <w:pPr>
              <w:spacing w:after="0" w:before="14"/>
              <w:jc w:val="center"/>
            </w:pPr>
            <w:r>
              <w:rPr>
                <w:rFonts w:ascii="Times New Roman" w:cs="Times New Roman" w:eastAsia="Times New Roman" w:hAnsi="Times New Roman"/>
                <w:sz w:val="16"/>
                <w:szCs w:val="16"/>
              </w:rPr>
              <w:t xml:space="preserve">(a)</w:t>
            </w:r>
          </w:p>
        </w:tc>
        <w:tc>
          <w:tcPr>
            <w:tcW w:type="dxa" w:w="2419"/>
            <w:tcBorders>
              <w:top w:val="none" w:color="FFFFFF" w:sz="0"/>
              <w:left w:val="none" w:color="FFFFFF" w:sz="0"/>
              <w:bottom w:val="none" w:color="FFFFFF" w:sz="0"/>
              <w:right w:val="none" w:color="FFFFFF" w:sz="0"/>
            </w:tcBorders>
            <w:tcMar>
              <w:top w:type="dxa" w:w="0"/>
              <w:left w:type="dxa" w:w="30"/>
              <w:bottom w:type="dxa" w:w="0"/>
              <w:right w:type="dxa" w:w="30"/>
            </w:tcMar>
          </w:tcPr>
          <w:p>
            <w:pPr>
              <w:keepNext/>
              <w:spacing w:after="0" w:before="0"/>
              <w:jc w:val="center"/>
            </w:pPr>
            <w:r>
              <w:drawing>
                <wp:inline distT="0" distB="0" distL="0" distR="0">
                  <wp:extent cx="1533525" cy="885825"/>
                  <wp:effectExtent t="0" r="0" b="0" l="0"/>
                  <wp:docPr id="1" name="f23b" descr="f23b" title="f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33525" cy="885825"/>
                          </a:xfrm>
                          <a:prstGeom prst="rect">
                            <a:avLst/>
                          </a:prstGeom>
                        </pic:spPr>
                      </pic:pic>
                    </a:graphicData>
                  </a:graphic>
                </wp:inline>
              </w:drawing>
            </w:r>
          </w:p>
          <w:p>
            <w:pPr>
              <w:spacing w:after="0" w:before="14"/>
              <w:jc w:val="center"/>
            </w:pPr>
            <w:r>
              <w:rPr>
                <w:rFonts w:ascii="Times New Roman" w:cs="Times New Roman" w:eastAsia="Times New Roman" w:hAnsi="Times New Roman"/>
                <w:sz w:val="16"/>
                <w:szCs w:val="16"/>
              </w:rPr>
              <w:t xml:space="preserve">(b)</w:t>
            </w:r>
          </w:p>
        </w:tc>
      </w:tr>
    </w:tbl>
    <w:p>
      <w:pPr>
        <w:keepLines/>
        <w:spacing w:after="100" w:before="16"/>
        <w:jc w:val="both"/>
      </w:pPr>
      <w:r>
        <w:rPr>
          <w:rFonts w:ascii="Times New Roman" w:cs="Times New Roman" w:eastAsia="Times New Roman" w:hAnsi="Times New Roman"/>
          <w:sz w:val="16"/>
          <w:szCs w:val="16"/>
        </w:rPr>
        <w:t xml:space="preserve">Fig. 17. Phase currents at 80 N·m load: (a) before and (b) after tuning.</w:t>
      </w:r>
    </w:p>
    <w:p>
      <w:pPr>
        <w:pStyle w:val="Heading2"/>
        <w:numPr>
          <w:ilvl w:val="1"/>
          <w:numId w:val="2"/>
        </w:numPr>
      </w:pPr>
      <w:r>
        <w:rPr>
          <w:rFonts w:ascii="Times New Roman" w:cs="Times New Roman" w:eastAsia="Times New Roman" w:hAnsi="Times New Roman"/>
        </w:rPr>
        <w:t xml:space="preserve">Comparison with Commutation Control</w:t>
      </w:r>
    </w:p>
    <w:p>
      <w:pPr>
        <w:spacing w:after="0" w:before="0" w:line="240" w:lineRule="auto"/>
        <w:ind w:firstLine="288"/>
        <w:jc w:val="both"/>
      </w:pPr>
      <w:r>
        <w:rPr>
          <w:rFonts w:ascii="Times New Roman" w:cs="Times New Roman" w:eastAsia="Times New Roman" w:hAnsi="Times New Roman"/>
          <w:sz w:val="20"/>
          <w:szCs w:val="20"/>
        </w:rPr>
        <w:t xml:space="preserve">Table II compares FOC and trapezoidal commutation, both running at 10 kHz, for 10° and 20° position steps. The two controllers give comparable rise times (47 ms vs. 48 ms at 10°; 83 ms vs. 78 ms at 20°). FOC gives lower steady-state error at both step sizes (0.399 % vs. 0.599 % at 10°; 0.35 % vs. 0.373 % at 20°) and no overshoot at 20°, against 1.117 % for commutation, while the 10° overshoot is similar for both (0.17 % vs. 0.163 %).</w:t>
      </w:r>
    </w:p>
    <w:p>
      <w:pPr>
        <w:keepNext/>
        <w:spacing w:after="0" w:before="100"/>
        <w:jc w:val="center"/>
      </w:pPr>
      <w:r>
        <w:rPr>
          <w:rFonts w:ascii="Times New Roman" w:cs="Times New Roman" w:eastAsia="Times New Roman" w:hAnsi="Times New Roman"/>
          <w:sz w:val="16"/>
          <w:szCs w:val="16"/>
        </w:rPr>
        <w:t xml:space="preserve">TABLE II</w:t>
      </w:r>
    </w:p>
    <w:p>
      <w:pPr>
        <w:keepNext/>
        <w:spacing w:after="50" w:before="0"/>
        <w:jc w:val="center"/>
      </w:pPr>
      <w:r>
        <w:rPr>
          <w:rFonts w:ascii="Times New Roman" w:cs="Times New Roman" w:eastAsia="Times New Roman" w:hAnsi="Times New Roman"/>
          <w:smallCaps/>
          <w:sz w:val="16"/>
          <w:szCs w:val="16"/>
        </w:rPr>
        <w:t xml:space="preserve">Comparison of FOC and commutation control</w:t>
      </w:r>
    </w:p>
    <w:tbl>
      <w:tblPr>
        <w:tblW w:type="dxa" w:w="6270"/>
        <w:jc w:val="center"/>
        <w:tblBorders>
          <w:top w:val="single" w:color="000000" w:sz="6"/>
          <w:left w:val="none" w:color="FFFFFF" w:sz="0"/>
          <w:bottom w:val="single" w:color="000000" w:sz="6"/>
          <w:right w:val="none" w:color="FFFFFF" w:sz="0"/>
          <w:insideH w:val="none" w:color="FFFFFF" w:sz="0"/>
          <w:insideV w:val="none" w:color="FFFFFF" w:sz="0"/>
        </w:tblBorders>
      </w:tblPr>
      <w:tblGrid>
        <w:gridCol w:w="1650"/>
        <w:gridCol w:w="620"/>
        <w:gridCol w:w="700"/>
        <w:gridCol w:w="780"/>
        <w:gridCol w:w="800"/>
        <w:gridCol w:w="920"/>
        <w:gridCol w:w="800"/>
      </w:tblGrid>
      <w:tr>
        <w:trPr>
          <w:cantSplit/>
          <w:tblHeader/>
        </w:trPr>
        <w:tc>
          <w:tcPr>
            <w:tcW w:type="dxa" w:w="165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Controller</w:t>
            </w:r>
          </w:p>
        </w:tc>
        <w:tc>
          <w:tcPr>
            <w:tcW w:type="dxa" w:w="62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Step</w:t>
            </w:r>
          </w:p>
        </w:tc>
        <w:tc>
          <w:tcPr>
            <w:tcW w:type="dxa" w:w="7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Rise (ms)</w:t>
            </w:r>
          </w:p>
        </w:tc>
        <w:tc>
          <w:tcPr>
            <w:tcW w:type="dxa" w:w="78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Speed (°/s)</w:t>
            </w:r>
          </w:p>
        </w:tc>
        <w:tc>
          <w:tcPr>
            <w:tcW w:type="dxa" w:w="8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Settle (ms)</w:t>
            </w:r>
          </w:p>
        </w:tc>
        <w:tc>
          <w:tcPr>
            <w:tcW w:type="dxa" w:w="92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SS error</w:t>
            </w:r>
          </w:p>
        </w:tc>
        <w:tc>
          <w:tcPr>
            <w:tcW w:type="dxa" w:w="8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Overshoot</w:t>
            </w:r>
          </w:p>
        </w:tc>
      </w:tr>
      <w:tr>
        <w:trPr>
          <w:cantSplit/>
          <w:tblHeader w:val="false"/>
        </w:trPr>
        <w:tc>
          <w:tcPr>
            <w:tcW w:type="dxa" w:w="1650"/>
            <w:vMerge w:val="restart"/>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FOC (10 kHz)</w:t>
            </w:r>
          </w:p>
        </w:tc>
        <w:tc>
          <w:tcPr>
            <w:tcW w:type="dxa" w:w="62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10°</w:t>
            </w:r>
          </w:p>
        </w:tc>
        <w:tc>
          <w:tcPr>
            <w:tcW w:type="dxa" w:w="7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47</w:t>
            </w:r>
          </w:p>
        </w:tc>
        <w:tc>
          <w:tcPr>
            <w:tcW w:type="dxa" w:w="78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170</w:t>
            </w:r>
          </w:p>
        </w:tc>
        <w:tc>
          <w:tcPr>
            <w:tcW w:type="dxa" w:w="8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83</w:t>
            </w:r>
          </w:p>
        </w:tc>
        <w:tc>
          <w:tcPr>
            <w:tcW w:type="dxa" w:w="92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0.399 %</w:t>
            </w:r>
          </w:p>
        </w:tc>
        <w:tc>
          <w:tcPr>
            <w:tcW w:type="dxa" w:w="8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0.17 %</w:t>
            </w:r>
          </w:p>
        </w:tc>
      </w:tr>
      <w:tr>
        <w:trPr>
          <w:cantSplit/>
          <w:tblHeader w:val="false"/>
        </w:trPr>
        <w:tc>
          <w:tcPr>
            <w:vMerge w:val="continue"/>
            <w:tcBorders>
              <w:top w:val="none" w:color="FFFFFF" w:sz="0"/>
              <w:left w:val="none" w:color="FFFFFF" w:sz="0"/>
              <w:bottom w:val="single" w:color="000000" w:sz="4"/>
              <w:right w:val="none" w:color="FFFFFF" w:sz="0"/>
            </w:tcBorders>
          </w:tcPr>
          <w:p/>
        </w:tc>
        <w:tc>
          <w:tcPr>
            <w:tcW w:type="dxa" w:w="62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20°</w:t>
            </w:r>
          </w:p>
        </w:tc>
        <w:tc>
          <w:tcPr>
            <w:tcW w:type="dxa" w:w="7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83</w:t>
            </w:r>
          </w:p>
        </w:tc>
        <w:tc>
          <w:tcPr>
            <w:tcW w:type="dxa" w:w="78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192</w:t>
            </w:r>
          </w:p>
        </w:tc>
        <w:tc>
          <w:tcPr>
            <w:tcW w:type="dxa" w:w="8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112</w:t>
            </w:r>
          </w:p>
        </w:tc>
        <w:tc>
          <w:tcPr>
            <w:tcW w:type="dxa" w:w="92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0.35 %</w:t>
            </w:r>
          </w:p>
        </w:tc>
        <w:tc>
          <w:tcPr>
            <w:tcW w:type="dxa" w:w="8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w:t>
            </w:r>
          </w:p>
        </w:tc>
      </w:tr>
      <w:tr>
        <w:trPr>
          <w:cantSplit/>
          <w:tblHeader w:val="false"/>
        </w:trPr>
        <w:tc>
          <w:tcPr>
            <w:tcW w:type="dxa" w:w="1650"/>
            <w:vMerge w:val="restart"/>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Commutation (10 kHz)</w:t>
            </w:r>
          </w:p>
        </w:tc>
        <w:tc>
          <w:tcPr>
            <w:tcW w:type="dxa" w:w="62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10°</w:t>
            </w:r>
          </w:p>
        </w:tc>
        <w:tc>
          <w:tcPr>
            <w:tcW w:type="dxa" w:w="7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48</w:t>
            </w:r>
          </w:p>
        </w:tc>
        <w:tc>
          <w:tcPr>
            <w:tcW w:type="dxa" w:w="78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168</w:t>
            </w:r>
          </w:p>
        </w:tc>
        <w:tc>
          <w:tcPr>
            <w:tcW w:type="dxa" w:w="8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84</w:t>
            </w:r>
          </w:p>
        </w:tc>
        <w:tc>
          <w:tcPr>
            <w:tcW w:type="dxa" w:w="92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0.599 %</w:t>
            </w:r>
          </w:p>
        </w:tc>
        <w:tc>
          <w:tcPr>
            <w:tcW w:type="dxa" w:w="8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0.163 %</w:t>
            </w:r>
          </w:p>
        </w:tc>
      </w:tr>
      <w:tr>
        <w:trPr>
          <w:cantSplit/>
          <w:tblHeader w:val="false"/>
        </w:trPr>
        <w:tc>
          <w:tcPr>
            <w:vMerge w:val="continue"/>
            <w:tcBorders>
              <w:top w:val="none" w:color="FFFFFF" w:sz="0"/>
              <w:left w:val="none" w:color="FFFFFF" w:sz="0"/>
              <w:bottom w:val="none" w:color="FFFFFF" w:sz="0"/>
              <w:right w:val="none" w:color="FFFFFF" w:sz="0"/>
            </w:tcBorders>
          </w:tcPr>
          <w:p/>
        </w:tc>
        <w:tc>
          <w:tcPr>
            <w:tcW w:type="dxa" w:w="62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20°</w:t>
            </w:r>
          </w:p>
        </w:tc>
        <w:tc>
          <w:tcPr>
            <w:tcW w:type="dxa" w:w="7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78</w:t>
            </w:r>
          </w:p>
        </w:tc>
        <w:tc>
          <w:tcPr>
            <w:tcW w:type="dxa" w:w="78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204</w:t>
            </w:r>
          </w:p>
        </w:tc>
        <w:tc>
          <w:tcPr>
            <w:tcW w:type="dxa" w:w="8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136</w:t>
            </w:r>
          </w:p>
        </w:tc>
        <w:tc>
          <w:tcPr>
            <w:tcW w:type="dxa" w:w="92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0.373 %</w:t>
            </w:r>
          </w:p>
        </w:tc>
        <w:tc>
          <w:tcPr>
            <w:tcW w:type="dxa" w:w="8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1.117 %</w:t>
            </w:r>
          </w:p>
        </w:tc>
      </w:tr>
    </w:tbl>
    <w:p>
      <w:pPr>
        <w:spacing w:after="80" w:before="0"/>
      </w:pPr>
    </w:p>
    <w:p>
      <w:pPr>
        <w:pStyle w:val="Heading2"/>
        <w:numPr>
          <w:ilvl w:val="1"/>
          <w:numId w:val="2"/>
        </w:numPr>
      </w:pPr>
      <w:r>
        <w:rPr>
          <w:rFonts w:ascii="Times New Roman" w:cs="Times New Roman" w:eastAsia="Times New Roman" w:hAnsi="Times New Roman"/>
        </w:rPr>
        <w:t xml:space="preserve">FPGA Utilization and Power</w:t>
      </w:r>
    </w:p>
    <w:p>
      <w:pPr>
        <w:spacing w:after="0" w:before="0" w:line="240" w:lineRule="auto"/>
        <w:ind w:firstLine="288"/>
        <w:jc w:val="both"/>
      </w:pPr>
      <w:r>
        <w:rPr>
          <w:rFonts w:ascii="Times New Roman" w:cs="Times New Roman" w:eastAsia="Times New Roman" w:hAnsi="Times New Roman"/>
          <w:sz w:val="20"/>
          <w:szCs w:val="20"/>
        </w:rPr>
        <w:t xml:space="preserve">Table III lists the post-implementation resource utilization. The design uses 15.5 % of the LUTs, 5.9 % of the flip-flops, 5.9 % of the block RAMs and 45.4 % of the DSP slices of the target device, with DSP usage — driven mainly by the transform and CORDIC arithmetic — the most heavily loaded resource. This modest footprint, together with the 0.238 W total power of Table IV, leaves headroom on size-, weight- and power-constrained (SWaP) platforms such as aerospace actuators.</w:t>
      </w:r>
    </w:p>
    <w:p>
      <w:pPr>
        <w:keepNext/>
        <w:spacing w:after="0" w:before="100"/>
        <w:jc w:val="center"/>
      </w:pPr>
      <w:r>
        <w:rPr>
          <w:rFonts w:ascii="Times New Roman" w:cs="Times New Roman" w:eastAsia="Times New Roman" w:hAnsi="Times New Roman"/>
          <w:sz w:val="16"/>
          <w:szCs w:val="16"/>
        </w:rPr>
        <w:t xml:space="preserve">TABLE III</w:t>
      </w:r>
    </w:p>
    <w:p>
      <w:pPr>
        <w:keepNext/>
        <w:spacing w:after="50" w:before="0"/>
        <w:jc w:val="center"/>
      </w:pPr>
      <w:r>
        <w:rPr>
          <w:rFonts w:ascii="Times New Roman" w:cs="Times New Roman" w:eastAsia="Times New Roman" w:hAnsi="Times New Roman"/>
          <w:smallCaps/>
          <w:sz w:val="16"/>
          <w:szCs w:val="16"/>
        </w:rPr>
        <w:t xml:space="preserve">Post-implementation FPGA resource utilization</w:t>
      </w:r>
    </w:p>
    <w:tbl>
      <w:tblPr>
        <w:tblW w:type="dxa" w:w="5040"/>
        <w:jc w:val="center"/>
        <w:tblBorders>
          <w:top w:val="single" w:color="000000" w:sz="6"/>
          <w:left w:val="none" w:color="FFFFFF" w:sz="0"/>
          <w:bottom w:val="single" w:color="000000" w:sz="6"/>
          <w:right w:val="none" w:color="FFFFFF" w:sz="0"/>
          <w:insideH w:val="none" w:color="FFFFFF" w:sz="0"/>
          <w:insideV w:val="none" w:color="FFFFFF" w:sz="0"/>
        </w:tblBorders>
      </w:tblPr>
      <w:tblGrid>
        <w:gridCol w:w="1300"/>
        <w:gridCol w:w="1250"/>
        <w:gridCol w:w="1250"/>
        <w:gridCol w:w="1240"/>
      </w:tblGrid>
      <w:tr>
        <w:trPr>
          <w:cantSplit/>
          <w:tblHeader/>
        </w:trPr>
        <w:tc>
          <w:tcPr>
            <w:tcW w:type="dxa" w:w="13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Resource</w:t>
            </w:r>
          </w:p>
        </w:tc>
        <w:tc>
          <w:tcPr>
            <w:tcW w:type="dxa" w:w="125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Used</w:t>
            </w:r>
          </w:p>
        </w:tc>
        <w:tc>
          <w:tcPr>
            <w:tcW w:type="dxa" w:w="125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Available</w:t>
            </w:r>
          </w:p>
        </w:tc>
        <w:tc>
          <w:tcPr>
            <w:tcW w:type="dxa" w:w="124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Util. (%)</w:t>
            </w:r>
          </w:p>
        </w:tc>
      </w:tr>
      <w:tr>
        <w:trPr>
          <w:cantSplit/>
          <w:tblHeader w:val="false"/>
        </w:trPr>
        <w:tc>
          <w:tcPr>
            <w:tcW w:type="dxa" w:w="13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LUT</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9824</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63400</w:t>
            </w:r>
          </w:p>
        </w:tc>
        <w:tc>
          <w:tcPr>
            <w:tcW w:type="dxa" w:w="12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15.50</w:t>
            </w:r>
          </w:p>
        </w:tc>
      </w:tr>
      <w:tr>
        <w:trPr>
          <w:cantSplit/>
          <w:tblHeader w:val="false"/>
        </w:trPr>
        <w:tc>
          <w:tcPr>
            <w:tcW w:type="dxa" w:w="13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LUTRAM</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243</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19000</w:t>
            </w:r>
          </w:p>
        </w:tc>
        <w:tc>
          <w:tcPr>
            <w:tcW w:type="dxa" w:w="12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1.28</w:t>
            </w:r>
          </w:p>
        </w:tc>
      </w:tr>
      <w:tr>
        <w:trPr>
          <w:cantSplit/>
          <w:tblHeader w:val="false"/>
        </w:trPr>
        <w:tc>
          <w:tcPr>
            <w:tcW w:type="dxa" w:w="13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FF</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7497</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126800</w:t>
            </w:r>
          </w:p>
        </w:tc>
        <w:tc>
          <w:tcPr>
            <w:tcW w:type="dxa" w:w="12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5.91</w:t>
            </w:r>
          </w:p>
        </w:tc>
      </w:tr>
      <w:tr>
        <w:trPr>
          <w:cantSplit/>
          <w:tblHeader w:val="false"/>
        </w:trPr>
        <w:tc>
          <w:tcPr>
            <w:tcW w:type="dxa" w:w="13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BRAM</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8</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135</w:t>
            </w:r>
          </w:p>
        </w:tc>
        <w:tc>
          <w:tcPr>
            <w:tcW w:type="dxa" w:w="12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5.93</w:t>
            </w:r>
          </w:p>
        </w:tc>
      </w:tr>
      <w:tr>
        <w:trPr>
          <w:cantSplit/>
          <w:tblHeader w:val="false"/>
        </w:trPr>
        <w:tc>
          <w:tcPr>
            <w:tcW w:type="dxa" w:w="13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DSP</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109</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240</w:t>
            </w:r>
          </w:p>
        </w:tc>
        <w:tc>
          <w:tcPr>
            <w:tcW w:type="dxa" w:w="12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45.42</w:t>
            </w:r>
          </w:p>
        </w:tc>
      </w:tr>
      <w:tr>
        <w:trPr>
          <w:cantSplit/>
          <w:tblHeader w:val="false"/>
        </w:trPr>
        <w:tc>
          <w:tcPr>
            <w:tcW w:type="dxa" w:w="13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IO</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44</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210</w:t>
            </w:r>
          </w:p>
        </w:tc>
        <w:tc>
          <w:tcPr>
            <w:tcW w:type="dxa" w:w="12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20.95</w:t>
            </w:r>
          </w:p>
        </w:tc>
      </w:tr>
      <w:tr>
        <w:trPr>
          <w:cantSplit/>
          <w:tblHeader w:val="false"/>
        </w:trPr>
        <w:tc>
          <w:tcPr>
            <w:tcW w:type="dxa" w:w="13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BUFG</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8</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32</w:t>
            </w:r>
          </w:p>
        </w:tc>
        <w:tc>
          <w:tcPr>
            <w:tcW w:type="dxa" w:w="12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25.00</w:t>
            </w:r>
          </w:p>
        </w:tc>
      </w:tr>
      <w:tr>
        <w:trPr>
          <w:cantSplit/>
          <w:tblHeader w:val="false"/>
        </w:trPr>
        <w:tc>
          <w:tcPr>
            <w:tcW w:type="dxa" w:w="13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MMCM</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w:t>
            </w:r>
          </w:p>
        </w:tc>
        <w:tc>
          <w:tcPr>
            <w:tcW w:type="dxa" w:w="125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6</w:t>
            </w:r>
          </w:p>
        </w:tc>
        <w:tc>
          <w:tcPr>
            <w:tcW w:type="dxa" w:w="12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16.67</w:t>
            </w:r>
          </w:p>
        </w:tc>
      </w:tr>
    </w:tbl>
    <w:p>
      <w:pPr>
        <w:spacing w:after="80" w:before="0"/>
      </w:pPr>
    </w:p>
    <w:p>
      <w:pPr>
        <w:spacing w:after="0" w:before="0" w:line="240" w:lineRule="auto"/>
        <w:ind w:firstLine="288"/>
        <w:jc w:val="both"/>
      </w:pPr>
      <w:r>
        <w:rPr>
          <w:rFonts w:ascii="Times New Roman" w:cs="Times New Roman" w:eastAsia="Times New Roman" w:hAnsi="Times New Roman"/>
          <w:sz w:val="20"/>
          <w:szCs w:val="20"/>
        </w:rPr>
        <w:t xml:space="preserve">Table IV breaks down the on-chip power. Total power is 0.238 W, split between 0.140 W (59 %) of dynamic power, dominated by the PLL (0.089 W), and 0.098 W (41 %) of static power.</w:t>
      </w:r>
    </w:p>
    <w:p>
      <w:pPr>
        <w:keepNext/>
        <w:spacing w:after="0" w:before="100"/>
        <w:jc w:val="center"/>
      </w:pPr>
      <w:r>
        <w:rPr>
          <w:rFonts w:ascii="Times New Roman" w:cs="Times New Roman" w:eastAsia="Times New Roman" w:hAnsi="Times New Roman"/>
          <w:sz w:val="16"/>
          <w:szCs w:val="16"/>
        </w:rPr>
        <w:t xml:space="preserve">TABLE IV</w:t>
      </w:r>
    </w:p>
    <w:p>
      <w:pPr>
        <w:keepNext/>
        <w:spacing w:after="50" w:before="0"/>
        <w:jc w:val="center"/>
      </w:pPr>
      <w:r>
        <w:rPr>
          <w:rFonts w:ascii="Times New Roman" w:cs="Times New Roman" w:eastAsia="Times New Roman" w:hAnsi="Times New Roman"/>
          <w:smallCaps/>
          <w:sz w:val="16"/>
          <w:szCs w:val="16"/>
        </w:rPr>
        <w:t xml:space="preserve">On-chip power consumption</w:t>
      </w:r>
    </w:p>
    <w:tbl>
      <w:tblPr>
        <w:tblW w:type="dxa" w:w="5040"/>
        <w:jc w:val="center"/>
        <w:tblBorders>
          <w:top w:val="single" w:color="000000" w:sz="6"/>
          <w:left w:val="none" w:color="FFFFFF" w:sz="0"/>
          <w:bottom w:val="single" w:color="000000" w:sz="6"/>
          <w:right w:val="none" w:color="FFFFFF" w:sz="0"/>
          <w:insideH w:val="none" w:color="FFFFFF" w:sz="0"/>
          <w:insideV w:val="none" w:color="FFFFFF" w:sz="0"/>
        </w:tblBorders>
      </w:tblPr>
      <w:tblGrid>
        <w:gridCol w:w="2200"/>
        <w:gridCol w:w="1400"/>
        <w:gridCol w:w="1440"/>
      </w:tblGrid>
      <w:tr>
        <w:trPr>
          <w:cantSplit/>
          <w:tblHeader/>
        </w:trPr>
        <w:tc>
          <w:tcPr>
            <w:tcW w:type="dxa" w:w="22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Component</w:t>
            </w:r>
          </w:p>
        </w:tc>
        <w:tc>
          <w:tcPr>
            <w:tcW w:type="dxa" w:w="140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Power (W)</w:t>
            </w:r>
          </w:p>
        </w:tc>
        <w:tc>
          <w:tcPr>
            <w:tcW w:type="dxa" w:w="1440"/>
            <w:tcBorders>
              <w:top w:val="none" w:color="FFFFFF" w:sz="0"/>
              <w:left w:val="none" w:color="FFFFFF" w:sz="0"/>
              <w:bottom w:val="single" w:color="000000" w:sz="4"/>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Share (%)</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bCs/>
                <w:sz w:val="16"/>
                <w:szCs w:val="16"/>
              </w:rPr>
              <w:t xml:space="preserve">Dynamic</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0.140</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59</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Clocks</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0.016</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11</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Signals</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0.012</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9</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Logic</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0.009</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6</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BRAM</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0.001</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1</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DSP</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0.008</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5</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PLL</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0.089</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64</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val="false"/>
                <w:bCs w:val="false"/>
                <w:sz w:val="16"/>
                <w:szCs w:val="16"/>
              </w:rPr>
              <w:t xml:space="preserve">I/O</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0.006</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val="false"/>
                <w:bCs w:val="false"/>
                <w:sz w:val="16"/>
                <w:szCs w:val="16"/>
              </w:rPr>
              <w:t xml:space="preserve">4</w:t>
            </w:r>
          </w:p>
        </w:tc>
      </w:tr>
      <w:tr>
        <w:trPr>
          <w:cantSplit/>
          <w:tblHeader w:val="false"/>
        </w:trPr>
        <w:tc>
          <w:tcPr>
            <w:tcW w:type="dxa" w:w="22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bCs/>
                <w:sz w:val="16"/>
                <w:szCs w:val="16"/>
              </w:rPr>
              <w:t xml:space="preserve">Static (PL)</w:t>
            </w:r>
          </w:p>
        </w:tc>
        <w:tc>
          <w:tcPr>
            <w:tcW w:type="dxa" w:w="140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0.098</w:t>
            </w:r>
          </w:p>
        </w:tc>
        <w:tc>
          <w:tcPr>
            <w:tcW w:type="dxa" w:w="1440"/>
            <w:tcBorders>
              <w:top w:val="none" w:color="FFFFFF" w:sz="0"/>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41</w:t>
            </w:r>
          </w:p>
        </w:tc>
      </w:tr>
      <w:tr>
        <w:trPr>
          <w:cantSplit/>
          <w:tblHeader w:val="false"/>
        </w:trPr>
        <w:tc>
          <w:tcPr>
            <w:tcW w:type="dxa" w:w="2200"/>
            <w:tcBorders>
              <w:top w:val="single" w:color="000000" w:sz="4"/>
              <w:left w:val="none" w:color="FFFFFF" w:sz="0"/>
              <w:bottom w:val="none" w:color="FFFFFF" w:sz="0"/>
              <w:right w:val="none" w:color="FFFFFF" w:sz="0"/>
            </w:tcBorders>
            <w:tcMar>
              <w:top w:type="dxa" w:w="20"/>
              <w:left w:type="dxa" w:w="45"/>
              <w:bottom w:type="dxa" w:w="20"/>
              <w:right w:type="dxa" w:w="45"/>
            </w:tcMar>
            <w:vAlign w:val="center"/>
          </w:tcPr>
          <w:p>
            <w:pPr>
              <w:spacing w:line="220"/>
              <w:jc w:val="left"/>
            </w:pPr>
            <w:r>
              <w:rPr>
                <w:rFonts w:ascii="Times New Roman" w:cs="Times New Roman" w:eastAsia="Times New Roman" w:hAnsi="Times New Roman"/>
                <w:b/>
                <w:bCs/>
                <w:sz w:val="16"/>
                <w:szCs w:val="16"/>
              </w:rPr>
              <w:t xml:space="preserve">Total on-chip</w:t>
            </w:r>
          </w:p>
        </w:tc>
        <w:tc>
          <w:tcPr>
            <w:tcW w:type="dxa" w:w="1400"/>
            <w:tcBorders>
              <w:top w:val="single" w:color="000000" w:sz="4"/>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0.238</w:t>
            </w:r>
          </w:p>
        </w:tc>
        <w:tc>
          <w:tcPr>
            <w:tcW w:type="dxa" w:w="1440"/>
            <w:tcBorders>
              <w:top w:val="single" w:color="000000" w:sz="4"/>
              <w:left w:val="none" w:color="FFFFFF" w:sz="0"/>
              <w:bottom w:val="none" w:color="FFFFFF" w:sz="0"/>
              <w:right w:val="none" w:color="FFFFFF" w:sz="0"/>
            </w:tcBorders>
            <w:tcMar>
              <w:top w:type="dxa" w:w="20"/>
              <w:left w:type="dxa" w:w="45"/>
              <w:bottom w:type="dxa" w:w="20"/>
              <w:right w:type="dxa" w:w="45"/>
            </w:tcMar>
            <w:vAlign w:val="center"/>
          </w:tcPr>
          <w:p>
            <w:pPr>
              <w:spacing w:line="220"/>
              <w:jc w:val="center"/>
            </w:pPr>
            <w:r>
              <w:rPr>
                <w:rFonts w:ascii="Times New Roman" w:cs="Times New Roman" w:eastAsia="Times New Roman" w:hAnsi="Times New Roman"/>
                <w:b/>
                <w:bCs/>
                <w:sz w:val="16"/>
                <w:szCs w:val="16"/>
              </w:rPr>
              <w:t xml:space="preserve">100</w:t>
            </w:r>
          </w:p>
        </w:tc>
      </w:tr>
    </w:tbl>
    <w:p>
      <w:pPr>
        <w:spacing w:after="80" w:before="0"/>
      </w:pPr>
    </w:p>
    <w:p>
      <w:pPr>
        <w:pStyle w:val="Heading1"/>
        <w:numPr>
          <w:ilvl w:val="0"/>
          <w:numId w:val="2"/>
        </w:numPr>
      </w:pPr>
      <w:r>
        <w:rPr>
          <w:rFonts w:ascii="Times New Roman" w:cs="Times New Roman" w:eastAsia="Times New Roman" w:hAnsi="Times New Roman"/>
        </w:rPr>
        <w:t xml:space="preserve">Conclusion</w:t>
      </w:r>
    </w:p>
    <w:p>
      <w:pPr>
        <w:spacing w:after="0" w:before="0" w:line="240" w:lineRule="auto"/>
        <w:ind w:firstLine="288"/>
        <w:jc w:val="both"/>
      </w:pPr>
      <w:r>
        <w:rPr>
          <w:rFonts w:ascii="Times New Roman" w:cs="Times New Roman" w:eastAsia="Times New Roman" w:hAnsi="Times New Roman"/>
          <w:sz w:val="20"/>
          <w:szCs w:val="20"/>
        </w:rPr>
        <w:t xml:space="preserve">We implemented a complete FOC system for a BLDC motor on an FPGA, including the Clarke/Park transform pair, a CORDIC sine/cosine generator, anti-windup PID control, min–max space vector modulation, initial rotor alignment, and encoder-based velocity estimation, together with the fixed-point scaling that ties these blocks to the ADC, encoder and PWM hardware. The design was verified in simulation and validated on hardware, including velocity- and position-loop step responses and operation under an 80 N·m load. At 10 kHz, FOC matched the rise time of trapezoidal commutation while giving lower steady-state error and less overshoot at larger steps. The implementation is compact, using under half of the FPGA’s DSP slices and a total of 0.238 W, leaving headroom for additional axes or a faster PWM update rate in future work. Its deterministic, sample-accurate timing and low SWaP footprint make it well suited to real-time electromechanical actuation in aerospace and defense applications, where guaranteed control-loop latency is as important as steady-state accuracy.</w:t>
      </w:r>
      <w:r>
        <w:rPr>
          <w:rFonts w:ascii="Times New Roman" w:hAnsi="Times New Roman"/>
          <w:b w:val="0"/>
          <w:i w:val="0"/>
          <w:sz w:val="20"/>
        </w:rPr>
        <w:t xml:space="preserve"> The cascaded position–velocity–current architecture, in particular, maps directly onto the servo drives used for flight-control surfaces, gimbals and other real-time aerospace and defense actuation systems.</w:t>
      </w:r>
    </w:p>
    <w:p>
      <w:pPr>
        <w:keepNext/>
        <w:spacing w:after="70" w:before="160"/>
        <w:jc w:val="center"/>
      </w:pPr>
      <w:r>
        <w:rPr>
          <w:rFonts w:ascii="Times New Roman" w:cs="Times New Roman" w:eastAsia="Times New Roman" w:hAnsi="Times New Roman"/>
          <w:smallCaps/>
          <w:sz w:val="20"/>
          <w:szCs w:val="20"/>
        </w:rPr>
        <w:t xml:space="preserve">References</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 Vas, </w:t>
      </w:r>
      <w:r>
        <w:rPr>
          <w:rFonts w:ascii="Times New Roman" w:cs="Times New Roman" w:eastAsia="Times New Roman" w:hAnsi="Times New Roman"/>
          <w:i/>
          <w:iCs/>
          <w:sz w:val="16"/>
          <w:szCs w:val="16"/>
        </w:rPr>
        <w:t xml:space="preserve">Sensorless Vector and Direct Torque Control</w:t>
      </w:r>
      <w:r>
        <w:rPr>
          <w:rFonts w:ascii="Times New Roman" w:cs="Times New Roman" w:eastAsia="Times New Roman" w:hAnsi="Times New Roman"/>
          <w:sz w:val="16"/>
          <w:szCs w:val="16"/>
        </w:rPr>
        <w:t xml:space="preserve">. Oxford, U.K.: Oxford Univ. Press, 1998.</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B. K. Bose, </w:t>
      </w:r>
      <w:r>
        <w:rPr>
          <w:rFonts w:ascii="Times New Roman" w:cs="Times New Roman" w:eastAsia="Times New Roman" w:hAnsi="Times New Roman"/>
          <w:i/>
          <w:iCs/>
          <w:sz w:val="16"/>
          <w:szCs w:val="16"/>
        </w:rPr>
        <w:t xml:space="preserve">Modern Power Electronics and AC Drives</w:t>
      </w:r>
      <w:r>
        <w:rPr>
          <w:rFonts w:ascii="Times New Roman" w:cs="Times New Roman" w:eastAsia="Times New Roman" w:hAnsi="Times New Roman"/>
          <w:sz w:val="16"/>
          <w:szCs w:val="16"/>
        </w:rPr>
        <w:t xml:space="preserve">. Upper Saddle River, NJ, USA: Prentice-Hall, 2002.</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E. Clarke, </w:t>
      </w:r>
      <w:r>
        <w:rPr>
          <w:rFonts w:ascii="Times New Roman" w:cs="Times New Roman" w:eastAsia="Times New Roman" w:hAnsi="Times New Roman"/>
          <w:i/>
          <w:iCs/>
          <w:sz w:val="16"/>
          <w:szCs w:val="16"/>
        </w:rPr>
        <w:t xml:space="preserve">Circuit Analysis of A-C Power Systems</w:t>
      </w:r>
      <w:r>
        <w:rPr>
          <w:rFonts w:ascii="Times New Roman" w:cs="Times New Roman" w:eastAsia="Times New Roman" w:hAnsi="Times New Roman"/>
          <w:sz w:val="16"/>
          <w:szCs w:val="16"/>
        </w:rPr>
        <w:t xml:space="preserve">, vol. I. New York, NY, USA: Wiley, 1943.</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R. H. Park, “Two-reaction theory of synchronous machines—Generalized method of analysis—Part I,” </w:t>
      </w:r>
      <w:r>
        <w:rPr>
          <w:rFonts w:ascii="Times New Roman" w:cs="Times New Roman" w:eastAsia="Times New Roman" w:hAnsi="Times New Roman"/>
          <w:i/>
          <w:iCs/>
          <w:sz w:val="16"/>
          <w:szCs w:val="16"/>
        </w:rPr>
        <w:t xml:space="preserve">Trans. AIEE</w:t>
      </w:r>
      <w:r>
        <w:rPr>
          <w:rFonts w:ascii="Times New Roman" w:cs="Times New Roman" w:eastAsia="Times New Roman" w:hAnsi="Times New Roman"/>
          <w:sz w:val="16"/>
          <w:szCs w:val="16"/>
        </w:rPr>
        <w:t xml:space="preserve">, vol. 48, no. 3, pp. 716–727, Jul. 1929.</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J. E. Volder, “The CORDIC trigonometric computing technique,” </w:t>
      </w:r>
      <w:r>
        <w:rPr>
          <w:rFonts w:ascii="Times New Roman" w:cs="Times New Roman" w:eastAsia="Times New Roman" w:hAnsi="Times New Roman"/>
          <w:i/>
          <w:iCs/>
          <w:sz w:val="16"/>
          <w:szCs w:val="16"/>
        </w:rPr>
        <w:t xml:space="preserve">IRE Trans. Electron. Comput.</w:t>
      </w:r>
      <w:r>
        <w:rPr>
          <w:rFonts w:ascii="Times New Roman" w:cs="Times New Roman" w:eastAsia="Times New Roman" w:hAnsi="Times New Roman"/>
          <w:sz w:val="16"/>
          <w:szCs w:val="16"/>
        </w:rPr>
        <w:t xml:space="preserve">, vol. EC-8, no. 3, pp. 330–334, Sep. 1959.</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 Andraka, “A survey of CORDIC algorithms for FPGA based computers,” in </w:t>
      </w:r>
      <w:r>
        <w:rPr>
          <w:rFonts w:ascii="Times New Roman" w:cs="Times New Roman" w:eastAsia="Times New Roman" w:hAnsi="Times New Roman"/>
          <w:i/>
          <w:iCs/>
          <w:sz w:val="16"/>
          <w:szCs w:val="16"/>
        </w:rPr>
        <w:t xml:space="preserve">Proc. ACM/SIGDA Int. Symp. Field Programmable Gate Arrays</w:t>
      </w:r>
      <w:r>
        <w:rPr>
          <w:rFonts w:ascii="Times New Roman" w:cs="Times New Roman" w:eastAsia="Times New Roman" w:hAnsi="Times New Roman"/>
          <w:sz w:val="16"/>
          <w:szCs w:val="16"/>
        </w:rPr>
        <w:t xml:space="preserve">, Monterey, CA, USA, 1998, pp. 191–200.</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K. J. Åström and T. Hägglund, </w:t>
      </w:r>
      <w:r>
        <w:rPr>
          <w:rFonts w:ascii="Times New Roman" w:cs="Times New Roman" w:eastAsia="Times New Roman" w:hAnsi="Times New Roman"/>
          <w:i/>
          <w:iCs/>
          <w:sz w:val="16"/>
          <w:szCs w:val="16"/>
        </w:rPr>
        <w:t xml:space="preserve">PID Controllers: Theory, Design, and Tuning</w:t>
      </w:r>
      <w:r>
        <w:rPr>
          <w:rFonts w:ascii="Times New Roman" w:cs="Times New Roman" w:eastAsia="Times New Roman" w:hAnsi="Times New Roman"/>
          <w:sz w:val="16"/>
          <w:szCs w:val="16"/>
        </w:rPr>
        <w:t xml:space="preserve">, 2nd ed. Research Triangle Park, NC, USA: ISA, 1995.</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C. Bohn and D. P. Atherton, “An analysis package comparing PID anti-windup strategies,” </w:t>
      </w:r>
      <w:r>
        <w:rPr>
          <w:rFonts w:ascii="Times New Roman" w:cs="Times New Roman" w:eastAsia="Times New Roman" w:hAnsi="Times New Roman"/>
          <w:i/>
          <w:iCs/>
          <w:sz w:val="16"/>
          <w:szCs w:val="16"/>
        </w:rPr>
        <w:t xml:space="preserve">IEEE Control Syst. Mag.</w:t>
      </w:r>
      <w:r>
        <w:rPr>
          <w:rFonts w:ascii="Times New Roman" w:cs="Times New Roman" w:eastAsia="Times New Roman" w:hAnsi="Times New Roman"/>
          <w:sz w:val="16"/>
          <w:szCs w:val="16"/>
        </w:rPr>
        <w:t xml:space="preserve">, vol. 15, no. 2, pp. 34–40, Apr. 1995.</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H. W. van der Broeck, H.-C. Skudelny, and G. V. Stanke, “Analysis and realization of a pulsewidth modulator based on voltage space vectors,” </w:t>
      </w:r>
      <w:r>
        <w:rPr>
          <w:rFonts w:ascii="Times New Roman" w:cs="Times New Roman" w:eastAsia="Times New Roman" w:hAnsi="Times New Roman"/>
          <w:i/>
          <w:iCs/>
          <w:sz w:val="16"/>
          <w:szCs w:val="16"/>
        </w:rPr>
        <w:t xml:space="preserve">IEEE Trans. Ind. Appl.</w:t>
      </w:r>
      <w:r>
        <w:rPr>
          <w:rFonts w:ascii="Times New Roman" w:cs="Times New Roman" w:eastAsia="Times New Roman" w:hAnsi="Times New Roman"/>
          <w:sz w:val="16"/>
          <w:szCs w:val="16"/>
        </w:rPr>
        <w:t xml:space="preserve">, vol. 24, no. 1, pp. 142–150, Jan./Feb. 1988.</w:t>
      </w:r>
    </w:p>
    <w:p>
      <w:pPr>
        <w:tabs>
          <w:tab w:val="left" w:pos="360"/>
        </w:tabs>
        <w:spacing w:after="16" w:before="0" w:line="216"/>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D.-W. Chung, J.-S. Kim, and S.-K. Sul, “Unified voltage modulation technique for real-time three-phase power conversion,” </w:t>
      </w:r>
      <w:r>
        <w:rPr>
          <w:rFonts w:ascii="Times New Roman" w:cs="Times New Roman" w:eastAsia="Times New Roman" w:hAnsi="Times New Roman"/>
          <w:i/>
          <w:iCs/>
          <w:sz w:val="16"/>
          <w:szCs w:val="16"/>
        </w:rPr>
        <w:t xml:space="preserve">IEEE Trans. Ind. Appl.</w:t>
      </w:r>
      <w:r>
        <w:rPr>
          <w:rFonts w:ascii="Times New Roman" w:cs="Times New Roman" w:eastAsia="Times New Roman" w:hAnsi="Times New Roman"/>
          <w:sz w:val="16"/>
          <w:szCs w:val="16"/>
        </w:rPr>
        <w:t xml:space="preserve">, vol. 34, no. 2, pp. 374–380, Mar./Apr. 1998.</w:t>
      </w:r>
    </w:p>
    <w:sectPr>
      <w:type w:val="continuous"/>
      <w:pgSz w:w="12240" w:h="15840" w:orient="portrait"/>
      <w:pgMar w:top="1000" w:right="900" w:bottom="1200" w:left="900"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suff w:val="space"/>
      <w:lvlText w:val="%1."/>
      <w:lvlJc w:val="left"/>
      <w:pPr>
        <w:ind w:left="0" w:hanging="0"/>
      </w:pPr>
      <w:rPr>
        <w:rFonts w:ascii="Times New Roman" w:cs="Times New Roman" w:eastAsia="Times New Roman" w:hAnsi="Times New Roman"/>
        <w:smallCaps/>
      </w:rPr>
    </w:lvl>
    <w:lvl w:ilvl="1" w15:tentative="1">
      <w:start w:val="1"/>
      <w:numFmt w:val="upperLetter"/>
      <w:suff w:val="space"/>
      <w:lvlText w:val="%2."/>
      <w:lvlJc w:val="left"/>
      <w:pPr>
        <w:ind w:left="0" w:hanging="0"/>
      </w:pPr>
      <w:rPr>
        <w:rFonts w:ascii="Times New Roman" w:cs="Times New Roman" w:eastAsia="Times New Roman" w:hAnsi="Times New Roman"/>
        <w:i/>
        <w:i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60" w:line="232"/>
      <w:jc w:val="cente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Normal"/>
    <w:qFormat/>
    <w:pPr>
      <w:keepNext/>
      <w:spacing w:after="40" w:before="90" w:line="232"/>
      <w:jc w:val="left"/>
      <w:outlineLvl w:val="1"/>
    </w:pPr>
    <w:rPr>
      <w:rFonts w:ascii="Times New Roman" w:cs="Times New Roman" w:eastAsia="Times New Roman" w:hAnsi="Times New Roman"/>
      <w:b w:val="false"/>
      <w:bCs w:val="false"/>
      <w:i/>
      <w:i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f44203c295b8ae96f64f5a94bc5968a0edf8fb.png"/><Relationship Id="rId8" Type="http://schemas.openxmlformats.org/officeDocument/2006/relationships/image" Target="media/6cbba1bf7d5d1c8979cc6867bee62c21e424ee94.png"/><Relationship Id="rId9" Type="http://schemas.openxmlformats.org/officeDocument/2006/relationships/image" Target="media/6a5e3bed2ee931202d5fdef5da9e5da2bd7708e1.png"/><Relationship Id="rId10" Type="http://schemas.openxmlformats.org/officeDocument/2006/relationships/image" Target="media/83047c7b012fd1862ba95aa43668ffb6612e6639.png"/><Relationship Id="rId11" Type="http://schemas.openxmlformats.org/officeDocument/2006/relationships/image" Target="media/b6e94248cf1d6da2b7c426fabd2ac749bdc05a90.png"/><Relationship Id="rId12" Type="http://schemas.openxmlformats.org/officeDocument/2006/relationships/image" Target="media/67b9beaf8853df27f9ee940df54668e9257df3cb.png"/><Relationship Id="rId13" Type="http://schemas.openxmlformats.org/officeDocument/2006/relationships/image" Target="media/6a8c88692d02fdce5fbc142fc221e43707f46343.png"/><Relationship Id="rId14" Type="http://schemas.openxmlformats.org/officeDocument/2006/relationships/image" Target="media/df57ea4aa2b2d00d63adb1793ebf7ee6497fbef3.png"/><Relationship Id="rId15" Type="http://schemas.openxmlformats.org/officeDocument/2006/relationships/image" Target="media/a44a561290632a1617a434a20c318beb2a5e5e82.png"/><Relationship Id="rId16" Type="http://schemas.openxmlformats.org/officeDocument/2006/relationships/image" Target="media/cb2b61cb59d98ff5c1402c0acf1f75a1652b844a.png"/><Relationship Id="rId17" Type="http://schemas.openxmlformats.org/officeDocument/2006/relationships/image" Target="media/0eec19c91259646c09587d5dd6ea48e07c65c6f5.png"/><Relationship Id="rId18" Type="http://schemas.openxmlformats.org/officeDocument/2006/relationships/image" Target="media/0777eb57205fbb0580ed154ae0906c508099e09f.png"/><Relationship Id="rId19" Type="http://schemas.openxmlformats.org/officeDocument/2006/relationships/image" Target="media/b0e21ae34adb2e5b04322cc3849c3137791a2c99.png"/><Relationship Id="rId20" Type="http://schemas.openxmlformats.org/officeDocument/2006/relationships/image" Target="media/29c2fa621812e02936f14ad52ea59e950301aca9.png"/><Relationship Id="rId21" Type="http://schemas.openxmlformats.org/officeDocument/2006/relationships/image" Target="media/402d467e483998079f682f3f85b8802d3ec2caa2.png"/><Relationship Id="rId22" Type="http://schemas.openxmlformats.org/officeDocument/2006/relationships/image" Target="media/64a4202a3dbd8ff0c7eadc11f138e605b4907098.png"/><Relationship Id="rId23" Type="http://schemas.openxmlformats.org/officeDocument/2006/relationships/image" Target="media/72e0a2d6303d43d3b85abe51c32993916cb414bf.png"/><Relationship Id="rId24" Type="http://schemas.openxmlformats.org/officeDocument/2006/relationships/image" Target="media/0e817acdc1ffb2481d12101c25ae00160257082a.png"/><Relationship Id="rId25" Type="http://schemas.openxmlformats.org/officeDocument/2006/relationships/image" Target="media/60281e8b728dda9403af269ae54b918fac5a9bee.png"/><Relationship Id="rId26" Type="http://schemas.openxmlformats.org/officeDocument/2006/relationships/image" Target="media/1a59e68212bda2402244027ac5ac3b66f4426b69.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a Field-Oriented Control (FOC) System for a BLDC Motor on an FPGA</dc:title>
  <cp:lastModifiedBy>Un-named</cp:lastModifiedBy>
  <cp:revision>1</cp:revision>
  <dcterms:created xsi:type="dcterms:W3CDTF">2026-09-30T18:23:13.986Z</dcterms:created>
  <dcterms:modified xsi:type="dcterms:W3CDTF">2026-09-30T18:23:13.990Z</dcterms:modified>
</cp:coreProperties>
</file>

<file path=docProps/custom.xml><?xml version="1.0" encoding="utf-8"?>
<Properties xmlns="http://schemas.openxmlformats.org/officeDocument/2006/custom-properties" xmlns:vt="http://schemas.openxmlformats.org/officeDocument/2006/docPropsVTypes"/>
</file>