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LAKESIDE FINANCIAL</w:t>
      </w:r>
    </w:p>
    <w:p>
      <w:pPr>
        <w:spacing w:after="120"/>
      </w:pPr>
      <w:r>
        <w:rPr>
          <w:i/>
          <w:iCs/>
        </w:rPr>
        <w:t xml:space="preserve">Advice for life</w:t>
      </w:r>
    </w:p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Personal Insurance Strategy Guide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General Advice — protecting your income, your family and your wealth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General advice (educational) — </w:t>
            </w:r>
            <w:r>
              <w:rPr>
                <w:b/>
                <w:bCs/>
              </w:rPr>
              <w:t xml:space="preserve">not</w:t>
            </w:r>
            <w:r>
              <w:t xml:space="preserve"> a personal Statement of Advice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Lakeside Financial Pty Ltd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Australian Financial Services Licensee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Pareto Group Pty Ltd · ABN 11 155 278 078 · </w:t>
            </w:r>
            <w:r>
              <w:rPr>
                <w:b/>
                <w:bCs/>
              </w:rPr>
              <w:t xml:space="preserve">AFSL No. 418700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03 9596 5111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Current as at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2025–26 financial year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⚠ GENERAL ADVICE WARNING.</w:t>
      </w:r>
      <w:r>
        <w:t xml:space="preserve"> This document contains </w:t>
      </w:r>
      <w:r>
        <w:rPr>
          <w:b/>
          <w:bCs/>
        </w:rPr>
        <w:t xml:space="preserve">general advice only</w:t>
      </w:r>
      <w:r>
        <w:t xml:space="preserve"> and has been prepared </w:t>
      </w:r>
      <w:r>
        <w:rPr>
          <w:b/>
          <w:bCs/>
        </w:rPr>
        <w:t xml:space="preserve">without taking into account your objectives, financial situation or needs</w:t>
      </w:r>
      <w:r>
        <w:t xml:space="preserve">. Insurance is </w:t>
      </w:r>
      <w:r>
        <w:rPr>
          <w:b/>
          <w:bCs/>
        </w:rPr>
        <w:t xml:space="preserve">personal</w:t>
      </w:r>
      <w:r>
        <w:t xml:space="preserve"> — the right type, amount, ownership and provider depend on your circumstances and health. Before acting, obtain </w:t>
      </w:r>
      <w:r>
        <w:rPr>
          <w:b/>
          <w:bCs/>
        </w:rPr>
        <w:t xml:space="preserve">personal financial advice</w:t>
      </w:r>
      <w:r>
        <w:t xml:space="preserve"> and read the relevant </w:t>
      </w:r>
      <w:r>
        <w:rPr>
          <w:b/>
          <w:bCs/>
        </w:rPr>
        <w:t xml:space="preserve">PDS</w:t>
      </w:r>
      <w:r>
        <w:t xml:space="preserve"> and </w:t>
      </w:r>
      <w:r>
        <w:rPr>
          <w:b/>
          <w:bCs/>
        </w:rPr>
        <w:t xml:space="preserve">TMD</w:t>
      </w:r>
      <w:r>
        <w:t xml:space="preserve">. Do </w:t>
      </w:r>
      <w:r>
        <w:rPr>
          <w:b/>
          <w:bCs/>
        </w:rPr>
        <w:t xml:space="preserve">not</w:t>
      </w:r>
      <w:r>
        <w:t xml:space="preserve"> cancel any existing cover until replacement cover is confirmed </w:t>
      </w:r>
      <w:r>
        <w:rPr>
          <w:b/>
          <w:bCs/>
        </w:rPr>
        <w:t xml:space="preserve">in force</w:t>
      </w:r>
      <w:r>
        <w:t xml:space="preserve">. Past performance is not a reliable indicator of future performance.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1. Purpose of this guide</w:t>
      </w:r>
    </w:p>
    <w:p>
      <w:pPr>
        <w:spacing w:after="120"/>
      </w:pPr>
      <w:r>
        <w:t xml:space="preserve">Insurance protects the engine behind every financial plan — </w:t>
      </w:r>
      <w:r>
        <w:rPr>
          <w:b/>
          <w:bCs/>
        </w:rPr>
        <w:t xml:space="preserve">your ability to earn, and your family&amp;#39;s security if something goes wrong</w:t>
      </w:r>
      <w:r>
        <w:t xml:space="preserve">. This guide explains the main cover types, how to size and structure them, and the traps to avoid. It is general only; an actual recommendation requires a personal needs analysis.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2. The four main personal covers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Cover</w:t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Pays out when…</w:t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Typically protects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Life (death) cover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 die (or are terminally ill)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Family, debts, dependants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TPD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You&amp;#39;re totally &amp;amp; permanently disabled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Lump-sum needs if you can&amp;#39;t work again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Income protection (IP)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Illness/injury stops you working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An ongoing % of your income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Trauma / critical illness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 suffer a defined serious condition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Lump sum for treatment/recovery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3. Strategy 1 — Start with a needs analysis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Size cover from </w:t>
      </w:r>
      <w:r>
        <w:rPr>
          <w:b/>
          <w:bCs/>
        </w:rPr>
        <w:t xml:space="preserve">need</w:t>
      </w:r>
      <w:r>
        <w:t xml:space="preserve">, not a default — calculate the gap between what your family would require and the resources already available.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Everyone, especially those with dependants, debt or a sole income.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common framework is </w:t>
      </w:r>
      <w:r>
        <w:rPr>
          <w:b/>
          <w:bCs/>
        </w:rPr>
        <w:t xml:space="preserve">debts + income replacement + future costs (education, etc.) − existing assets/cover</w:t>
      </w:r>
      <w:r>
        <w:t xml:space="preserve">. The result sets the sum insured for each cover type.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Needs change with life stage; over-insuring wastes premiums, under-insuring leaves a gap; review regularly.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4. Strategy 2 — Life (death) cover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Hold enough life cover to clear debts and support dependants if you die.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 a mortgage, dependants or a single household income.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Pays a lump sum on death (or terminal illness). Can be held inside super (cash-flow friendly) or personally (more control, no preservation rules).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Need usually </w:t>
      </w:r>
      <w:r>
        <w:rPr>
          <w:b/>
          <w:bCs/>
        </w:rPr>
        <w:t xml:space="preserve">falls over time</w:t>
      </w:r>
      <w:r>
        <w:t xml:space="preserve"> as debts reduce and assets grow; coordinate the beneficiary with your estate plan.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5. Strategy 3 — Total &amp;amp; Permanent Disability (TPD)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Cover the lump-sum cost of never being able to work again.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Income earners, particularly with debt or dependants.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Pays a lump sum if you&amp;#39;re totally and permanently disabled under the policy definition. Definitions matter: </w:t>
      </w:r>
      <w:r>
        <w:rPr>
          <w:b/>
          <w:bCs/>
        </w:rPr>
        <w:t xml:space="preserve">&amp;quot;own occupation&amp;quot;</w:t>
      </w:r>
      <w:r>
        <w:t xml:space="preserve"> is broader (and usually can&amp;#39;t be held in super) vs </w:t>
      </w:r>
      <w:r>
        <w:rPr>
          <w:b/>
          <w:bCs/>
        </w:rPr>
        <w:t xml:space="preserve">&amp;quot;any occupation.&amp;quot;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Check the definition; TPD inside super may have a more restrictive definition and tax on payout in some cases.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6. Strategy 4 — Income protection (IP)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Replace a portion of your income (commonly up to ~70%) if illness or injury stops you working.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who relies on their income — often the </w:t>
      </w:r>
      <w:r>
        <w:rPr>
          <w:b/>
          <w:bCs/>
        </w:rPr>
        <w:t xml:space="preserve">most important</w:t>
      </w:r>
      <w:r>
        <w:t xml:space="preserve"> cover for working-age people.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Pays a monthly benefit after a </w:t>
      </w:r>
      <w:r>
        <w:rPr>
          <w:b/>
          <w:bCs/>
        </w:rPr>
        <w:t xml:space="preserve">waiting period</w:t>
      </w:r>
      <w:r>
        <w:t xml:space="preserve">, for a </w:t>
      </w:r>
      <w:r>
        <w:rPr>
          <w:b/>
          <w:bCs/>
        </w:rPr>
        <w:t xml:space="preserve">benefit period</w:t>
      </w:r>
      <w:r>
        <w:t xml:space="preserve"> (e.g. 2 years, or to age 65). Premiums for IP are generally </w:t>
      </w:r>
      <w:r>
        <w:rPr>
          <w:b/>
          <w:bCs/>
        </w:rPr>
        <w:t xml:space="preserve">tax-deductible</w:t>
      </w:r>
      <w:r>
        <w:t xml:space="preserve"> when held personally.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Longer waiting periods and shorter benefit periods cut premiums but increase your exposure; newer &amp;quot;income-protection&amp;quot; contracts differ from older &amp;quot;agreed value&amp;quot; ones — check terms.</w:t>
      </w:r>
    </w:p>
    <w:p>
      <w:pPr>
        <w:spacing w:after="120"/>
      </w:pPr>
      <w:r>
        <w:rPr>
          <w:i/>
          <w:iCs/>
        </w:rPr>
        <w:t xml:space="preserve">Tax note: personally held IP premiums are generally deductible; benefits are assessable income.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7. Strategy 5 — Trauma / critical illness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Provide a lump sum on diagnosis of a serious condition (e.g. cancer, heart attack, stroke).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who want a buffer for treatment, recovery time or reducing debt during illness.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Pays on diagnosis of a defined condition, regardless of whether you can work. Generally </w:t>
      </w:r>
      <w:r>
        <w:rPr>
          <w:b/>
          <w:bCs/>
        </w:rPr>
        <w:t xml:space="preserve">cannot</w:t>
      </w:r>
      <w:r>
        <w:t xml:space="preserve"> be held inside super.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Definitions and condition lists vary widely between insurers; premiums are not tax-deductible.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8. Strategy 6 — Inside super vs outside super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Choose where to hold each cover — inside superannuation, outside, or a mix.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 weighing cash flow against features and tax.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</w:t>
      </w:r>
      <w:r>
        <w:rPr>
          <w:b/>
          <w:bCs/>
        </w:rPr>
        <w:t xml:space="preserve">Inside super:</w:t>
      </w:r>
      <w:r>
        <w:t xml:space="preserve"> premiums funded from your balance (easier cash flow), but reduces retirement savings, definitions can be narrower, and death cover paid to a non-dependant is taxed. </w:t>
      </w:r>
      <w:r>
        <w:rPr>
          <w:b/>
          <w:bCs/>
        </w:rPr>
        <w:t xml:space="preserve">Outside super:</w:t>
      </w:r>
      <w:r>
        <w:t xml:space="preserve"> more comprehensive definitions and control, IP premiums deductible, but premiums paid from cash flow.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A common structure is </w:t>
      </w:r>
      <w:r>
        <w:rPr>
          <w:b/>
          <w:bCs/>
        </w:rPr>
        <w:t xml:space="preserve">IP and some life/TPD in super</w:t>
      </w:r>
      <w:r>
        <w:t xml:space="preserve"> for cash flow, with </w:t>
      </w:r>
      <w:r>
        <w:rPr>
          <w:b/>
          <w:bCs/>
        </w:rPr>
        <w:t xml:space="preserve">trauma and &amp;quot;own-occupation&amp;quot; TPD outside</w:t>
      </w:r>
      <w:r>
        <w:t xml:space="preserve">. Beware default super cover lapsing on inactivity.</w:t>
      </w:r>
    </w:p>
    <w:p>
      <w:pPr>
        <w:spacing w:after="120"/>
      </w:pPr>
      <w:r>
        <w:rPr>
          <w:i/>
          <w:iCs/>
        </w:rPr>
        <w:t xml:space="preserve">Legislative basis: SIS Act 1993 (insurance in super); ITAA 1997 (deductibility &amp;amp; death-benefit tax).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9. Strategy 7 — Structure ownership correctly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Get the </w:t>
      </w:r>
      <w:r>
        <w:rPr>
          <w:b/>
          <w:bCs/>
        </w:rPr>
        <w:t xml:space="preserve">ownership and beneficiary</w:t>
      </w:r>
      <w:r>
        <w:t xml:space="preserve"> of each policy right for tax and estate outcomes.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Couples, business owners, anyone coordinating insurance with their estate.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Options include self-ownership, super-fund ownership, cross-ownership (spouse owns the other&amp;#39;s policy) and business structures. Ownership affects who receives proceeds, the tax treatment and whether proceeds form part of the estate.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TPD/trauma proceeds can have CGT implications depending on owner; align with the estate plan and any buy-sell agreement.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10. Strategy 8 — Stepped vs level premiums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Choose a premium structure suited to how long you&amp;#39;ll hold the cover.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taking out or reviewing cover.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</w:t>
      </w:r>
      <w:r>
        <w:rPr>
          <w:b/>
          <w:bCs/>
        </w:rPr>
        <w:t xml:space="preserve">Stepped</w:t>
      </w:r>
      <w:r>
        <w:t xml:space="preserve"> premiums start lower but rise with age; </w:t>
      </w:r>
      <w:r>
        <w:rPr>
          <w:b/>
          <w:bCs/>
        </w:rPr>
        <w:t xml:space="preserve">level</w:t>
      </w:r>
      <w:r>
        <w:t xml:space="preserve"> premiums start higher but rise more slowly — often cheaper over the long term if cover is kept for many years.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Level isn&amp;#39;t &amp;quot;fixed&amp;quot; (it still changes with repricing); the breakeven depends on how long you keep the policy.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11. Strategy 9 — Underwriting &amp;amp; pre-existing conditions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Understand underwriting before changing anything — and </w:t>
      </w:r>
      <w:r>
        <w:rPr>
          <w:b/>
          <w:bCs/>
        </w:rPr>
        <w:t xml:space="preserve">never cancel before replacement is in force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reviewing, switching, or with a health change.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New cover is underwritten on your health; a new condition can mean exclusions, loadings or a decline. Existing in-force cover may therefore be </w:t>
      </w:r>
      <w:r>
        <w:rPr>
          <w:b/>
          <w:bCs/>
        </w:rPr>
        <w:t xml:space="preserve">irreplaceable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Things to consider — critical.</w:t>
      </w:r>
      <w:r>
        <w:t xml:space="preserve"> </w:t>
      </w:r>
      <w:r>
        <w:rPr>
          <w:b/>
          <w:bCs/>
        </w:rPr>
        <w:t xml:space="preserve">Do not cancel or roll over existing cover until any replacement is confirmed accepted and in force.</w:t>
      </w:r>
      <w:r>
        <w:t xml:space="preserve"> Disclose accurately; check pre-existing-condition exclusions in default/super cover.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12. Strategy 10 — Review on life events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Re-check cover whenever life changes, not just at renewal.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Marriage, children, a mortgage, a business, divorce, or rising assets all change the need — usually less life/TPD over time, but IP remains important while you&amp;#39;re working.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Avoid duplicate cover across multiple super funds; cancel only once replacement (if needed) is confirmed.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13. Strategy 11 — Beneficiaries &amp;amp; claims readiness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Nominate beneficiaries correctly and keep policy details accessible for a smooth claim.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All policyholders.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For super-held cover, a valid (preferably binding) nomination directs the death benefit; for personally held policies, the owner/beneficiary controls payment. Keep schedules, definitions and contacts on file.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Review nominations alongside the Will; understand each policy&amp;#39;s definitions and waiting/benefit periods before you need to claim.</w:t>
      </w:r>
    </w:p>
    <w:p>
      <w:pPr>
        <w:spacing w:after="120"/>
      </w:pPr>
      <w:r>
        <w:rPr>
          <w:i/>
          <w:iCs/>
        </w:rPr>
        <w:t xml:space="preserve">Legislative basis: SIS Act 1993 &amp;amp; Regs (nominations).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14. General risks &amp;amp; things to consider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Underinsurance</w:t>
      </w:r>
      <w:r>
        <w:t xml:space="preserve"> — most common gap is income protection and adequate life/TPD for debts and dependants.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Don&amp;#39;t cancel early</w:t>
      </w:r>
      <w:r>
        <w:t xml:space="preserve"> — existing cover can be irreplaceable after a health change; confirm replacement in force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Definitions matter</w:t>
      </w:r>
      <w:r>
        <w:t xml:space="preserve"> — &amp;quot;own&amp;quot; vs &amp;quot;any&amp;quot; occupation, condition lists, waiting/benefit periods drive whether a claim pays.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Cost vs cover</w:t>
      </w:r>
      <w:r>
        <w:t xml:space="preserve"> — stepped/level premiums and waiting periods change long-run cost; balance affordability and protection.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Personal advice</w:t>
      </w:r>
      <w:r>
        <w:t xml:space="preserve"> — sums insured, structure and provider should be set by a personal needs analysis; obtain personal advice and the relevant PDS/TMD before acting.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15. Glossary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Life (death) cover</w:t>
      </w:r>
      <w:r>
        <w:t xml:space="preserve"> — pays a lump sum on death or terminal illness.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TPD</w:t>
      </w:r>
      <w:r>
        <w:t xml:space="preserve"> — total and permanent disability cover; &amp;quot;own&amp;quot; vs &amp;quot;any&amp;quot; occupation definitions differ.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Income protection (IP)</w:t>
      </w:r>
      <w:r>
        <w:t xml:space="preserve"> — replaces part of your income during illness/injury; waiting and benefit periods apply.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Trauma / critical illness</w:t>
      </w:r>
      <w:r>
        <w:t xml:space="preserve"> — lump sum on diagnosis of a defined condition.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Stepped / level premiums</w:t>
      </w:r>
      <w:r>
        <w:t xml:space="preserve"> — premium structures that rise quickly with age vs more slowly.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Underwriting</w:t>
      </w:r>
      <w:r>
        <w:t xml:space="preserve"> — the insurer&amp;#39;s assessment of your health/risk when cover starts.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Waiting / benefit period</w:t>
      </w:r>
      <w:r>
        <w:t xml:space="preserve"> — the delay before IP pays, and how long it pays for.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16. Legislation &amp;amp; rules referenced</w:t>
      </w:r>
    </w:p>
    <w:p>
      <w:pPr>
        <w:spacing w:after="120"/>
      </w:pPr>
      <w:r>
        <w:t xml:space="preserve">Insurance in superannuation and nominations (SIS Act 1993 &amp;amp; Regulations); deductibility of premiums and tax on benefits/death benefits (ITAA 1997); CGT on certain policy proceeds (ITAA 1997 Div 102/104/118). Product terms, definitions and exclusions are set by each insurer&amp;#39;s PDS.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Disclaimer &amp;amp; General Advice Warning.</w:t>
      </w:r>
      <w:r>
        <w:t xml:space="preserve"> Issued by Lakeside Financial Pty Ltd (Authorised Representative of Pareto Group Pty Ltd, AFSL 418700). </w:t>
      </w:r>
      <w:r>
        <w:rPr>
          <w:b/>
          <w:bCs/>
        </w:rPr>
        <w:t xml:space="preserve">General advice only</w:t>
      </w:r>
      <w:r>
        <w:t xml:space="preserve"> — it does not consider your objectives, financial situation or needs, and is </w:t>
      </w:r>
      <w:r>
        <w:rPr>
          <w:b/>
          <w:bCs/>
        </w:rPr>
        <w:t xml:space="preserve">not</w:t>
      </w:r>
      <w:r>
        <w:t xml:space="preserve"> a Statement of Advice or personal recommendation. Insurance is personal and health-dependent; obtain personal advice and read the relevant PDS/TMD before acting, and never cancel existing cover until replacement is confirmed in force. Figures are current for </w:t>
      </w:r>
      <w:r>
        <w:rPr>
          <w:b/>
          <w:bCs/>
        </w:rPr>
        <w:t xml:space="preserve">2025–26</w:t>
      </w:r>
      <w:r>
        <w:t xml:space="preserve"> unless stated. Past performance is not a reliable indicator of future performance.</w:t>
      </w:r>
    </w:p>
    <w:p>
      <w:pPr>
        <w:spacing w:after="120"/>
      </w:pPr>
      <w:r>
        <w:rPr>
          <w:i/>
          <w:iCs/>
        </w:rPr>
        <w:t xml:space="preserve">— End of Personal Insurance Strategy Guide (General Advice) —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2026-06-16T06:56:51.901Z</dcterms:created>
  <dcterms:modified xsi:type="dcterms:W3CDTF">2026-06-16T06:56:51.901Z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