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bottom w:val="single" w:color="DDDDDD" w:sz="6"/>
        </w:pBdr>
        <w:spacing w:before="260" w:after="90"/>
      </w:pPr>
      <w:r>
        <w:rPr>
          <w:b/>
          <w:bCs/>
          <w:color w:val="4C9A2A"/>
          <w:sz w:val="32"/>
          <w:szCs w:val="32"/>
        </w:rPr>
        <w:t xml:space="preserve">LAKESIDE FINANCIAL</w:t>
      </w:r>
    </w:p>
    <w:p>
      <w:pPr>
        <w:spacing w:after="120"/>
      </w:pPr>
      <w:r>
        <w:rPr>
          <w:i/>
          <w:iCs/>
        </w:rPr>
        <w:t xml:space="preserve">Advice for life</w:t>
      </w:r>
    </w:p>
    <w:p>
      <w:pPr>
        <w:keepNext/>
        <w:pBdr>
          <w:bottom w:val="single" w:color="DDDDDD" w:sz="6"/>
        </w:pBdr>
        <w:spacing w:before="260" w:after="90"/>
      </w:pPr>
      <w:r>
        <w:rPr>
          <w:b/>
          <w:bCs/>
          <w:color w:val="4C9A2A"/>
          <w:sz w:val="32"/>
          <w:szCs w:val="32"/>
        </w:rPr>
        <w:t xml:space="preserve">Retirement Income Strategy Guide</w:t>
      </w:r>
    </w:p>
    <w:p>
      <w:pPr>
        <w:keepNext/>
        <w:spacing w:before="160" w:after="90"/>
      </w:pPr>
      <w:r>
        <w:rPr>
          <w:b/>
          <w:bCs/>
          <w:color w:val="333333"/>
          <w:sz w:val="22"/>
          <w:szCs w:val="22"/>
        </w:rPr>
        <w:t xml:space="preserve">General Advice — turning your savings into a reliable retirement income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EFEFEF"/>
            <w:tcMar>
              <w:top w:type="dxa" w:w="40"/>
              <w:left w:type="dxa" w:w="90"/>
              <w:bottom w:type="dxa" w:w="40"/>
              <w:right w:type="dxa" w:w="90"/>
            </w:tcMar>
          </w:tcPr>
          <w:p>
            <w:r>
              <w:t xml:space="preserve"/>
            </w:r>
          </w:p>
        </w:tc>
        <w:tc>
          <w:tcPr>
            <w:shd w:fill="EFEFEF"/>
            <w:tcMar>
              <w:top w:type="dxa" w:w="40"/>
              <w:left w:type="dxa" w:w="90"/>
              <w:bottom w:type="dxa" w:w="40"/>
              <w:right w:type="dxa" w:w="90"/>
            </w:tcMar>
          </w:tcPr>
          <w:p>
            <w:r>
              <w:t xml:space="preserve"/>
            </w:r>
          </w:p>
        </w:tc>
      </w:tr>
      <w:tr>
        <w:tc>
          <w:tcPr>
            <w:tcMar>
              <w:top w:type="dxa" w:w="40"/>
              <w:left w:type="dxa" w:w="90"/>
              <w:bottom w:type="dxa" w:w="40"/>
              <w:right w:type="dxa" w:w="90"/>
            </w:tcMar>
          </w:tcPr>
          <w:p>
            <w:r>
              <w:rPr>
                <w:b/>
                <w:bCs/>
              </w:rPr>
              <w:t xml:space="preserve">Document type</w:t>
            </w:r>
          </w:p>
        </w:tc>
        <w:tc>
          <w:tcPr>
            <w:tcMar>
              <w:top w:type="dxa" w:w="40"/>
              <w:left w:type="dxa" w:w="90"/>
              <w:bottom w:type="dxa" w:w="40"/>
              <w:right w:type="dxa" w:w="90"/>
            </w:tcMar>
          </w:tcPr>
          <w:p>
            <w:r>
              <w:t xml:space="preserve">General advice (educational) — </w:t>
            </w:r>
            <w:r>
              <w:rPr>
                <w:b/>
                <w:bCs/>
              </w:rPr>
              <w:t xml:space="preserve">not</w:t>
            </w:r>
            <w:r>
              <w:t xml:space="preserve"> a personal Statement of Advice</w:t>
            </w:r>
          </w:p>
        </w:tc>
      </w:tr>
      <w:tr>
        <w:tc>
          <w:tcPr>
            <w:tcMar>
              <w:top w:type="dxa" w:w="40"/>
              <w:left w:type="dxa" w:w="90"/>
              <w:bottom w:type="dxa" w:w="40"/>
              <w:right w:type="dxa" w:w="90"/>
            </w:tcMar>
          </w:tcPr>
          <w:p>
            <w:r>
              <w:rPr>
                <w:b/>
                <w:bCs/>
              </w:rPr>
              <w:t xml:space="preserve">Prepared by</w:t>
            </w:r>
          </w:p>
        </w:tc>
        <w:tc>
          <w:tcPr>
            <w:tcMar>
              <w:top w:type="dxa" w:w="40"/>
              <w:left w:type="dxa" w:w="90"/>
              <w:bottom w:type="dxa" w:w="40"/>
              <w:right w:type="dxa" w:w="90"/>
            </w:tcMar>
          </w:tcPr>
          <w:p>
            <w:r>
              <w:t xml:space="preserve">Lakeside Financial Pty Ltd</w:t>
            </w:r>
          </w:p>
        </w:tc>
      </w:tr>
      <w:tr>
        <w:tc>
          <w:tcPr>
            <w:tcMar>
              <w:top w:type="dxa" w:w="40"/>
              <w:left w:type="dxa" w:w="90"/>
              <w:bottom w:type="dxa" w:w="40"/>
              <w:right w:type="dxa" w:w="90"/>
            </w:tcMar>
          </w:tcPr>
          <w:p>
            <w:r>
              <w:rPr>
                <w:b/>
                <w:bCs/>
              </w:rPr>
              <w:t xml:space="preserve">Australian Financial Services Licensee</w:t>
            </w:r>
          </w:p>
        </w:tc>
        <w:tc>
          <w:tcPr>
            <w:tcMar>
              <w:top w:type="dxa" w:w="40"/>
              <w:left w:type="dxa" w:w="90"/>
              <w:bottom w:type="dxa" w:w="40"/>
              <w:right w:type="dxa" w:w="90"/>
            </w:tcMar>
          </w:tcPr>
          <w:p>
            <w:r>
              <w:t xml:space="preserve">Pareto Group Pty Ltd · ABN 11 155 278 078 · </w:t>
            </w:r>
            <w:r>
              <w:rPr>
                <w:b/>
                <w:bCs/>
              </w:rPr>
              <w:t xml:space="preserve">AFSL No. 418700</w:t>
            </w:r>
          </w:p>
        </w:tc>
      </w:tr>
      <w:tr>
        <w:tc>
          <w:tcPr>
            <w:tcMar>
              <w:top w:type="dxa" w:w="40"/>
              <w:left w:type="dxa" w:w="90"/>
              <w:bottom w:type="dxa" w:w="40"/>
              <w:right w:type="dxa" w:w="90"/>
            </w:tcMar>
          </w:tcPr>
          <w:p>
            <w:r>
              <w:rPr>
                <w:b/>
                <w:bCs/>
              </w:rPr>
              <w:t xml:space="preserve">Contact</w:t>
            </w:r>
          </w:p>
        </w:tc>
        <w:tc>
          <w:tcPr>
            <w:tcMar>
              <w:top w:type="dxa" w:w="40"/>
              <w:left w:type="dxa" w:w="90"/>
              <w:bottom w:type="dxa" w:w="40"/>
              <w:right w:type="dxa" w:w="90"/>
            </w:tcMar>
          </w:tcPr>
          <w:p>
            <w:r>
              <w:t xml:space="preserve">03 9596 5111</w:t>
            </w:r>
          </w:p>
        </w:tc>
      </w:tr>
      <w:tr>
        <w:tc>
          <w:tcPr>
            <w:tcMar>
              <w:top w:type="dxa" w:w="40"/>
              <w:left w:type="dxa" w:w="90"/>
              <w:bottom w:type="dxa" w:w="40"/>
              <w:right w:type="dxa" w:w="90"/>
            </w:tcMar>
          </w:tcPr>
          <w:p>
            <w:r>
              <w:rPr>
                <w:b/>
                <w:bCs/>
              </w:rPr>
              <w:t xml:space="preserve">Current as at</w:t>
            </w:r>
          </w:p>
        </w:tc>
        <w:tc>
          <w:tcPr>
            <w:tcMar>
              <w:top w:type="dxa" w:w="40"/>
              <w:left w:type="dxa" w:w="90"/>
              <w:bottom w:type="dxa" w:w="40"/>
              <w:right w:type="dxa" w:w="90"/>
            </w:tcMar>
          </w:tcPr>
          <w:p>
            <w:r>
              <w:t xml:space="preserve">2025–26 financial year</w:t>
            </w:r>
          </w:p>
        </w:tc>
      </w:tr>
    </w:tbl>
    <w:p>
      <w:pPr>
        <w:spacing w:after="80"/>
      </w:pPr>
      <w:r>
        <w:t xml:space="preserve"/>
      </w:r>
    </w:p>
    <w:p>
      <w:pPr>
        <w:pBdr>
          <w:top w:val="none"/>
          <w:bottom w:val="none"/>
          <w:left w:val="single" w:color="4C9A2A" w:sz="18"/>
          <w:right w:val="none"/>
        </w:pBdr>
        <w:shd w:fill="F4F7EF"/>
        <w:spacing w:before="120" w:after="120"/>
        <w:ind w:left="180"/>
      </w:pPr>
      <w:r>
        <w:rPr>
          <w:b/>
          <w:bCs/>
        </w:rPr>
        <w:t xml:space="preserve">⚠ GENERAL ADVICE WARNING.</w:t>
      </w:r>
      <w:r>
        <w:t xml:space="preserve"> This document contains </w:t>
      </w:r>
      <w:r>
        <w:rPr>
          <w:b/>
          <w:bCs/>
        </w:rPr>
        <w:t xml:space="preserve">general advice only</w:t>
      </w:r>
      <w:r>
        <w:t xml:space="preserve"> and has been prepared </w:t>
      </w:r>
      <w:r>
        <w:rPr>
          <w:b/>
          <w:bCs/>
        </w:rPr>
        <w:t xml:space="preserve">without taking into account your objectives, financial situation or needs</w:t>
      </w:r>
      <w:r>
        <w:t xml:space="preserve">. Before acting, consider whether it is appropriate for you and obtain </w:t>
      </w:r>
      <w:r>
        <w:rPr>
          <w:b/>
          <w:bCs/>
        </w:rPr>
        <w:t xml:space="preserve">personal financial advice</w:t>
      </w:r>
      <w:r>
        <w:t xml:space="preserve">; read any relevant </w:t>
      </w:r>
      <w:r>
        <w:rPr>
          <w:b/>
          <w:bCs/>
        </w:rPr>
        <w:t xml:space="preserve">PDS</w:t>
      </w:r>
      <w:r>
        <w:t xml:space="preserve"> and </w:t>
      </w:r>
      <w:r>
        <w:rPr>
          <w:b/>
          <w:bCs/>
        </w:rPr>
        <w:t xml:space="preserve">TMD</w:t>
      </w:r>
      <w:r>
        <w:t xml:space="preserve"> first. Tax, super and social-security rules change and many thresholds are indexed (Age Pension rates and limits change in March and September each year) — confirm current figures before relying on them. Past performance is not a reliable indicator of future performance.</w:t>
      </w:r>
    </w:p>
    <w:p>
      <w:pPr>
        <w:pBdr>
          <w:bottom w:val="single" w:color="DDDDDD" w:sz="6"/>
        </w:pBdr>
        <w:spacing w:before="40" w:after="120"/>
      </w:pPr>
      <w:r>
        <w:t xml:space="preserve"/>
      </w:r>
    </w:p>
    <w:p>
      <w:pPr>
        <w:keepNext/>
        <w:spacing w:before="260" w:after="90"/>
      </w:pPr>
      <w:r>
        <w:rPr>
          <w:b/>
          <w:bCs/>
          <w:color w:val="4C9A2A"/>
          <w:sz w:val="26"/>
          <w:szCs w:val="26"/>
        </w:rPr>
        <w:t xml:space="preserve">1. Purpose of this guide</w:t>
      </w:r>
    </w:p>
    <w:p>
      <w:pPr>
        <w:spacing w:after="120"/>
      </w:pPr>
      <w:r>
        <w:t xml:space="preserve">Building wealth is only half the job — the harder part is </w:t>
      </w:r>
      <w:r>
        <w:rPr>
          <w:b/>
          <w:bCs/>
        </w:rPr>
        <w:t xml:space="preserve">converting it into a reliable, tax-effective income that lasts</w:t>
      </w:r>
      <w:r>
        <w:t xml:space="preserve">. This guide outlines strategies people use to structure retirement income, manage the key risks (running out, market timing, inflation), make the most of the Age Pension, and keep tax low. It is general only and not a recommendation to you personally.</w:t>
      </w:r>
    </w:p>
    <w:p>
      <w:pPr>
        <w:pBdr>
          <w:bottom w:val="single" w:color="DDDDDD" w:sz="6"/>
        </w:pBdr>
        <w:spacing w:before="40" w:after="120"/>
      </w:pPr>
      <w:r>
        <w:t xml:space="preserve"/>
      </w:r>
    </w:p>
    <w:p>
      <w:pPr>
        <w:keepNext/>
        <w:spacing w:before="260" w:after="90"/>
      </w:pPr>
      <w:r>
        <w:rPr>
          <w:b/>
          <w:bCs/>
          <w:color w:val="4C9A2A"/>
          <w:sz w:val="26"/>
          <w:szCs w:val="26"/>
        </w:rPr>
        <w:t xml:space="preserve">2. The key risks a retirement income plan manages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EFEFEF"/>
            <w:tcMar>
              <w:top w:type="dxa" w:w="40"/>
              <w:left w:type="dxa" w:w="90"/>
              <w:bottom w:type="dxa" w:w="40"/>
              <w:right w:type="dxa" w:w="90"/>
            </w:tcMar>
          </w:tcPr>
          <w:p>
            <w:r>
              <w:rPr>
                <w:b/>
                <w:bCs/>
              </w:rPr>
              <w:t xml:space="preserve">Risk</w:t>
            </w:r>
          </w:p>
        </w:tc>
        <w:tc>
          <w:tcPr>
            <w:shd w:fill="EFEFEF"/>
            <w:tcMar>
              <w:top w:type="dxa" w:w="40"/>
              <w:left w:type="dxa" w:w="90"/>
              <w:bottom w:type="dxa" w:w="40"/>
              <w:right w:type="dxa" w:w="90"/>
            </w:tcMar>
          </w:tcPr>
          <w:p>
            <w:r>
              <w:rPr>
                <w:b/>
                <w:bCs/>
              </w:rPr>
              <w:t xml:space="preserve">What it means</w:t>
            </w:r>
          </w:p>
        </w:tc>
      </w:tr>
      <w:tr>
        <w:tc>
          <w:tcPr>
            <w:tcMar>
              <w:top w:type="dxa" w:w="40"/>
              <w:left w:type="dxa" w:w="90"/>
              <w:bottom w:type="dxa" w:w="40"/>
              <w:right w:type="dxa" w:w="90"/>
            </w:tcMar>
          </w:tcPr>
          <w:p>
            <w:r>
              <w:rPr>
                <w:b/>
                <w:bCs/>
              </w:rPr>
              <w:t xml:space="preserve">Longevity risk</w:t>
            </w:r>
          </w:p>
        </w:tc>
        <w:tc>
          <w:tcPr>
            <w:tcMar>
              <w:top w:type="dxa" w:w="40"/>
              <w:left w:type="dxa" w:w="90"/>
              <w:bottom w:type="dxa" w:w="40"/>
              <w:right w:type="dxa" w:w="90"/>
            </w:tcMar>
          </w:tcPr>
          <w:p>
            <w:r>
              <w:t xml:space="preserve">Outliving your money — retirements can last 25–30+ years</w:t>
            </w:r>
          </w:p>
        </w:tc>
      </w:tr>
      <w:tr>
        <w:tc>
          <w:tcPr>
            <w:tcMar>
              <w:top w:type="dxa" w:w="40"/>
              <w:left w:type="dxa" w:w="90"/>
              <w:bottom w:type="dxa" w:w="40"/>
              <w:right w:type="dxa" w:w="90"/>
            </w:tcMar>
          </w:tcPr>
          <w:p>
            <w:r>
              <w:rPr>
                <w:b/>
                <w:bCs/>
              </w:rPr>
              <w:t xml:space="preserve">Sequencing risk</w:t>
            </w:r>
          </w:p>
        </w:tc>
        <w:tc>
          <w:tcPr>
            <w:tcMar>
              <w:top w:type="dxa" w:w="40"/>
              <w:left w:type="dxa" w:w="90"/>
              <w:bottom w:type="dxa" w:w="40"/>
              <w:right w:type="dxa" w:w="90"/>
            </w:tcMar>
          </w:tcPr>
          <w:p>
            <w:r>
              <w:t xml:space="preserve">A market fall </w:t>
            </w:r>
            <w:r>
              <w:rPr>
                <w:b/>
                <w:bCs/>
              </w:rPr>
              <w:t xml:space="preserve">early</w:t>
            </w:r>
            <w:r>
              <w:t xml:space="preserve"> in retirement (while drawing income) is hard to recover from</w:t>
            </w:r>
          </w:p>
        </w:tc>
      </w:tr>
      <w:tr>
        <w:tc>
          <w:tcPr>
            <w:tcMar>
              <w:top w:type="dxa" w:w="40"/>
              <w:left w:type="dxa" w:w="90"/>
              <w:bottom w:type="dxa" w:w="40"/>
              <w:right w:type="dxa" w:w="90"/>
            </w:tcMar>
          </w:tcPr>
          <w:p>
            <w:r>
              <w:rPr>
                <w:b/>
                <w:bCs/>
              </w:rPr>
              <w:t xml:space="preserve">Inflation risk</w:t>
            </w:r>
          </w:p>
        </w:tc>
        <w:tc>
          <w:tcPr>
            <w:tcMar>
              <w:top w:type="dxa" w:w="40"/>
              <w:left w:type="dxa" w:w="90"/>
              <w:bottom w:type="dxa" w:w="40"/>
              <w:right w:type="dxa" w:w="90"/>
            </w:tcMar>
          </w:tcPr>
          <w:p>
            <w:r>
              <w:t xml:space="preserve">Rising costs erode purchasing power over a long retirement</w:t>
            </w:r>
          </w:p>
        </w:tc>
      </w:tr>
      <w:tr>
        <w:tc>
          <w:tcPr>
            <w:tcMar>
              <w:top w:type="dxa" w:w="40"/>
              <w:left w:type="dxa" w:w="90"/>
              <w:bottom w:type="dxa" w:w="40"/>
              <w:right w:type="dxa" w:w="90"/>
            </w:tcMar>
          </w:tcPr>
          <w:p>
            <w:r>
              <w:rPr>
                <w:b/>
                <w:bCs/>
              </w:rPr>
              <w:t xml:space="preserve">Tax &amp;amp; means-test risk</w:t>
            </w:r>
          </w:p>
        </w:tc>
        <w:tc>
          <w:tcPr>
            <w:tcMar>
              <w:top w:type="dxa" w:w="40"/>
              <w:left w:type="dxa" w:w="90"/>
              <w:bottom w:type="dxa" w:w="40"/>
              <w:right w:type="dxa" w:w="90"/>
            </w:tcMar>
          </w:tcPr>
          <w:p>
            <w:r>
              <w:t xml:space="preserve">Poor structure can cost tax or Age Pension entitlements unnecessarily</w:t>
            </w:r>
          </w:p>
        </w:tc>
      </w:tr>
    </w:tbl>
    <w:p>
      <w:pPr>
        <w:spacing w:after="80"/>
      </w:pPr>
      <w:r>
        <w:t xml:space="preserve"/>
      </w:r>
    </w:p>
    <w:p>
      <w:pPr>
        <w:pBdr>
          <w:bottom w:val="single" w:color="DDDDDD" w:sz="6"/>
        </w:pBdr>
        <w:spacing w:before="40" w:after="120"/>
      </w:pPr>
      <w:r>
        <w:t xml:space="preserve"/>
      </w:r>
    </w:p>
    <w:p>
      <w:pPr>
        <w:keepNext/>
        <w:spacing w:before="260" w:after="90"/>
      </w:pPr>
      <w:r>
        <w:rPr>
          <w:b/>
          <w:bCs/>
          <w:color w:val="4C9A2A"/>
          <w:sz w:val="26"/>
          <w:szCs w:val="26"/>
        </w:rPr>
        <w:t xml:space="preserve">3. Strategy 1 — Set a clear income target and budget</w:t>
      </w:r>
    </w:p>
    <w:p>
      <w:pPr>
        <w:spacing w:after="120"/>
      </w:pPr>
      <w:r>
        <w:rPr>
          <w:b/>
          <w:bCs/>
        </w:rPr>
        <w:t xml:space="preserve">The strategy.</w:t>
      </w:r>
      <w:r>
        <w:t xml:space="preserve"> Define the </w:t>
      </w:r>
      <w:r>
        <w:rPr>
          <w:b/>
          <w:bCs/>
        </w:rPr>
        <w:t xml:space="preserve">annual after-tax income</w:t>
      </w:r>
      <w:r>
        <w:t xml:space="preserve"> you want in retirement (essentials vs lifestyle), then work backward to the capital and drawdown needed.</w:t>
      </w:r>
    </w:p>
    <w:p>
      <w:pPr>
        <w:spacing w:after="120"/>
      </w:pPr>
      <w:r>
        <w:rPr>
          <w:b/>
          <w:bCs/>
        </w:rPr>
        <w:t xml:space="preserve">Who it may suit.</w:t>
      </w:r>
      <w:r>
        <w:t xml:space="preserve"> Everyone approaching or in retirement.</w:t>
      </w:r>
    </w:p>
    <w:p>
      <w:pPr>
        <w:spacing w:after="120"/>
      </w:pPr>
      <w:r>
        <w:rPr>
          <w:b/>
          <w:bCs/>
        </w:rPr>
        <w:t xml:space="preserve">How it works.</w:t>
      </w:r>
      <w:r>
        <w:t xml:space="preserve"> A target (e.g. a &amp;quot;comfortable&amp;quot; vs &amp;quot;modest&amp;quot; standard) anchors every other decision — how much to hold in super, how much to draw, and whether to top up with the Age Pension or part-time work.</w:t>
      </w:r>
    </w:p>
    <w:p>
      <w:pPr>
        <w:spacing w:after="120"/>
      </w:pPr>
      <w:r>
        <w:rPr>
          <w:b/>
          <w:bCs/>
        </w:rPr>
        <w:t xml:space="preserve">Things to consider.</w:t>
      </w:r>
      <w:r>
        <w:t xml:space="preserve"> Split spending into </w:t>
      </w:r>
      <w:r>
        <w:rPr>
          <w:b/>
          <w:bCs/>
        </w:rPr>
        <w:t xml:space="preserve">essential</w:t>
      </w:r>
      <w:r>
        <w:t xml:space="preserve"> (cover with reliable/guaranteed income) and </w:t>
      </w:r>
      <w:r>
        <w:rPr>
          <w:b/>
          <w:bCs/>
        </w:rPr>
        <w:t xml:space="preserve">discretionary</w:t>
      </w:r>
      <w:r>
        <w:t xml:space="preserve"> (fund from growth assets); revisit annually.</w:t>
      </w:r>
    </w:p>
    <w:p>
      <w:pPr>
        <w:pBdr>
          <w:bottom w:val="single" w:color="DDDDDD" w:sz="6"/>
        </w:pBdr>
        <w:spacing w:before="40" w:after="120"/>
      </w:pPr>
      <w:r>
        <w:t xml:space="preserve"/>
      </w:r>
    </w:p>
    <w:p>
      <w:pPr>
        <w:keepNext/>
        <w:spacing w:before="260" w:after="90"/>
      </w:pPr>
      <w:r>
        <w:rPr>
          <w:b/>
          <w:bCs/>
          <w:color w:val="4C9A2A"/>
          <w:sz w:val="26"/>
          <w:szCs w:val="26"/>
        </w:rPr>
        <w:t xml:space="preserve">4. Strategy 2 — Account-based pension (tax-free retirement phase)</w:t>
      </w:r>
    </w:p>
    <w:p>
      <w:pPr>
        <w:spacing w:after="120"/>
      </w:pPr>
      <w:r>
        <w:rPr>
          <w:b/>
          <w:bCs/>
        </w:rPr>
        <w:t xml:space="preserve">The strategy.</w:t>
      </w:r>
      <w:r>
        <w:t xml:space="preserve"> Convert super to an </w:t>
      </w:r>
      <w:r>
        <w:rPr>
          <w:b/>
          <w:bCs/>
        </w:rPr>
        <w:t xml:space="preserve">account-based pension</w:t>
      </w:r>
      <w:r>
        <w:t xml:space="preserve"> so earnings and income are </w:t>
      </w:r>
      <w:r>
        <w:rPr>
          <w:b/>
          <w:bCs/>
        </w:rPr>
        <w:t xml:space="preserve">tax-free</w:t>
      </w:r>
      <w:r>
        <w:t xml:space="preserve">.</w:t>
      </w:r>
    </w:p>
    <w:p>
      <w:pPr>
        <w:spacing w:after="120"/>
      </w:pPr>
      <w:r>
        <w:rPr>
          <w:b/>
          <w:bCs/>
        </w:rPr>
        <w:t xml:space="preserve">Who it may suit.</w:t>
      </w:r>
      <w:r>
        <w:t xml:space="preserve"> People who have retired or met a condition of release.</w:t>
      </w:r>
    </w:p>
    <w:p>
      <w:pPr>
        <w:spacing w:after="120"/>
      </w:pPr>
      <w:r>
        <w:rPr>
          <w:b/>
          <w:bCs/>
        </w:rPr>
        <w:t xml:space="preserve">How it works.</w:t>
      </w:r>
      <w:r>
        <w:t xml:space="preserve"> Investment earnings on the supporting capital are tax-exempt and payments are tax-free from age 60. Amounts moved into retirement phase are limited by your personal </w:t>
      </w:r>
      <w:r>
        <w:rPr>
          <w:b/>
          <w:bCs/>
        </w:rPr>
        <w:t xml:space="preserve">Transfer Balance Cap</w:t>
      </w:r>
      <w:r>
        <w:t xml:space="preserve"> (general cap </w:t>
      </w:r>
      <w:r>
        <w:rPr>
          <w:b/>
          <w:bCs/>
        </w:rPr>
        <w:t xml:space="preserve">$2.0M</w:t>
      </w:r>
      <w:r>
        <w:t xml:space="preserve">, 2025–26).</w:t>
      </w:r>
    </w:p>
    <w:p>
      <w:pPr>
        <w:spacing w:after="120"/>
      </w:pPr>
      <w:r>
        <w:rPr>
          <w:b/>
          <w:bCs/>
        </w:rPr>
        <w:t xml:space="preserve">Things to consider.</w:t>
      </w:r>
      <w:r>
        <w:t xml:space="preserve"> Minimum drawdowns apply each year (age-based, from 4%); amounts above the cap stay in accumulation (15% on earnings); capital remains market-exposed.</w:t>
      </w:r>
    </w:p>
    <w:p>
      <w:pPr>
        <w:spacing w:after="120"/>
      </w:pPr>
      <w:r>
        <w:rPr>
          <w:i/>
          <w:iCs/>
        </w:rPr>
        <w:t xml:space="preserve">Legislative basis: ITAA 1997 s295-385 (ECPI); Subdiv 294-B (Transfer Balance Cap).</w:t>
      </w:r>
    </w:p>
    <w:p>
      <w:pPr>
        <w:pBdr>
          <w:bottom w:val="single" w:color="DDDDDD" w:sz="6"/>
        </w:pBdr>
        <w:spacing w:before="40" w:after="120"/>
      </w:pPr>
      <w:r>
        <w:t xml:space="preserve"/>
      </w:r>
    </w:p>
    <w:p>
      <w:pPr>
        <w:keepNext/>
        <w:spacing w:before="260" w:after="90"/>
      </w:pPr>
      <w:r>
        <w:rPr>
          <w:b/>
          <w:bCs/>
          <w:color w:val="4C9A2A"/>
          <w:sz w:val="26"/>
          <w:szCs w:val="26"/>
        </w:rPr>
        <w:t xml:space="preserve">5. Strategy 3 — Transition to retirement (TTR)</w:t>
      </w:r>
    </w:p>
    <w:p>
      <w:pPr>
        <w:spacing w:after="120"/>
      </w:pPr>
      <w:r>
        <w:rPr>
          <w:b/>
          <w:bCs/>
        </w:rPr>
        <w:t xml:space="preserve">The strategy.</w:t>
      </w:r>
      <w:r>
        <w:t xml:space="preserve"> From </w:t>
      </w:r>
      <w:r>
        <w:rPr>
          <w:b/>
          <w:bCs/>
        </w:rPr>
        <w:t xml:space="preserve">age 60</w:t>
      </w:r>
      <w:r>
        <w:t xml:space="preserve">, draw a TTR pension while still working to ease into retirement or run a contribute-and-draw strategy.</w:t>
      </w:r>
    </w:p>
    <w:p>
      <w:pPr>
        <w:spacing w:after="120"/>
      </w:pPr>
      <w:r>
        <w:rPr>
          <w:b/>
          <w:bCs/>
        </w:rPr>
        <w:t xml:space="preserve">Who it may suit.</w:t>
      </w:r>
      <w:r>
        <w:t xml:space="preserve"> People 60+ reducing hours or boosting super in the final working years.</w:t>
      </w:r>
    </w:p>
    <w:p>
      <w:pPr>
        <w:spacing w:after="120"/>
      </w:pPr>
      <w:r>
        <w:rPr>
          <w:b/>
          <w:bCs/>
        </w:rPr>
        <w:t xml:space="preserve">How it works.</w:t>
      </w:r>
      <w:r>
        <w:t xml:space="preserve"> Draw 4–10% p.a. while continuing concessional contributions; converts to a full account-based pension on retirement (when earnings become tax-free).</w:t>
      </w:r>
    </w:p>
    <w:p>
      <w:pPr>
        <w:spacing w:after="120"/>
      </w:pPr>
      <w:r>
        <w:rPr>
          <w:b/>
          <w:bCs/>
        </w:rPr>
        <w:t xml:space="preserve">Things to consider.</w:t>
      </w:r>
      <w:r>
        <w:t xml:space="preserve"> TTR earnings aren&amp;#39;t tax-free until full retirement; rules can change.</w:t>
      </w:r>
    </w:p>
    <w:p>
      <w:pPr>
        <w:spacing w:after="120"/>
      </w:pPr>
      <w:r>
        <w:rPr>
          <w:i/>
          <w:iCs/>
        </w:rPr>
        <w:t xml:space="preserve">Legislative basis: SIS Regs (TTR); ITAA 1997 s295-385.</w:t>
      </w:r>
    </w:p>
    <w:p>
      <w:pPr>
        <w:pBdr>
          <w:bottom w:val="single" w:color="DDDDDD" w:sz="6"/>
        </w:pBdr>
        <w:spacing w:before="40" w:after="120"/>
      </w:pPr>
      <w:r>
        <w:t xml:space="preserve"/>
      </w:r>
    </w:p>
    <w:p>
      <w:pPr>
        <w:keepNext/>
        <w:spacing w:before="260" w:after="90"/>
      </w:pPr>
      <w:r>
        <w:rPr>
          <w:b/>
          <w:bCs/>
          <w:color w:val="4C9A2A"/>
          <w:sz w:val="26"/>
          <w:szCs w:val="26"/>
        </w:rPr>
        <w:t xml:space="preserve">6. Strategy 4 — Manage sequencing risk with a cash/bucket approach</w:t>
      </w:r>
    </w:p>
    <w:p>
      <w:pPr>
        <w:spacing w:after="120"/>
      </w:pPr>
      <w:r>
        <w:rPr>
          <w:b/>
          <w:bCs/>
        </w:rPr>
        <w:t xml:space="preserve">The strategy.</w:t>
      </w:r>
      <w:r>
        <w:t xml:space="preserve"> Hold </w:t>
      </w:r>
      <w:r>
        <w:rPr>
          <w:b/>
          <w:bCs/>
        </w:rPr>
        <w:t xml:space="preserve">1–3 years of income needs in cash/defensive assets</w:t>
      </w:r>
      <w:r>
        <w:t xml:space="preserve"> so you don&amp;#39;t have to sell growth assets in a downturn.</w:t>
      </w:r>
    </w:p>
    <w:p>
      <w:pPr>
        <w:spacing w:after="120"/>
      </w:pPr>
      <w:r>
        <w:rPr>
          <w:b/>
          <w:bCs/>
        </w:rPr>
        <w:t xml:space="preserve">Who it may suit.</w:t>
      </w:r>
      <w:r>
        <w:t xml:space="preserve"> Anyone drawing an income from market-linked investments, especially early in retirement.</w:t>
      </w:r>
    </w:p>
    <w:p>
      <w:pPr>
        <w:spacing w:after="120"/>
      </w:pPr>
      <w:r>
        <w:rPr>
          <w:b/>
          <w:bCs/>
        </w:rPr>
        <w:t xml:space="preserve">How it works.</w:t>
      </w:r>
      <w:r>
        <w:t xml:space="preserve"> A &amp;quot;bucket&amp;quot; structure — cash for near-term spending, defensive for the medium term, growth for the long term — lets growth assets recover before you draw on them, softening sequencing risk.</w:t>
      </w:r>
    </w:p>
    <w:p>
      <w:pPr>
        <w:spacing w:after="120"/>
      </w:pPr>
      <w:r>
        <w:rPr>
          <w:b/>
          <w:bCs/>
        </w:rPr>
        <w:t xml:space="preserve">Things to consider.</w:t>
      </w:r>
      <w:r>
        <w:t xml:space="preserve"> Holding too much cash drags on long-term returns; rebalance the buckets periodically.</w:t>
      </w:r>
    </w:p>
    <w:p>
      <w:pPr>
        <w:pBdr>
          <w:bottom w:val="single" w:color="DDDDDD" w:sz="6"/>
        </w:pBdr>
        <w:spacing w:before="40" w:after="120"/>
      </w:pPr>
      <w:r>
        <w:t xml:space="preserve"/>
      </w:r>
    </w:p>
    <w:p>
      <w:pPr>
        <w:keepNext/>
        <w:spacing w:before="260" w:after="90"/>
      </w:pPr>
      <w:r>
        <w:rPr>
          <w:b/>
          <w:bCs/>
          <w:color w:val="4C9A2A"/>
          <w:sz w:val="26"/>
          <w:szCs w:val="26"/>
        </w:rPr>
        <w:t xml:space="preserve">7. Strategy 5 — Choose a sustainable drawdown rate</w:t>
      </w:r>
    </w:p>
    <w:p>
      <w:pPr>
        <w:spacing w:after="120"/>
      </w:pPr>
      <w:r>
        <w:rPr>
          <w:b/>
          <w:bCs/>
        </w:rPr>
        <w:t xml:space="preserve">The strategy.</w:t>
      </w:r>
      <w:r>
        <w:t xml:space="preserve"> Draw at a </w:t>
      </w:r>
      <w:r>
        <w:rPr>
          <w:b/>
          <w:bCs/>
        </w:rPr>
        <w:t xml:space="preserve">sustainable rate</w:t>
      </w:r>
      <w:r>
        <w:t xml:space="preserve"> rather than just the legislated minimum or an arbitrary figure.</w:t>
      </w:r>
    </w:p>
    <w:p>
      <w:pPr>
        <w:spacing w:after="120"/>
      </w:pPr>
      <w:r>
        <w:rPr>
          <w:b/>
          <w:bCs/>
        </w:rPr>
        <w:t xml:space="preserve">Who it may suit.</w:t>
      </w:r>
      <w:r>
        <w:t xml:space="preserve"> Retirees balancing income now against not running out later.</w:t>
      </w:r>
    </w:p>
    <w:p>
      <w:pPr>
        <w:spacing w:after="120"/>
      </w:pPr>
      <w:r>
        <w:rPr>
          <w:b/>
          <w:bCs/>
        </w:rPr>
        <w:t xml:space="preserve">How it works.</w:t>
      </w:r>
      <w:r>
        <w:t xml:space="preserve"> Minimum drawdowns are age-based (4% under 65, scaling up). A sustainable rate depends on your balance, returns, longevity and Age Pension backstop — modelling helps set it.</w:t>
      </w:r>
    </w:p>
    <w:p>
      <w:pPr>
        <w:spacing w:after="120"/>
      </w:pPr>
      <w:r>
        <w:rPr>
          <w:b/>
          <w:bCs/>
        </w:rPr>
        <w:t xml:space="preserve">Things to consider.</w:t>
      </w:r>
      <w:r>
        <w:t xml:space="preserve"> Drawing too much risks longevity; too little may mean under-living your retirement; review yearly.</w:t>
      </w:r>
    </w:p>
    <w:p>
      <w:pPr>
        <w:pBdr>
          <w:bottom w:val="single" w:color="DDDDDD" w:sz="6"/>
        </w:pBdr>
        <w:spacing w:before="40" w:after="120"/>
      </w:pPr>
      <w:r>
        <w:t xml:space="preserve"/>
      </w:r>
    </w:p>
    <w:p>
      <w:pPr>
        <w:keepNext/>
        <w:spacing w:before="260" w:after="90"/>
      </w:pPr>
      <w:r>
        <w:rPr>
          <w:b/>
          <w:bCs/>
          <w:color w:val="4C9A2A"/>
          <w:sz w:val="26"/>
          <w:szCs w:val="26"/>
        </w:rPr>
        <w:t xml:space="preserve">8. Strategy 6 — Maximise Age Pension entitlements</w:t>
      </w:r>
    </w:p>
    <w:p>
      <w:pPr>
        <w:spacing w:after="120"/>
      </w:pPr>
      <w:r>
        <w:rPr>
          <w:b/>
          <w:bCs/>
        </w:rPr>
        <w:t xml:space="preserve">The strategy.</w:t>
      </w:r>
      <w:r>
        <w:t xml:space="preserve"> Structure assets and income so you receive any Age Pension you&amp;#39;re entitled to (even a part pension brings valuable concessions).</w:t>
      </w:r>
    </w:p>
    <w:p>
      <w:pPr>
        <w:spacing w:after="120"/>
      </w:pPr>
      <w:r>
        <w:rPr>
          <w:b/>
          <w:bCs/>
        </w:rPr>
        <w:t xml:space="preserve">Who it may suit.</w:t>
      </w:r>
      <w:r>
        <w:t xml:space="preserve"> Retirees near the means-test thresholds.</w:t>
      </w:r>
    </w:p>
    <w:p>
      <w:pPr>
        <w:spacing w:after="120"/>
      </w:pPr>
      <w:r>
        <w:rPr>
          <w:b/>
          <w:bCs/>
        </w:rPr>
        <w:t xml:space="preserve">How it works.</w:t>
      </w:r>
      <w:r>
        <w:t xml:space="preserve"> Entitlement is the </w:t>
      </w:r>
      <w:r>
        <w:rPr>
          <w:b/>
          <w:bCs/>
        </w:rPr>
        <w:t xml:space="preserve">lower</w:t>
      </w:r>
      <w:r>
        <w:t xml:space="preserve"> result of an </w:t>
      </w:r>
      <w:r>
        <w:rPr>
          <w:b/>
          <w:bCs/>
        </w:rPr>
        <w:t xml:space="preserve">assets test</w:t>
      </w:r>
      <w:r>
        <w:t xml:space="preserve"> and an </w:t>
      </w:r>
      <w:r>
        <w:rPr>
          <w:b/>
          <w:bCs/>
        </w:rPr>
        <w:t xml:space="preserve">income test</w:t>
      </w:r>
      <w:r>
        <w:t xml:space="preserve">. Levers include drawing down assessable assets, timing, gifting within limits, home improvements (the home is generally exempt), and a younger spouse&amp;#39;s super (super in accumulation for someone under Age Pension age is not assessed). </w:t>
      </w:r>
      <w:r>
        <w:rPr>
          <w:b/>
          <w:bCs/>
        </w:rPr>
        <w:t xml:space="preserve">Thresholds and rates change each March and September — confirm current figures.</w:t>
      </w:r>
    </w:p>
    <w:p>
      <w:pPr>
        <w:spacing w:after="120"/>
      </w:pPr>
      <w:r>
        <w:rPr>
          <w:b/>
          <w:bCs/>
        </w:rPr>
        <w:t xml:space="preserve">Things to consider.</w:t>
      </w:r>
      <w:r>
        <w:t xml:space="preserve"> Even a small part pension grants the Pensioner Concession Card; gifting and structuring have strict rules and deprivation provisions.</w:t>
      </w:r>
    </w:p>
    <w:p>
      <w:pPr>
        <w:spacing w:after="120"/>
      </w:pPr>
      <w:r>
        <w:rPr>
          <w:i/>
          <w:iCs/>
        </w:rPr>
        <w:t xml:space="preserve">Legislative basis: Social Security Act 1991 (means testing).</w:t>
      </w:r>
    </w:p>
    <w:p>
      <w:pPr>
        <w:pBdr>
          <w:bottom w:val="single" w:color="DDDDDD" w:sz="6"/>
        </w:pBdr>
        <w:spacing w:before="40" w:after="120"/>
      </w:pPr>
      <w:r>
        <w:t xml:space="preserve"/>
      </w:r>
    </w:p>
    <w:p>
      <w:pPr>
        <w:keepNext/>
        <w:spacing w:before="260" w:after="90"/>
      </w:pPr>
      <w:r>
        <w:rPr>
          <w:b/>
          <w:bCs/>
          <w:color w:val="4C9A2A"/>
          <w:sz w:val="26"/>
          <w:szCs w:val="26"/>
        </w:rPr>
        <w:t xml:space="preserve">9. Strategy 7 — Keep working a little: the Work Bonus</w:t>
      </w:r>
    </w:p>
    <w:p>
      <w:pPr>
        <w:spacing w:after="120"/>
      </w:pPr>
      <w:r>
        <w:rPr>
          <w:b/>
          <w:bCs/>
        </w:rPr>
        <w:t xml:space="preserve">The strategy.</w:t>
      </w:r>
      <w:r>
        <w:t xml:space="preserve"> Earn some employment income in retirement without losing much (or any) Age Pension, using the </w:t>
      </w:r>
      <w:r>
        <w:rPr>
          <w:b/>
          <w:bCs/>
        </w:rPr>
        <w:t xml:space="preserve">Work Bonus</w:t>
      </w:r>
      <w:r>
        <w:t xml:space="preserve">.</w:t>
      </w:r>
    </w:p>
    <w:p>
      <w:pPr>
        <w:spacing w:after="120"/>
      </w:pPr>
      <w:r>
        <w:rPr>
          <w:b/>
          <w:bCs/>
        </w:rPr>
        <w:t xml:space="preserve">Who it may suit.</w:t>
      </w:r>
      <w:r>
        <w:t xml:space="preserve"> Age Pensioners who want to work part-time or casually.</w:t>
      </w:r>
    </w:p>
    <w:p>
      <w:pPr>
        <w:spacing w:after="120"/>
      </w:pPr>
      <w:r>
        <w:rPr>
          <w:b/>
          <w:bCs/>
        </w:rPr>
        <w:t xml:space="preserve">How it works.</w:t>
      </w:r>
      <w:r>
        <w:t xml:space="preserve"> The Work Bonus reduces the employment income counted under the income test, letting pensioners earn a buffer before their pension reduces. </w:t>
      </w:r>
      <w:r>
        <w:rPr>
          <w:b/>
          <w:bCs/>
        </w:rPr>
        <w:t xml:space="preserve">Confirm current Work Bonus amounts.</w:t>
      </w:r>
    </w:p>
    <w:p>
      <w:pPr>
        <w:spacing w:after="120"/>
      </w:pPr>
      <w:r>
        <w:rPr>
          <w:b/>
          <w:bCs/>
        </w:rPr>
        <w:t xml:space="preserve">Things to consider.</w:t>
      </w:r>
      <w:r>
        <w:t xml:space="preserve"> Applies to employment/gainful work income; interacts with the income test.</w:t>
      </w:r>
    </w:p>
    <w:p>
      <w:pPr>
        <w:spacing w:after="120"/>
      </w:pPr>
      <w:r>
        <w:rPr>
          <w:i/>
          <w:iCs/>
        </w:rPr>
        <w:t xml:space="preserve">Legislative basis: Social Security Act 1991 (Work Bonus).</w:t>
      </w:r>
    </w:p>
    <w:p>
      <w:pPr>
        <w:pBdr>
          <w:bottom w:val="single" w:color="DDDDDD" w:sz="6"/>
        </w:pBdr>
        <w:spacing w:before="40" w:after="120"/>
      </w:pPr>
      <w:r>
        <w:t xml:space="preserve"/>
      </w:r>
    </w:p>
    <w:p>
      <w:pPr>
        <w:keepNext/>
        <w:spacing w:before="260" w:after="90"/>
      </w:pPr>
      <w:r>
        <w:rPr>
          <w:b/>
          <w:bCs/>
          <w:color w:val="4C9A2A"/>
          <w:sz w:val="26"/>
          <w:szCs w:val="26"/>
        </w:rPr>
        <w:t xml:space="preserve">10. Strategy 8 — Layer in guaranteed/longevity income</w:t>
      </w:r>
    </w:p>
    <w:p>
      <w:pPr>
        <w:spacing w:after="120"/>
      </w:pPr>
      <w:r>
        <w:rPr>
          <w:b/>
          <w:bCs/>
        </w:rPr>
        <w:t xml:space="preserve">The strategy.</w:t>
      </w:r>
      <w:r>
        <w:t xml:space="preserve"> Cover essential spending with </w:t>
      </w:r>
      <w:r>
        <w:rPr>
          <w:b/>
          <w:bCs/>
        </w:rPr>
        <w:t xml:space="preserve">guaranteed or lifetime income</w:t>
      </w:r>
      <w:r>
        <w:t xml:space="preserve"> (e.g. a lifetime annuity) and fund lifestyle spending from market-linked assets.</w:t>
      </w:r>
    </w:p>
    <w:p>
      <w:pPr>
        <w:spacing w:after="120"/>
      </w:pPr>
      <w:r>
        <w:rPr>
          <w:b/>
          <w:bCs/>
        </w:rPr>
        <w:t xml:space="preserve">Who it may suit.</w:t>
      </w:r>
      <w:r>
        <w:t xml:space="preserve"> Retirees worried about longevity or market volatility, or who want certainty for essentials.</w:t>
      </w:r>
    </w:p>
    <w:p>
      <w:pPr>
        <w:spacing w:after="120"/>
      </w:pPr>
      <w:r>
        <w:rPr>
          <w:b/>
          <w:bCs/>
        </w:rPr>
        <w:t xml:space="preserve">How it works.</w:t>
      </w:r>
      <w:r>
        <w:t xml:space="preserve"> A lifetime income stream pays for life regardless of markets; certain lifetime products also receive </w:t>
      </w:r>
      <w:r>
        <w:rPr>
          <w:b/>
          <w:bCs/>
        </w:rPr>
        <w:t xml:space="preserve">favourable Age Pension means-test treatment</w:t>
      </w:r>
      <w:r>
        <w:t xml:space="preserve"> (a portion of the purchase price and income is discounted).</w:t>
      </w:r>
    </w:p>
    <w:p>
      <w:pPr>
        <w:spacing w:after="120"/>
      </w:pPr>
      <w:r>
        <w:rPr>
          <w:b/>
          <w:bCs/>
        </w:rPr>
        <w:t xml:space="preserve">Things to consider.</w:t>
      </w:r>
      <w:r>
        <w:t xml:space="preserve"> Annuities reduce flexibility/liquidity and may have lower expected returns; weigh certainty against access to capital.</w:t>
      </w:r>
    </w:p>
    <w:p>
      <w:pPr>
        <w:spacing w:after="120"/>
      </w:pPr>
      <w:r>
        <w:rPr>
          <w:i/>
          <w:iCs/>
        </w:rPr>
        <w:t xml:space="preserve">Legislative basis: SIS Regs (income streams); Social Security Act 1991 (means-test treatment).</w:t>
      </w:r>
    </w:p>
    <w:p>
      <w:pPr>
        <w:pBdr>
          <w:bottom w:val="single" w:color="DDDDDD" w:sz="6"/>
        </w:pBdr>
        <w:spacing w:before="40" w:after="120"/>
      </w:pPr>
      <w:r>
        <w:t xml:space="preserve"/>
      </w:r>
    </w:p>
    <w:p>
      <w:pPr>
        <w:keepNext/>
        <w:spacing w:before="260" w:after="90"/>
      </w:pPr>
      <w:r>
        <w:rPr>
          <w:b/>
          <w:bCs/>
          <w:color w:val="4C9A2A"/>
          <w:sz w:val="26"/>
          <w:szCs w:val="26"/>
        </w:rPr>
        <w:t xml:space="preserve">11. Strategy 9 — Tax efficiency in retirement</w:t>
      </w:r>
    </w:p>
    <w:p>
      <w:pPr>
        <w:spacing w:after="120"/>
      </w:pPr>
      <w:r>
        <w:rPr>
          <w:b/>
          <w:bCs/>
        </w:rPr>
        <w:t xml:space="preserve">The strategy.</w:t>
      </w:r>
      <w:r>
        <w:t xml:space="preserve"> Use the tax concessions available to retirees to minimise (often eliminate) tax on retirement income.</w:t>
      </w:r>
    </w:p>
    <w:p>
      <w:pPr>
        <w:spacing w:after="120"/>
      </w:pPr>
      <w:r>
        <w:rPr>
          <w:b/>
          <w:bCs/>
        </w:rPr>
        <w:t xml:space="preserve">Who it may suit.</w:t>
      </w:r>
      <w:r>
        <w:t xml:space="preserve"> All retirees.</w:t>
      </w:r>
    </w:p>
    <w:p>
      <w:pPr>
        <w:spacing w:after="120"/>
      </w:pPr>
      <w:r>
        <w:rPr>
          <w:b/>
          <w:bCs/>
        </w:rPr>
        <w:t xml:space="preserve">How it works.</w:t>
      </w:r>
      <w:r>
        <w:t xml:space="preserve"> Super pension income is </w:t>
      </w:r>
      <w:r>
        <w:rPr>
          <w:b/>
          <w:bCs/>
        </w:rPr>
        <w:t xml:space="preserve">tax-free from age 60</w:t>
      </w:r>
      <w:r>
        <w:t xml:space="preserve">; account-based pension earnings are tax-exempt; outside super, the </w:t>
      </w:r>
      <w:r>
        <w:rPr>
          <w:b/>
          <w:bCs/>
        </w:rPr>
        <w:t xml:space="preserve">Seniors and Pensioners Tax Offset (SAPTO)</w:t>
      </w:r>
      <w:r>
        <w:t xml:space="preserve">, the tax-free threshold and </w:t>
      </w:r>
      <w:r>
        <w:rPr>
          <w:b/>
          <w:bCs/>
        </w:rPr>
        <w:t xml:space="preserve">franking credits</w:t>
      </w:r>
      <w:r>
        <w:t xml:space="preserve"> can reduce or refund tax. Order withdrawals to keep assessable income low.</w:t>
      </w:r>
    </w:p>
    <w:p>
      <w:pPr>
        <w:spacing w:after="120"/>
      </w:pPr>
      <w:r>
        <w:rPr>
          <w:b/>
          <w:bCs/>
        </w:rPr>
        <w:t xml:space="preserve">Things to consider.</w:t>
      </w:r>
      <w:r>
        <w:t xml:space="preserve"> SAPTO and offsets have income limits; franking refunds depend on policy settings; coordinate super and non-super income.</w:t>
      </w:r>
    </w:p>
    <w:p>
      <w:pPr>
        <w:spacing w:after="120"/>
      </w:pPr>
      <w:r>
        <w:rPr>
          <w:i/>
          <w:iCs/>
        </w:rPr>
        <w:t xml:space="preserve">Legislative basis: ITAA 1997 (pension tax exemption); ITAA 1936 s160AAAA (SAPTO).</w:t>
      </w:r>
    </w:p>
    <w:p>
      <w:pPr>
        <w:pBdr>
          <w:bottom w:val="single" w:color="DDDDDD" w:sz="6"/>
        </w:pBdr>
        <w:spacing w:before="40" w:after="120"/>
      </w:pPr>
      <w:r>
        <w:t xml:space="preserve"/>
      </w:r>
    </w:p>
    <w:p>
      <w:pPr>
        <w:keepNext/>
        <w:spacing w:before="260" w:after="90"/>
      </w:pPr>
      <w:r>
        <w:rPr>
          <w:b/>
          <w:bCs/>
          <w:color w:val="4C9A2A"/>
          <w:sz w:val="26"/>
          <w:szCs w:val="26"/>
        </w:rPr>
        <w:t xml:space="preserve">12. Strategy 10 — Manage the Transfer Balance Cap</w:t>
      </w:r>
    </w:p>
    <w:p>
      <w:pPr>
        <w:spacing w:after="120"/>
      </w:pPr>
      <w:r>
        <w:rPr>
          <w:b/>
          <w:bCs/>
        </w:rPr>
        <w:t xml:space="preserve">The strategy.</w:t>
      </w:r>
      <w:r>
        <w:t xml:space="preserve"> Plan how much moves into the tax-free retirement phase, and use both partners&amp;#39; caps.</w:t>
      </w:r>
    </w:p>
    <w:p>
      <w:pPr>
        <w:spacing w:after="120"/>
      </w:pPr>
      <w:r>
        <w:rPr>
          <w:b/>
          <w:bCs/>
        </w:rPr>
        <w:t xml:space="preserve">Who it may suit.</w:t>
      </w:r>
      <w:r>
        <w:t xml:space="preserve"> Couples and individuals with larger balances approaching the cap.</w:t>
      </w:r>
    </w:p>
    <w:p>
      <w:pPr>
        <w:spacing w:after="120"/>
      </w:pPr>
      <w:r>
        <w:rPr>
          <w:b/>
          <w:bCs/>
        </w:rPr>
        <w:t xml:space="preserve">How it works.</w:t>
      </w:r>
      <w:r>
        <w:t xml:space="preserve"> Each person has a personal Transfer Balance Cap (general </w:t>
      </w:r>
      <w:r>
        <w:rPr>
          <w:b/>
          <w:bCs/>
        </w:rPr>
        <w:t xml:space="preserve">$2.0M</w:t>
      </w:r>
      <w:r>
        <w:t xml:space="preserve">, 2025–26). Equalising balances between partners (via splitting/spouse contributions earlier) lets a couple shelter more in tax-free phase; excess stays in accumulation.</w:t>
      </w:r>
    </w:p>
    <w:p>
      <w:pPr>
        <w:spacing w:after="120"/>
      </w:pPr>
      <w:r>
        <w:rPr>
          <w:b/>
          <w:bCs/>
        </w:rPr>
        <w:t xml:space="preserve">Things to consider.</w:t>
      </w:r>
      <w:r>
        <w:t xml:space="preserve"> The cap is personal and indexed; exceeding it has tax consequences; plan before commencing pensions.</w:t>
      </w:r>
    </w:p>
    <w:p>
      <w:pPr>
        <w:spacing w:after="120"/>
      </w:pPr>
      <w:r>
        <w:rPr>
          <w:i/>
          <w:iCs/>
        </w:rPr>
        <w:t xml:space="preserve">Legislative basis: ITAA 1997 Subdiv 294-B.</w:t>
      </w:r>
    </w:p>
    <w:p>
      <w:pPr>
        <w:pBdr>
          <w:bottom w:val="single" w:color="DDDDDD" w:sz="6"/>
        </w:pBdr>
        <w:spacing w:before="40" w:after="120"/>
      </w:pPr>
      <w:r>
        <w:t xml:space="preserve"/>
      </w:r>
    </w:p>
    <w:p>
      <w:pPr>
        <w:keepNext/>
        <w:spacing w:before="260" w:after="90"/>
      </w:pPr>
      <w:r>
        <w:rPr>
          <w:b/>
          <w:bCs/>
          <w:color w:val="4C9A2A"/>
          <w:sz w:val="26"/>
          <w:szCs w:val="26"/>
        </w:rPr>
        <w:t xml:space="preserve">13. Strategy 11 — Reversionary pensions &amp;amp; estate continuity</w:t>
      </w:r>
    </w:p>
    <w:p>
      <w:pPr>
        <w:spacing w:after="120"/>
      </w:pPr>
      <w:r>
        <w:rPr>
          <w:b/>
          <w:bCs/>
        </w:rPr>
        <w:t xml:space="preserve">The strategy.</w:t>
      </w:r>
      <w:r>
        <w:t xml:space="preserve"> Set your pension to </w:t>
      </w:r>
      <w:r>
        <w:rPr>
          <w:b/>
          <w:bCs/>
        </w:rPr>
        <w:t xml:space="preserve">revert to your spouse</w:t>
      </w:r>
      <w:r>
        <w:t xml:space="preserve"> automatically on death, for income continuity and tax efficiency.</w:t>
      </w:r>
    </w:p>
    <w:p>
      <w:pPr>
        <w:spacing w:after="120"/>
      </w:pPr>
      <w:r>
        <w:rPr>
          <w:b/>
          <w:bCs/>
        </w:rPr>
        <w:t xml:space="preserve">Who it may suit.</w:t>
      </w:r>
      <w:r>
        <w:t xml:space="preserve"> Couples wanting seamless income to the survivor.</w:t>
      </w:r>
    </w:p>
    <w:p>
      <w:pPr>
        <w:spacing w:after="120"/>
      </w:pPr>
      <w:r>
        <w:rPr>
          <w:b/>
          <w:bCs/>
        </w:rPr>
        <w:t xml:space="preserve">How it works.</w:t>
      </w:r>
      <w:r>
        <w:t xml:space="preserve"> A reversionary account-based pension continues to the surviving spouse (a tax dependant) — generally tax-free — and gives a 12-month window before it counts against their Transfer Balance Cap.</w:t>
      </w:r>
    </w:p>
    <w:p>
      <w:pPr>
        <w:spacing w:after="120"/>
      </w:pPr>
      <w:r>
        <w:rPr>
          <w:b/>
          <w:bCs/>
        </w:rPr>
        <w:t xml:space="preserve">Things to consider.</w:t>
      </w:r>
      <w:r>
        <w:t xml:space="preserve"> Coordinate with death benefit nominations and the estate plan; the survivor&amp;#39;s own cap still applies after the grace period.</w:t>
      </w:r>
    </w:p>
    <w:p>
      <w:pPr>
        <w:spacing w:after="120"/>
      </w:pPr>
      <w:r>
        <w:rPr>
          <w:i/>
          <w:iCs/>
        </w:rPr>
        <w:t xml:space="preserve">Legislative basis: ITAA 1997 Subdiv 294-B; SIS Regs.</w:t>
      </w:r>
    </w:p>
    <w:p>
      <w:pPr>
        <w:pBdr>
          <w:bottom w:val="single" w:color="DDDDDD" w:sz="6"/>
        </w:pBdr>
        <w:spacing w:before="40" w:after="120"/>
      </w:pPr>
      <w:r>
        <w:t xml:space="preserve"/>
      </w:r>
    </w:p>
    <w:p>
      <w:pPr>
        <w:keepNext/>
        <w:spacing w:before="260" w:after="90"/>
      </w:pPr>
      <w:r>
        <w:rPr>
          <w:b/>
          <w:bCs/>
          <w:color w:val="4C9A2A"/>
          <w:sz w:val="26"/>
          <w:szCs w:val="26"/>
        </w:rPr>
        <w:t xml:space="preserve">14. Strategy 12 — Plan ahead for aged care costs</w:t>
      </w:r>
    </w:p>
    <w:p>
      <w:pPr>
        <w:spacing w:after="120"/>
      </w:pPr>
      <w:r>
        <w:rPr>
          <w:b/>
          <w:bCs/>
        </w:rPr>
        <w:t xml:space="preserve">The strategy.</w:t>
      </w:r>
      <w:r>
        <w:t xml:space="preserve"> Factor potential </w:t>
      </w:r>
      <w:r>
        <w:rPr>
          <w:b/>
          <w:bCs/>
        </w:rPr>
        <w:t xml:space="preserve">aged-care fees</w:t>
      </w:r>
      <w:r>
        <w:t xml:space="preserve"> into the later-life plan rather than being caught out.</w:t>
      </w:r>
    </w:p>
    <w:p>
      <w:pPr>
        <w:spacing w:after="120"/>
      </w:pPr>
      <w:r>
        <w:rPr>
          <w:b/>
          <w:bCs/>
        </w:rPr>
        <w:t xml:space="preserve">Who it may suit.</w:t>
      </w:r>
      <w:r>
        <w:t xml:space="preserve"> Retirees and their families thinking about later life.</w:t>
      </w:r>
    </w:p>
    <w:p>
      <w:pPr>
        <w:spacing w:after="120"/>
      </w:pPr>
      <w:r>
        <w:rPr>
          <w:b/>
          <w:bCs/>
        </w:rPr>
        <w:t xml:space="preserve">How it works.</w:t>
      </w:r>
      <w:r>
        <w:t xml:space="preserve"> Home-care and residential-care costs (means-tested) can be significant; how the family home and assets are structured affects both fees and Age Pension. Early planning preserves choice.</w:t>
      </w:r>
    </w:p>
    <w:p>
      <w:pPr>
        <w:spacing w:after="120"/>
      </w:pPr>
      <w:r>
        <w:rPr>
          <w:b/>
          <w:bCs/>
        </w:rPr>
        <w:t xml:space="preserve">Things to consider.</w:t>
      </w:r>
      <w:r>
        <w:t xml:space="preserve"> Aged-care means testing is complex and rules are changing — seek specialist advice when the need arises.</w:t>
      </w:r>
    </w:p>
    <w:p>
      <w:pPr>
        <w:spacing w:after="120"/>
      </w:pPr>
      <w:r>
        <w:rPr>
          <w:i/>
          <w:iCs/>
        </w:rPr>
        <w:t xml:space="preserve">Legislative basis: Aged Care Act (fees &amp;amp; means testing).</w:t>
      </w:r>
    </w:p>
    <w:p>
      <w:pPr>
        <w:pBdr>
          <w:bottom w:val="single" w:color="DDDDDD" w:sz="6"/>
        </w:pBdr>
        <w:spacing w:before="40" w:after="120"/>
      </w:pPr>
      <w:r>
        <w:t xml:space="preserve"/>
      </w:r>
    </w:p>
    <w:p>
      <w:pPr>
        <w:keepNext/>
        <w:spacing w:before="260" w:after="90"/>
      </w:pPr>
      <w:r>
        <w:rPr>
          <w:b/>
          <w:bCs/>
          <w:color w:val="4C9A2A"/>
          <w:sz w:val="26"/>
          <w:szCs w:val="26"/>
        </w:rPr>
        <w:t xml:space="preserve">15. General risks &amp;amp; things to consider</w:t>
      </w:r>
    </w:p>
    <w:p>
      <w:pPr>
        <w:pStyle w:val="ListParagraph"/>
        <w:numPr>
          <w:ilvl w:val="0"/>
          <w:numId w:val="1"/>
        </w:numPr>
        <w:spacing w:after="60"/>
      </w:pPr>
      <w:r>
        <w:rPr>
          <w:b/>
          <w:bCs/>
        </w:rPr>
        <w:t xml:space="preserve">Market &amp;amp; sequencing risk</w:t>
      </w:r>
      <w:r>
        <w:t xml:space="preserve"> — drawing income from volatile assets early can permanently reduce capital.</w:t>
      </w:r>
    </w:p>
    <w:p>
      <w:pPr>
        <w:pStyle w:val="ListParagraph"/>
        <w:numPr>
          <w:ilvl w:val="0"/>
          <w:numId w:val="1"/>
        </w:numPr>
        <w:spacing w:after="60"/>
      </w:pPr>
      <w:r>
        <w:rPr>
          <w:b/>
          <w:bCs/>
        </w:rPr>
        <w:t xml:space="preserve">Longevity &amp;amp; inflation</w:t>
      </w:r>
      <w:r>
        <w:t xml:space="preserve"> — plan for a long retirement and rising costs.</w:t>
      </w:r>
    </w:p>
    <w:p>
      <w:pPr>
        <w:pStyle w:val="ListParagraph"/>
        <w:numPr>
          <w:ilvl w:val="0"/>
          <w:numId w:val="1"/>
        </w:numPr>
        <w:spacing w:after="60"/>
      </w:pPr>
      <w:r>
        <w:rPr>
          <w:b/>
          <w:bCs/>
        </w:rPr>
        <w:t xml:space="preserve">Legislative/means-test risk</w:t>
      </w:r>
      <w:r>
        <w:t xml:space="preserve"> — Age Pension, tax and super rules change, and thresholds index twice yearly.</w:t>
      </w:r>
    </w:p>
    <w:p>
      <w:pPr>
        <w:pStyle w:val="ListParagraph"/>
        <w:numPr>
          <w:ilvl w:val="0"/>
          <w:numId w:val="1"/>
        </w:numPr>
        <w:spacing w:after="60"/>
      </w:pPr>
      <w:r>
        <w:rPr>
          <w:b/>
          <w:bCs/>
        </w:rPr>
        <w:t xml:space="preserve">Liquidity</w:t>
      </w:r>
      <w:r>
        <w:t xml:space="preserve"> — guaranteed-income and property assets reduce flexibility.</w:t>
      </w:r>
    </w:p>
    <w:p>
      <w:pPr>
        <w:pStyle w:val="ListParagraph"/>
        <w:numPr>
          <w:ilvl w:val="0"/>
          <w:numId w:val="1"/>
        </w:numPr>
        <w:spacing w:after="60"/>
      </w:pPr>
      <w:r>
        <w:rPr>
          <w:b/>
          <w:bCs/>
        </w:rPr>
        <w:t xml:space="preserve">Personal advice</w:t>
      </w:r>
      <w:r>
        <w:t xml:space="preserve"> — the right combination depends entirely on your circumstances; obtain personal advice and relevant PDS/TMD before acting.</w:t>
      </w:r>
    </w:p>
    <w:p>
      <w:pPr>
        <w:pBdr>
          <w:bottom w:val="single" w:color="DDDDDD" w:sz="6"/>
        </w:pBdr>
        <w:spacing w:before="40" w:after="120"/>
      </w:pPr>
      <w:r>
        <w:t xml:space="preserve"/>
      </w:r>
    </w:p>
    <w:p>
      <w:pPr>
        <w:keepNext/>
        <w:spacing w:before="260" w:after="90"/>
      </w:pPr>
      <w:r>
        <w:rPr>
          <w:b/>
          <w:bCs/>
          <w:color w:val="4C9A2A"/>
          <w:sz w:val="26"/>
          <w:szCs w:val="26"/>
        </w:rPr>
        <w:t xml:space="preserve">16. Glossary</w:t>
      </w:r>
    </w:p>
    <w:p>
      <w:pPr>
        <w:pStyle w:val="ListParagraph"/>
        <w:numPr>
          <w:ilvl w:val="0"/>
          <w:numId w:val="1"/>
        </w:numPr>
        <w:spacing w:after="60"/>
      </w:pPr>
      <w:r>
        <w:rPr>
          <w:b/>
          <w:bCs/>
        </w:rPr>
        <w:t xml:space="preserve">Account-based pension</w:t>
      </w:r>
      <w:r>
        <w:t xml:space="preserve"> — a retirement-phase income stream; earnings tax-free within the Transfer Balance Cap.</w:t>
      </w:r>
    </w:p>
    <w:p>
      <w:pPr>
        <w:pStyle w:val="ListParagraph"/>
        <w:numPr>
          <w:ilvl w:val="0"/>
          <w:numId w:val="1"/>
        </w:numPr>
        <w:spacing w:after="60"/>
      </w:pPr>
      <w:r>
        <w:rPr>
          <w:b/>
          <w:bCs/>
        </w:rPr>
        <w:t xml:space="preserve">Transfer Balance Cap (TBC)</w:t>
      </w:r>
      <w:r>
        <w:t xml:space="preserve"> — lifetime limit ($2.0M, 2025–26) on what can move into tax-free retirement phase.</w:t>
      </w:r>
    </w:p>
    <w:p>
      <w:pPr>
        <w:pStyle w:val="ListParagraph"/>
        <w:numPr>
          <w:ilvl w:val="0"/>
          <w:numId w:val="1"/>
        </w:numPr>
        <w:spacing w:after="60"/>
      </w:pPr>
      <w:r>
        <w:rPr>
          <w:b/>
          <w:bCs/>
        </w:rPr>
        <w:t xml:space="preserve">Sequencing risk</w:t>
      </w:r>
      <w:r>
        <w:t xml:space="preserve"> — the risk of poor returns early in retirement while drawing income.</w:t>
      </w:r>
    </w:p>
    <w:p>
      <w:pPr>
        <w:pStyle w:val="ListParagraph"/>
        <w:numPr>
          <w:ilvl w:val="0"/>
          <w:numId w:val="1"/>
        </w:numPr>
        <w:spacing w:after="60"/>
      </w:pPr>
      <w:r>
        <w:rPr>
          <w:b/>
          <w:bCs/>
        </w:rPr>
        <w:t xml:space="preserve">Means test</w:t>
      </w:r>
      <w:r>
        <w:t xml:space="preserve"> — the assets and income tests that determine Age Pension entitlement.</w:t>
      </w:r>
    </w:p>
    <w:p>
      <w:pPr>
        <w:pStyle w:val="ListParagraph"/>
        <w:numPr>
          <w:ilvl w:val="0"/>
          <w:numId w:val="1"/>
        </w:numPr>
        <w:spacing w:after="60"/>
      </w:pPr>
      <w:r>
        <w:rPr>
          <w:b/>
          <w:bCs/>
        </w:rPr>
        <w:t xml:space="preserve">Work Bonus</w:t>
      </w:r>
      <w:r>
        <w:t xml:space="preserve"> — a concession that reduces the employment income counted for the Age Pension.</w:t>
      </w:r>
    </w:p>
    <w:p>
      <w:pPr>
        <w:pStyle w:val="ListParagraph"/>
        <w:numPr>
          <w:ilvl w:val="0"/>
          <w:numId w:val="1"/>
        </w:numPr>
        <w:spacing w:after="60"/>
      </w:pPr>
      <w:r>
        <w:rPr>
          <w:b/>
          <w:bCs/>
        </w:rPr>
        <w:t xml:space="preserve">SAPTO</w:t>
      </w:r>
      <w:r>
        <w:t xml:space="preserve"> — Seniors and Pensioners Tax Offset.</w:t>
      </w:r>
    </w:p>
    <w:p>
      <w:pPr>
        <w:pStyle w:val="ListParagraph"/>
        <w:numPr>
          <w:ilvl w:val="0"/>
          <w:numId w:val="1"/>
        </w:numPr>
        <w:spacing w:after="60"/>
      </w:pPr>
      <w:r>
        <w:rPr>
          <w:b/>
          <w:bCs/>
        </w:rPr>
        <w:t xml:space="preserve">Reversionary pension</w:t>
      </w:r>
      <w:r>
        <w:t xml:space="preserve"> — a pension that automatically continues to a nominated beneficiary on death.</w:t>
      </w:r>
    </w:p>
    <w:p>
      <w:pPr>
        <w:pBdr>
          <w:bottom w:val="single" w:color="DDDDDD" w:sz="6"/>
        </w:pBdr>
        <w:spacing w:before="40" w:after="120"/>
      </w:pPr>
      <w:r>
        <w:t xml:space="preserve"/>
      </w:r>
    </w:p>
    <w:p>
      <w:pPr>
        <w:keepNext/>
        <w:spacing w:before="260" w:after="90"/>
      </w:pPr>
      <w:r>
        <w:rPr>
          <w:b/>
          <w:bCs/>
          <w:color w:val="4C9A2A"/>
          <w:sz w:val="26"/>
          <w:szCs w:val="26"/>
        </w:rPr>
        <w:t xml:space="preserve">17. Legislation &amp;amp; rules referenced</w:t>
      </w:r>
    </w:p>
    <w:p>
      <w:pPr>
        <w:spacing w:after="120"/>
      </w:pPr>
      <w:r>
        <w:t xml:space="preserve">Pension tax exemption &amp;amp; ECPI (ITAA 1997 s295-385); Transfer Balance Cap (Subdiv 294-B); SAPTO (ITAA 1936 s160AAAA); TTR and income streams (SIS Regulations); Age Pension means testing, Work Bonus, deprivation/gifting (Social Security Act 1991); aged-care fees (Aged Care Act). Many figures are indexed — confirm current-year amounts.</w:t>
      </w:r>
    </w:p>
    <w:p>
      <w:pPr>
        <w:pBdr>
          <w:bottom w:val="single" w:color="DDDDDD" w:sz="6"/>
        </w:pBdr>
        <w:spacing w:before="40" w:after="120"/>
      </w:pPr>
      <w:r>
        <w:t xml:space="preserve"/>
      </w:r>
    </w:p>
    <w:p>
      <w:pPr>
        <w:pBdr>
          <w:top w:val="none"/>
          <w:bottom w:val="none"/>
          <w:left w:val="single" w:color="4C9A2A" w:sz="18"/>
          <w:right w:val="none"/>
        </w:pBdr>
        <w:shd w:fill="F4F7EF"/>
        <w:spacing w:before="120" w:after="120"/>
        <w:ind w:left="180"/>
      </w:pPr>
      <w:r>
        <w:rPr>
          <w:b/>
          <w:bCs/>
        </w:rPr>
        <w:t xml:space="preserve">Disclaimer &amp;amp; General Advice Warning.</w:t>
      </w:r>
      <w:r>
        <w:t xml:space="preserve"> Issued by Lakeside Financial Pty Ltd (Authorised Representative of Pareto Group Pty Ltd, AFSL 418700). </w:t>
      </w:r>
      <w:r>
        <w:rPr>
          <w:b/>
          <w:bCs/>
        </w:rPr>
        <w:t xml:space="preserve">General advice only</w:t>
      </w:r>
      <w:r>
        <w:t xml:space="preserve"> — it does not consider your objectives, financial situation or needs, and is </w:t>
      </w:r>
      <w:r>
        <w:rPr>
          <w:b/>
          <w:bCs/>
        </w:rPr>
        <w:t xml:space="preserve">not</w:t>
      </w:r>
      <w:r>
        <w:t xml:space="preserve"> a Statement of Advice or personal recommendation. Before acting, consider its appropriateness, obtain personal advice, and read the relevant PDS/TMD. Social-security, tax and super rules change and thresholds are indexed; figures are current for </w:t>
      </w:r>
      <w:r>
        <w:rPr>
          <w:b/>
          <w:bCs/>
        </w:rPr>
        <w:t xml:space="preserve">2025–26</w:t>
      </w:r>
      <w:r>
        <w:t xml:space="preserve"> unless stated. Past performance is not a reliable indicator of future performance.</w:t>
      </w:r>
    </w:p>
    <w:p>
      <w:pPr>
        <w:spacing w:after="120"/>
      </w:pPr>
      <w:r>
        <w:rPr>
          <w:i/>
          <w:iCs/>
        </w:rPr>
        <w:t xml:space="preserve">— End of Retirement Income Strategy Guide (General Advice) —</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2026-06-16T06:56:51.555Z</dcterms:created>
  <dcterms:modified xsi:type="dcterms:W3CDTF">2026-06-16T06:56:51.555Z</dcterms:modified>
</cp:coreProperties>
</file>

<file path=docProps/custom.xml><?xml version="1.0" encoding="utf-8"?>
<Properties xmlns="http://schemas.openxmlformats.org/officeDocument/2006/custom-properties" xmlns:vt="http://schemas.openxmlformats.org/officeDocument/2006/docPropsVTypes"/>
</file>