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Lakeside Financial</w:t>
      </w:r>
    </w:p>
    <w:p>
      <w:pPr>
        <w:spacing w:lineRule="auto"/>
      </w:pPr>
      <w:r>
        <w:rPr/>
        <w:t xml:space="preserve">Internal compliance drafting aid — John &amp; Meni Romito SOA</w:t>
      </w:r>
    </w:p>
    <w:p>
      <w:pPr>
        <w:spacing w:lineRule="auto"/>
      </w:pPr>
      <w:r>
        <w:rPr/>
        <w:t xml:space="preserve">SOA — Compliance Companion Pack</w:t>
      </w:r>
    </w:p>
    <w:p>
      <w:pPr>
        <w:spacing w:lineRule="auto"/>
      </w:pPr>
      <w:r>
        <w:rPr/>
        <w:t xml:space="preserve">June 15, 2026</w:t>
      </w:r>
    </w:p>
    <w:p>
      <w:pPr>
        <w:pStyle w:val="Heading1"/>
        <w:spacing w:lineRule="auto"/>
      </w:pPr>
      <w:r>
        <w:rPr>
          <w:color w:val="4C9A2A"/>
          <w:rFonts w:ascii="Helvetica" w:hAnsi="Helvetica"/>
          <w:sz w:val="33"/>
        </w:rPr>
        <w:t xml:space="preserve">Romito SOA — Compliance Companion Pack (drafting aid)</w:t>
      </w:r>
    </w:p>
    <w:p>
      <w:pPr>
        <w:spacing w:lineRule="auto"/>
      </w:pPr>
      <w:r>
        <w:rPr>
          <w:b/>
        </w:rPr>
        <w:t xml:space="preserve">Client:</w:t>
      </w:r>
      <w:r>
        <w:rPr/>
        <w:t xml:space="preserve"> John &amp; Meni Romito · </w:t>
      </w:r>
      <w:r>
        <w:rPr>
          <w:b/>
        </w:rPr>
        <w:t xml:space="preserve">SOA dated:</w:t>
      </w:r>
      <w:r>
        <w:rPr/>
        <w:t xml:space="preserve"> 09 June 2026 · </w:t>
      </w:r>
      <w:r>
        <w:rPr>
          <w:b/>
        </w:rPr>
        <w:t xml:space="preserve">Adviser:</w:t>
      </w:r>
      <w:r>
        <w:rPr/>
        <w:t xml:space="preserve"> Tristan Biro (AR of Lakeside Financial Pty Ltd, AFSL 418700 — Pareto Group Pty Ltd)</w:t>
      </w:r>
    </w:p>
    <w:p>
      <w:pPr>
        <w:ind w:left="284"/>
        <w:jc w:val="both"/>
        <w:spacing w:lineRule="auto"/>
      </w:pPr>
      <w:r>
        <w:rPr>
          <w:b/>
        </w:rPr>
        <w:t xml:space="preserve">What this is.</w:t>
      </w:r>
      <w:r>
        <w:rPr/>
        <w:t xml:space="preserve"> A scaffold to support the licensee compliance review the SOA cover page requires. It is </w:t>
      </w:r>
      <w:r>
        <w:rPr>
          <w:b/>
        </w:rPr>
        <w:t xml:space="preserve">not</w:t>
      </w:r>
      <w:r>
        <w:rPr/>
        <w:t xml:space="preserve"> sign-off and does </w:t>
      </w:r>
      <w:r>
        <w:rPr>
          <w:b/>
        </w:rPr>
        <w:t xml:space="preserve">not</w:t>
      </w:r>
      <w:r>
        <w:rPr/>
        <w:t xml:space="preserve"> discharge the adviser's obligations — every item needs the adviser's own judgement and firm-specific inputs. Complete and file alongside the SOA before issue.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1. Best-interests duty — safe-harbour file note (Corporations Act s961B(2))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for this advice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Outstanding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Identify the client's objectives, financial situation and needs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Captured in SOA §2–§3 (goals, balance sheet, cash flow, super, insurance, estate, health)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incomes, leave balances, risk profile, contents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Identify the subject matter of the advice sought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Defined in SOA §4 (scope) — super, retirement income, CGT timing, debt, insurance retention, estate coordination; exclusions stated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it is reasonably apparent information is incomplete/inaccurate, make reasonable 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 marked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[TO CONFIRM]</w:t>
            </w:r>
          </w:p>
          <w:p>
            <w:pPr>
              <w:spacing w:lineRule="auto"/>
            </w:pPr>
            <w:r>
              <w:rPr/>
              <w:t xml:space="preserve"> throughout; consolidated in §3 below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Make the inquiries and update the SOA before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Assess whether the adviser has the expertise required; decline if not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Estate (solicitor) and CGT calc / tax return (accountant) referred out — SOA §4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referrals engaged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it would be reasonable to consider a product, conduct a reasonable investigation and assess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product decision documented in §16 + Appendix B (industry funds vs Lakeside Core Balanced via CFS FirstChoice)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Complete the s947D replacement comparison — §2 below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all judgements on the client's relevant circumstances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Recommendations tied to: near-retirement runway, John's health, debt, concentration, estate, death-benefits 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Take any other step that would reasonably be in the client's best interests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Prioritised estate + de-risk + insurance retention given John's diagnosis; flagged irreplaceable 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Appropriateness (s961G).</w:t>
      </w:r>
      <w:r>
        <w:rPr/>
        <w:t xml:space="preserve"> Record why each recommendation is reasonably likely to meet the clients' objectives — the SOA states this per strategy. </w:t>
      </w:r>
      <w:r>
        <w:rPr>
          <w:b/>
        </w:rPr>
        <w:t xml:space="preserve">Priority of client's interests (s961J):</w:t>
      </w:r>
      <w:r>
        <w:rPr/>
        <w:t xml:space="preserve"> see conflict at §4 below (Lakeside's own managed model / 0.75% fee).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2. Replacement-product comparison — super switch (s947D)</w:t>
      </w:r>
    </w:p>
    <w:p>
      <w:pPr>
        <w:spacing w:lineRule="auto"/>
      </w:pPr>
      <w:r>
        <w:rPr/>
        <w:t xml:space="preserve">Triggered </w:t>
      </w:r>
      <w:r>
        <w:rPr>
          <w:b/>
        </w:rPr>
        <w:t xml:space="preserve">only if</w:t>
      </w:r>
      <w:r>
        <w:rPr/>
        <w:t xml:space="preserve"> the clients choose Option (b): transition from Aware Super (John) / Australian Super (Meni) to </w:t>
      </w:r>
      <w:r>
        <w:rPr>
          <w:b/>
        </w:rPr>
        <w:t xml:space="preserve">CFS FirstChoice Wholesale Personal Super — Lakeside Core Balanced model</w:t>
      </w:r>
      <w:r>
        <w:rPr/>
        <w:t xml:space="preserve">. Required disclosures: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s947D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 to 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/ status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Charges to </w:t>
            </w:r>
          </w:p>
          <w:p>
            <w:pPr>
              <w:spacing w:lineRule="auto"/>
            </w:pPr>
            <w:r>
              <w:rPr>
                <w:b/>
              </w:rPr>
              <w:t xml:space="preserve">dispose of / reduce</w:t>
            </w:r>
          </w:p>
          <w:p>
            <w:pPr>
              <w:spacing w:lineRule="auto"/>
            </w:pPr>
            <w:r>
              <w:rPr/>
              <w:t xml:space="preserve"> the existing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Exit/withdrawal fees, buy-sell spreads, CGT (nil — super-fund level), any deferred 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  <w:p>
            <w:pPr>
              <w:spacing w:lineRule="auto"/>
            </w:pPr>
            <w:r>
              <w:rPr/>
              <w:t xml:space="preserve"> with Aware / Australian Super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Charges to </w:t>
            </w:r>
          </w:p>
          <w:p>
            <w:pPr>
              <w:spacing w:lineRule="auto"/>
            </w:pPr>
            <w:r>
              <w:rPr>
                <w:b/>
              </w:rPr>
              <w:t xml:space="preserve">acquire</w:t>
            </w:r>
          </w:p>
          <w:p>
            <w:pPr>
              <w:spacing w:lineRule="auto"/>
            </w:pPr>
            <w:r>
              <w:rPr/>
              <w:t xml:space="preserve"> the new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admin 0.20% + ICR ~0.38% + transaction ~0% = ~0.59% product; </w:t>
            </w:r>
          </w:p>
          <w:p>
            <w:pPr>
              <w:spacing w:lineRule="auto"/>
            </w:pPr>
            <w:r>
              <w:rPr>
                <w:b/>
              </w:rPr>
              <w:t xml:space="preserve">+ 0.75% adviser fee</w:t>
            </w:r>
          </w:p>
          <w:p>
            <w:pPr>
              <w:spacing w:lineRule="auto"/>
            </w:pPr>
            <w:r>
              <w:rPr/>
              <w:t xml:space="preserve"> (→0.50% &gt;$1M); all-in ~1.30%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SOA §16 / Appendix B — </w:t>
            </w:r>
          </w:p>
          <w:p>
            <w:pPr>
              <w:spacing w:lineRule="auto"/>
            </w:pPr>
            <w:r>
              <w:rPr>
                <w:b/>
              </w:rPr>
              <w:t xml:space="preserve">re-run calculator at combined/post-contribution balances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Benefits lost</w:t>
            </w:r>
          </w:p>
          <w:p>
            <w:pPr>
              <w:spacing w:lineRule="auto"/>
            </w:pPr>
            <w:r>
              <w:rPr/>
              <w:t xml:space="preserve"> by switching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CRITICAL: John's in-fund insurance (Death/TPD $28,938, IP $1,000/mo) is irreplaceable given his cancer diagnosis</w:t>
            </w:r>
          </w:p>
          <w:p>
            <w:pPr>
              <w:spacing w:lineRule="auto"/>
            </w:pPr>
            <w:r>
              <w:rPr/>
              <w:t xml:space="preserve"> — a rollover could cancel it. Meni's cover (Death/TPD $230,000, IP $4,000/mo)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SOA §15 — </w:t>
            </w:r>
          </w:p>
          <w:p>
            <w:pPr>
              <w:spacing w:lineRule="auto"/>
            </w:pPr>
            <w:r>
              <w:rPr>
                <w:b/>
              </w:rPr>
              <w:t xml:space="preserve">do NOT cancel any cover until replacement confirmed in force; likely retain John's Aware account regardless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Other significant consequences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Performance: Lakeside model has </w:t>
            </w:r>
          </w:p>
          <w:p>
            <w:pPr>
              <w:spacing w:lineRule="auto"/>
            </w:pPr>
            <w:r>
              <w:rPr>
                <w:b/>
              </w:rPr>
              <w:t xml:space="preserve">not</w:t>
            </w:r>
          </w:p>
          <w:p>
            <w:pPr>
              <w:spacing w:lineRule="auto"/>
            </w:pPr>
            <w:r>
              <w:rPr/>
              <w:t xml:space="preserve"> out-performed the current industry options at higher cost (SOA §16); investment-option change inside existing fund achieves the de-risk without a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SOA §9, §16, §19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Recommendation already documented:</w:t>
      </w:r>
      <w:r>
        <w:rPr/>
        <w:t xml:space="preserve"> de-risk within existing funds is the cheaper, defensible default; the switch must be justified by advice/service value the clients positively choose — not cost or returns. Conflict disclosed (§4).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3. Outstanding information — consolidated </w:t>
      </w:r>
      <w:r>
        <w:rPr>
          <w:color w:val="4C9A2A"/>
          <w:rFonts w:ascii="Helvetica" w:hAnsi="Helvetica"/>
          <w:sz w:val="26"/>
        </w:rPr>
        <w:t xml:space="preserve">[TO CONFIRM]</w:t>
      </w:r>
      <w:r>
        <w:rPr>
          <w:color w:val="4C9A2A"/>
          <w:rFonts w:ascii="Helvetica" w:hAnsi="Helvetica"/>
          <w:sz w:val="26"/>
        </w:rPr>
        <w:t xml:space="preserve"> checklist</w:t>
      </w:r>
    </w:p>
    <w:p>
      <w:pPr>
        <w:spacing w:lineRule="auto"/>
      </w:pPr>
      <w:r>
        <w:rPr>
          <w:b/>
        </w:rPr>
        <w:t xml:space="preserve">Identity / firm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Authorised Representative number (cover page)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FSG provided — record the version/date (§21)</w:t>
      </w:r>
    </w:p>
    <w:p>
      <w:pPr>
        <w:spacing w:lineRule="auto"/>
      </w:pPr>
      <w:r>
        <w:rPr>
          <w:b/>
        </w:rPr>
        <w:t xml:space="preserve">Client facts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John's income — package vs taxable (salary packaging effect) — drives the cash-flow tax estimate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John's current prognosis (post-PET scan) — affects priority/timing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Home contents value (~$204,000)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Beneficiary nominations — confirm John's binding nomination names Meni; status of Meni's nomination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John's personal accidental-death policy terms (~$700k, ClearView/AIA — accident only)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Leave / long-service balances (assessable on payout; affects retirement timing)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Risk-profile questionnaires for both (currently indicative ≈60/40)</w:t>
      </w:r>
    </w:p>
    <w:p>
      <w:pPr>
        <w:spacing w:lineRule="auto"/>
      </w:pPr>
      <w:r>
        <w:rPr>
          <w:b/>
        </w:rPr>
        <w:t xml:space="preserve">Super / contributions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Each fund's carry-forward unused concessional caps (myGov/ATO) + YTD employer contributions — figures in §8 are estimates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Each fund's taxable / tax-free component split (to size the re-contribution, §13)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Confirm projection inputs (§8, §17)</w:t>
      </w:r>
    </w:p>
    <w:p>
      <w:pPr>
        <w:spacing w:lineRule="auto"/>
      </w:pPr>
      <w:r>
        <w:rPr>
          <w:b/>
        </w:rPr>
        <w:t xml:space="preserve">Property / CGT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Cost bases, purchase dates and depreciation schedules for both properties (depreciation reduces cost base)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Expected sale values; confirm CGT modelled in the actual sale-year rate environment (§11 uses 2025-26 as a proxy)</w:t>
      </w:r>
    </w:p>
    <w:p>
      <w:pPr>
        <w:spacing w:lineRule="auto"/>
      </w:pPr>
      <w:r>
        <w:rPr>
          <w:b/>
        </w:rPr>
        <w:t xml:space="preserve">Loan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Bundoora loan break-cost terms and exact balance (ME Bank; fixed to Nov 2026)</w:t>
      </w:r>
    </w:p>
    <w:p>
      <w:pPr>
        <w:spacing w:lineRule="auto"/>
      </w:pPr>
      <w:r>
        <w:rPr>
          <w:b/>
        </w:rPr>
        <w:t xml:space="preserve">Insurance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Policy schedules + PDS terms (definitions, pre-existing-condition exclusions, whether cover survives a partial rollover) — </w:t>
      </w:r>
      <w:r>
        <w:rPr>
          <w:b/>
        </w:rPr>
        <w:t xml:space="preserve">especially John's Aware Super cover</w:t>
      </w:r>
    </w:p>
    <w:p>
      <w:pPr>
        <w:spacing w:lineRule="auto"/>
      </w:pPr>
      <w:r>
        <w:rPr>
          <w:b/>
        </w:rPr>
        <w:t xml:space="preserve">Product switch (if chosen)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  <w:t xml:space="preserve"> Exact current industry-fund fees; re-run FirstChoice calculator at combined / post-contribution balances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  <w:t xml:space="preserve"> CFS PDS/TMD and Lakeside Core Balanced fee schedule at the relevant balances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  <w:t xml:space="preserve"> Confirm model holdings' current weights/codes at implementation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4. Pre-issue compliance checklist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All </w:t>
      </w:r>
      <w:r>
        <w:rPr/>
        <w:t xml:space="preserve">[TO CONFIRM]</w:t>
      </w:r>
      <w:r>
        <w:rPr/>
        <w:t xml:space="preserve"> items above resolved and the SOA updated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Best-interests file note (§1) completed and filed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s947D replacement-product comparison (§2) completed </w:t>
      </w:r>
      <w:r>
        <w:rPr>
          <w:b/>
        </w:rPr>
        <w:t xml:space="preserve">if</w:t>
      </w:r>
      <w:r>
        <w:rPr/>
        <w:t xml:space="preserve"> the switch is recommended/chosen</w:t>
      </w:r>
    </w:p>
    <w:p>
      <w:pPr>
        <w:numPr>
          <w:ilvl w:val="0"/>
          <w:numId w:val="8"/>
        </w:numPr>
        <w:spacing w:lineRule="auto"/>
      </w:pPr>
      <w:r>
        <w:rPr/>
      </w:r>
      <w:r>
        <w:rPr>
          <w:b/>
        </w:rPr>
        <w:t xml:space="preserve">Conflict of interest</w:t>
      </w:r>
      <w:r>
        <w:rPr/>
        <w:t xml:space="preserve"> disclosed and managed: Lakeside's own model earns a 0.75% ongoing adviser fee; cheaper, comparably-performing alternative recorded (SOA §16, §19, §21). Confirm s961J priority-of-interests met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Fee disclosure complete: initial $2,000 + GST; ongoing fee arrangement + </w:t>
      </w:r>
      <w:r>
        <w:rPr>
          <w:b/>
        </w:rPr>
        <w:t xml:space="preserve">annual fee consent</w:t>
      </w:r>
      <w:r>
        <w:rPr/>
        <w:t xml:space="preserve"> + </w:t>
      </w:r>
      <w:r>
        <w:rPr>
          <w:b/>
        </w:rPr>
        <w:t xml:space="preserve">Fee Disclosure Statement</w:t>
      </w:r>
      <w:r>
        <w:rPr/>
        <w:t xml:space="preserve"> (if ongoing engaged)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Related-party disclosure: Lakeside Lawyers (estate) — client free to use any solicitor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FSG provided; relevant </w:t>
      </w:r>
      <w:r>
        <w:rPr>
          <w:b/>
        </w:rPr>
        <w:t xml:space="preserve">PDSs/TMDs</w:t>
      </w:r>
      <w:r>
        <w:rPr/>
        <w:t xml:space="preserve"> provided (CFS FirstChoice if switching)</w:t>
      </w:r>
    </w:p>
    <w:p>
      <w:pPr>
        <w:numPr>
          <w:ilvl w:val="0"/>
          <w:numId w:val="8"/>
        </w:numPr>
        <w:spacing w:lineRule="auto"/>
      </w:pPr>
      <w:r>
        <w:rPr/>
      </w:r>
      <w:r>
        <w:rPr>
          <w:b/>
        </w:rPr>
        <w:t xml:space="preserve">Insurance safeguard:</w:t>
      </w:r>
      <w:r>
        <w:rPr/>
        <w:t xml:space="preserve"> written confirmation that no existing cover is cancelled until any replacement is in force — John's cover treated as irreplaceable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Licensee (Pareto Group) advice-compliance review and approval recorded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Authority to Proceed signed (SOA §24)</w:t>
      </w:r>
    </w:p>
    <w:p>
      <w:pPr>
        <w:spacing w:lineRule="auto"/>
      </w:pPr>
      <w:r>
        <w:rPr/>
        <w:t xml:space="preserve">Drafting aid only — verify against Pareto Group's current advice-compliance process and the prevailing law. Not legal or compliance advice.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family w:val="swiss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2026-06-15T01:46:31.794Z</dcterms:created>
  <dcterms:modified xsi:type="dcterms:W3CDTF">2026-06-15T01:46:31.794Z</dcterms:modified>
</cp:coreProperties>
</file>